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8"/>
              </w:rPr>
              <w:t>Maryland</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6020" w:type="dxa"/>
            <w:vAlign w:val="bottom"/>
          </w:tcPr>
          <w:p>
            <w:pPr>
              <w:jc w:val="center"/>
              <w:ind w:right="3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020" w:type="dxa"/>
            <w:vAlign w:val="bottom"/>
          </w:tcPr>
          <w:p>
            <w:pPr>
              <w:jc w:val="center"/>
              <w:ind w:right="3239"/>
              <w:spacing w:after="0"/>
              <w:rPr>
                <w:sz w:val="20"/>
                <w:szCs w:val="20"/>
                <w:color w:val="auto"/>
              </w:rPr>
            </w:pPr>
            <w:r>
              <w:rPr>
                <w:rFonts w:ascii="Arial" w:cs="Arial" w:eastAsia="Arial" w:hAnsi="Arial"/>
                <w:sz w:val="14"/>
                <w:szCs w:val="14"/>
                <w:b w:val="1"/>
                <w:bCs w:val="1"/>
                <w:color w:val="auto"/>
                <w:w w:val="95"/>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0"/>
              </w:rPr>
              <w:t>1603 Orrington Avenue, Suite 1005</w:t>
            </w:r>
          </w:p>
        </w:tc>
        <w:tc>
          <w:tcPr>
            <w:tcW w:w="1460" w:type="dxa"/>
            <w:vAlign w:val="bottom"/>
          </w:tcPr>
          <w:p>
            <w:pPr>
              <w:spacing w:after="0"/>
              <w:rPr>
                <w:sz w:val="24"/>
                <w:szCs w:val="24"/>
                <w:color w:val="auto"/>
              </w:rPr>
            </w:pPr>
          </w:p>
        </w:tc>
      </w:tr>
      <w:tr>
        <w:trPr>
          <w:trHeight w:val="225"/>
        </w:trPr>
        <w:tc>
          <w:tcPr>
            <w:tcW w:w="6020" w:type="dxa"/>
            <w:vAlign w:val="bottom"/>
          </w:tcPr>
          <w:p>
            <w:pPr>
              <w:jc w:val="center"/>
              <w:ind w:right="3239"/>
              <w:spacing w:after="0"/>
              <w:rPr>
                <w:sz w:val="20"/>
                <w:szCs w:val="20"/>
                <w:color w:val="auto"/>
              </w:rPr>
            </w:pPr>
            <w:r>
              <w:rPr>
                <w:rFonts w:ascii="Arial" w:cs="Arial" w:eastAsia="Arial" w:hAnsi="Arial"/>
                <w:sz w:val="18"/>
                <w:szCs w:val="18"/>
                <w:b w:val="1"/>
                <w:bCs w:val="1"/>
                <w:color w:val="auto"/>
                <w:w w:val="90"/>
              </w:rPr>
              <w:t>Evanston, Illinois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20" w:type="dxa"/>
            <w:vAlign w:val="bottom"/>
          </w:tcPr>
          <w:p>
            <w:pPr>
              <w:jc w:val="center"/>
              <w:ind w:right="3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299"/>
              <w:spacing w:after="0"/>
              <w:rPr>
                <w:sz w:val="20"/>
                <w:szCs w:val="20"/>
                <w:color w:val="auto"/>
              </w:rPr>
            </w:pPr>
            <w:r>
              <w:rPr>
                <w:rFonts w:ascii="Arial" w:cs="Arial" w:eastAsia="Arial" w:hAnsi="Arial"/>
                <w:sz w:val="18"/>
                <w:szCs w:val="18"/>
                <w:b w:val="1"/>
                <w:bCs w:val="1"/>
                <w:color w:val="auto"/>
              </w:rPr>
              <w:t>(847) 859-3940</w:t>
            </w:r>
          </w:p>
        </w:tc>
        <w:tc>
          <w:tcPr>
            <w:tcW w:w="1460" w:type="dxa"/>
            <w:vAlign w:val="bottom"/>
          </w:tcPr>
          <w:p>
            <w:pPr>
              <w:spacing w:after="0"/>
              <w:rPr>
                <w:sz w:val="24"/>
                <w:szCs w:val="24"/>
                <w:color w:val="auto"/>
              </w:rPr>
            </w:pPr>
          </w:p>
        </w:tc>
      </w:tr>
      <w:tr>
        <w:trPr>
          <w:trHeight w:val="186"/>
        </w:trPr>
        <w:tc>
          <w:tcPr>
            <w:tcW w:w="602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38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left="20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 w:leader="none" w:pos="9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20"/>
          </w:cols>
          <w:pgMar w:left="240" w:top="230" w:right="439" w:bottom="0" w:gutter="0" w:footer="0" w:header="0"/>
        </w:sectPr>
      </w:pPr>
    </w:p>
    <w:bookmarkStart w:id="1" w:name="page2"/>
    <w:bookmarkEnd w:id="1"/>
    <w:p>
      <w:pPr>
        <w:ind w:left="3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3047365</wp:posOffset>
            </wp:positionH>
            <wp:positionV relativeFrom="page">
              <wp:posOffset>311785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t>Securities registered pursuant to Section 12(b) of the Act:</w:t>
      </w:r>
    </w:p>
    <w:p>
      <w:pPr>
        <w:spacing w:after="0" w:line="248"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60" w:type="dxa"/>
            <w:vAlign w:val="bottom"/>
          </w:tcPr>
          <w:p>
            <w:pPr>
              <w:spacing w:after="0"/>
              <w:rPr>
                <w:sz w:val="14"/>
                <w:szCs w:val="14"/>
                <w:color w:val="auto"/>
              </w:rPr>
            </w:pPr>
          </w:p>
        </w:tc>
        <w:tc>
          <w:tcPr>
            <w:tcW w:w="544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60" w:type="dxa"/>
            <w:vAlign w:val="bottom"/>
            <w:vMerge w:val="restart"/>
          </w:tcPr>
          <w:p>
            <w:pPr>
              <w:spacing w:after="0"/>
              <w:rPr>
                <w:sz w:val="20"/>
                <w:szCs w:val="20"/>
                <w:color w:val="auto"/>
              </w:rPr>
            </w:pPr>
            <w:r>
              <w:rPr>
                <w:rFonts w:ascii="Arial" w:cs="Arial" w:eastAsia="Arial" w:hAnsi="Arial"/>
                <w:sz w:val="18"/>
                <w:szCs w:val="18"/>
                <w:color w:val="auto"/>
              </w:rPr>
              <w:t>0.001 per share</w:t>
            </w:r>
          </w:p>
        </w:tc>
        <w:tc>
          <w:tcPr>
            <w:tcW w:w="18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20" w:type="dxa"/>
            <w:vAlign w:val="bottom"/>
            <w:gridSpan w:val="2"/>
          </w:tcPr>
          <w:p>
            <w:pPr>
              <w:spacing w:after="0" w:line="195" w:lineRule="exact"/>
              <w:rPr>
                <w:sz w:val="20"/>
                <w:szCs w:val="20"/>
                <w:color w:val="auto"/>
              </w:rPr>
            </w:pPr>
            <w:r>
              <w:rPr>
                <w:rFonts w:ascii="Arial" w:cs="Arial" w:eastAsia="Arial" w:hAnsi="Arial"/>
                <w:sz w:val="18"/>
                <w:szCs w:val="18"/>
                <w:color w:val="auto"/>
                <w:w w:val="94"/>
              </w:rPr>
              <w:t>Common Stock, par value $</w:t>
            </w:r>
          </w:p>
        </w:tc>
        <w:tc>
          <w:tcPr>
            <w:tcW w:w="1860" w:type="dxa"/>
            <w:vAlign w:val="bottom"/>
            <w:vMerge w:val="continue"/>
          </w:tcPr>
          <w:p>
            <w:pPr>
              <w:spacing w:after="0"/>
              <w:rPr>
                <w:sz w:val="16"/>
                <w:szCs w:val="16"/>
                <w:color w:val="auto"/>
              </w:rPr>
            </w:pPr>
          </w:p>
        </w:tc>
        <w:tc>
          <w:tcPr>
            <w:tcW w:w="5440" w:type="dxa"/>
            <w:vAlign w:val="bottom"/>
            <w:gridSpan w:val="3"/>
          </w:tcPr>
          <w:p>
            <w:pPr>
              <w:jc w:val="center"/>
              <w:ind w:left="774"/>
              <w:spacing w:after="0" w:line="195" w:lineRule="exact"/>
              <w:rPr>
                <w:sz w:val="20"/>
                <w:szCs w:val="20"/>
                <w:color w:val="auto"/>
              </w:rPr>
            </w:pPr>
            <w:r>
              <w:rPr>
                <w:rFonts w:ascii="Arial" w:cs="Arial" w:eastAsia="Arial" w:hAnsi="Arial"/>
                <w:sz w:val="18"/>
                <w:szCs w:val="18"/>
                <w:color w:val="auto"/>
                <w:w w:val="93"/>
              </w:rPr>
              <w:t>The NASDAQ Global Select Market (trading symbol: FDUS)</w:t>
            </w:r>
          </w:p>
        </w:tc>
        <w:tc>
          <w:tcPr>
            <w:tcW w:w="0" w:type="dxa"/>
            <w:vAlign w:val="bottom"/>
          </w:tcPr>
          <w:p>
            <w:pPr>
              <w:spacing w:after="0"/>
              <w:rPr>
                <w:sz w:val="1"/>
                <w:szCs w:val="1"/>
                <w:color w:val="auto"/>
              </w:rPr>
            </w:pPr>
          </w:p>
        </w:tc>
      </w:tr>
      <w:tr>
        <w:trPr>
          <w:trHeight w:val="216"/>
        </w:trPr>
        <w:tc>
          <w:tcPr>
            <w:tcW w:w="3980" w:type="dxa"/>
            <w:vAlign w:val="bottom"/>
            <w:gridSpan w:val="3"/>
          </w:tcPr>
          <w:p>
            <w:pPr>
              <w:jc w:val="center"/>
              <w:ind w:right="750"/>
              <w:spacing w:after="0"/>
              <w:rPr>
                <w:sz w:val="20"/>
                <w:szCs w:val="20"/>
                <w:color w:val="auto"/>
              </w:rPr>
            </w:pPr>
            <w:r>
              <w:rPr>
                <w:rFonts w:ascii="Arial" w:cs="Arial" w:eastAsia="Arial" w:hAnsi="Arial"/>
                <w:sz w:val="18"/>
                <w:szCs w:val="18"/>
                <w:color w:val="auto"/>
                <w:w w:val="90"/>
              </w:rPr>
              <w:t>5.875% Notes due 2023</w:t>
            </w:r>
          </w:p>
        </w:tc>
        <w:tc>
          <w:tcPr>
            <w:tcW w:w="5440" w:type="dxa"/>
            <w:vAlign w:val="bottom"/>
            <w:gridSpan w:val="3"/>
          </w:tcPr>
          <w:p>
            <w:pPr>
              <w:jc w:val="center"/>
              <w:ind w:left="774"/>
              <w:spacing w:after="0"/>
              <w:rPr>
                <w:sz w:val="20"/>
                <w:szCs w:val="20"/>
                <w:color w:val="auto"/>
              </w:rPr>
            </w:pPr>
            <w:r>
              <w:rPr>
                <w:rFonts w:ascii="Arial" w:cs="Arial" w:eastAsia="Arial" w:hAnsi="Arial"/>
                <w:sz w:val="18"/>
                <w:szCs w:val="18"/>
                <w:color w:val="auto"/>
                <w:w w:val="94"/>
              </w:rPr>
              <w:t>The NASDAQ Global Select Market (trading symbol: FDUSL)</w:t>
            </w:r>
          </w:p>
        </w:tc>
        <w:tc>
          <w:tcPr>
            <w:tcW w:w="0" w:type="dxa"/>
            <w:vAlign w:val="bottom"/>
          </w:tcPr>
          <w:p>
            <w:pPr>
              <w:spacing w:after="0"/>
              <w:rPr>
                <w:sz w:val="1"/>
                <w:szCs w:val="1"/>
                <w:color w:val="auto"/>
              </w:rPr>
            </w:pPr>
          </w:p>
        </w:tc>
      </w:tr>
      <w:tr>
        <w:trPr>
          <w:trHeight w:val="230"/>
        </w:trPr>
        <w:tc>
          <w:tcPr>
            <w:tcW w:w="3980" w:type="dxa"/>
            <w:vAlign w:val="bottom"/>
            <w:gridSpan w:val="3"/>
          </w:tcPr>
          <w:p>
            <w:pPr>
              <w:jc w:val="center"/>
              <w:ind w:right="750"/>
              <w:spacing w:after="0"/>
              <w:rPr>
                <w:sz w:val="20"/>
                <w:szCs w:val="20"/>
                <w:color w:val="auto"/>
              </w:rPr>
            </w:pPr>
            <w:r>
              <w:rPr>
                <w:rFonts w:ascii="Arial" w:cs="Arial" w:eastAsia="Arial" w:hAnsi="Arial"/>
                <w:sz w:val="18"/>
                <w:szCs w:val="18"/>
                <w:color w:val="auto"/>
                <w:w w:val="90"/>
              </w:rPr>
              <w:t>6.000% Notes due 2024</w:t>
            </w:r>
          </w:p>
        </w:tc>
        <w:tc>
          <w:tcPr>
            <w:tcW w:w="5440" w:type="dxa"/>
            <w:vAlign w:val="bottom"/>
            <w:gridSpan w:val="3"/>
          </w:tcPr>
          <w:p>
            <w:pPr>
              <w:jc w:val="center"/>
              <w:ind w:left="774"/>
              <w:spacing w:after="0"/>
              <w:rPr>
                <w:sz w:val="20"/>
                <w:szCs w:val="20"/>
                <w:color w:val="auto"/>
              </w:rPr>
            </w:pPr>
            <w:r>
              <w:rPr>
                <w:rFonts w:ascii="Arial" w:cs="Arial" w:eastAsia="Arial" w:hAnsi="Arial"/>
                <w:sz w:val="18"/>
                <w:szCs w:val="18"/>
                <w:color w:val="auto"/>
                <w:w w:val="93"/>
              </w:rPr>
              <w:t>The NASDAQ Global Select Market (trading symbol: FDUSZ)</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2019, the Registrant had outstanding 24,463,119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640"/>
          </w:cols>
          <w:pgMar w:left="440" w:top="702"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4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60" w:type="dxa"/>
            <w:vAlign w:val="bottom"/>
            <w:gridSpan w:val="13"/>
          </w:tcPr>
          <w:p>
            <w:pPr>
              <w:jc w:val="center"/>
              <w:ind w:right="1880"/>
              <w:spacing w:after="0"/>
              <w:rPr>
                <w:sz w:val="20"/>
                <w:szCs w:val="20"/>
                <w:color w:val="auto"/>
              </w:rPr>
            </w:pPr>
            <w:r>
              <w:rPr>
                <w:rFonts w:ascii="Arial" w:cs="Arial" w:eastAsia="Arial" w:hAnsi="Arial"/>
                <w:sz w:val="18"/>
                <w:szCs w:val="18"/>
                <w:b w:val="1"/>
                <w:bCs w:val="1"/>
                <w:color w:val="auto"/>
              </w:rPr>
              <w:t>FIDUS INVESTMENT CORPORATION</w:t>
            </w:r>
          </w:p>
        </w:tc>
        <w:tc>
          <w:tcPr>
            <w:tcW w:w="114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40" w:type="dxa"/>
            <w:vAlign w:val="bottom"/>
            <w:gridSpan w:val="11"/>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60" w:type="dxa"/>
            <w:vAlign w:val="bottom"/>
            <w:gridSpan w:val="13"/>
          </w:tcPr>
          <w:p>
            <w:pPr>
              <w:jc w:val="center"/>
              <w:ind w:right="1900"/>
              <w:spacing w:after="0"/>
              <w:rPr>
                <w:sz w:val="20"/>
                <w:szCs w:val="20"/>
                <w:color w:val="auto"/>
              </w:rPr>
            </w:pPr>
            <w:r>
              <w:rPr>
                <w:rFonts w:ascii="Arial" w:cs="Arial" w:eastAsia="Arial" w:hAnsi="Arial"/>
                <w:sz w:val="18"/>
                <w:szCs w:val="18"/>
                <w:b w:val="1"/>
                <w:bCs w:val="1"/>
                <w:color w:val="auto"/>
                <w:w w:val="99"/>
              </w:rPr>
              <w:t>QUARTERLY REPORT ON FORM 10-Q</w:t>
            </w:r>
          </w:p>
        </w:tc>
        <w:tc>
          <w:tcPr>
            <w:tcW w:w="114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54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2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58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Assets and Liabilities — March 31, 2019 (unaudited) and December 31, 2018</w:t>
              </w:r>
            </w:hyperlink>
          </w:p>
        </w:tc>
        <w:tc>
          <w:tcPr>
            <w:tcW w:w="142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 Three Months Ended March 31, 2019 (unaudited) and 2018 (unaudited)</w:t>
              </w:r>
            </w:hyperlink>
          </w:p>
        </w:tc>
        <w:tc>
          <w:tcPr>
            <w:tcW w:w="84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Net Assets — Three Months Ended March 31, 2019 (unaudited) and 2018 (unaudited)</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 Three Months Ended March 31, 2019 (unaudited) and 2018 (unaudited)</w:t>
              </w:r>
            </w:hyperlink>
          </w:p>
        </w:tc>
        <w:tc>
          <w:tcPr>
            <w:tcW w:w="7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9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Schedules of Investments — March 31, 2019 (unaudited) and December 31, 2018</w:t>
              </w:r>
            </w:hyperlink>
          </w:p>
        </w:tc>
        <w:tc>
          <w:tcPr>
            <w:tcW w:w="216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Notes to Consolidated Financial Statements (unaudited)</w:t>
              </w:r>
            </w:hyperlink>
          </w:p>
        </w:tc>
        <w:tc>
          <w:tcPr>
            <w:tcW w:w="506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08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64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8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 — OTHER INFORMATION</w:t>
              </w:r>
            </w:hyperlink>
          </w:p>
        </w:tc>
        <w:tc>
          <w:tcPr>
            <w:tcW w:w="268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08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7760" w:type="dxa"/>
            <w:vAlign w:val="bottom"/>
            <w:gridSpan w:val="1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Unregistered Sales of Equity Securities and Use of Proceeds</w:t>
              </w:r>
            </w:hyperlink>
          </w:p>
        </w:tc>
        <w:tc>
          <w:tcPr>
            <w:tcW w:w="474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676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Mine Safety Disclosures</w:t>
              </w:r>
            </w:hyperlink>
          </w:p>
        </w:tc>
        <w:tc>
          <w:tcPr>
            <w:tcW w:w="732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08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778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60" w:type="dxa"/>
            <w:vAlign w:val="bottom"/>
            <w:gridSpan w:val="2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 Index</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85"/>
        </w:trPr>
        <w:tc>
          <w:tcPr>
            <w:tcW w:w="2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180" w:type="dxa"/>
            <w:vAlign w:val="bottom"/>
            <w:gridSpan w:val="14"/>
          </w:tcPr>
          <w:p>
            <w:pPr>
              <w:jc w:val="center"/>
              <w:ind w:left="279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906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rPr>
              <w:t>FIDUS INVESTMENT CORPORATION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88"/>
              </w:rPr>
              <w:t>(in thousands, except shares and per share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March 31, 2019</w:t>
            </w: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7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Control investments (cost: $7,338 and $22,697,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Affiliate investments (cost: $66,636 and $70,924,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Non-control/non-affiliate investments (cost: $548,730 and $505,129, respectively)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4"/>
          </w:tcPr>
          <w:p>
            <w:pPr>
              <w:ind w:left="200"/>
              <w:spacing w:after="0"/>
              <w:rPr>
                <w:sz w:val="20"/>
                <w:szCs w:val="20"/>
                <w:color w:val="auto"/>
              </w:rPr>
            </w:pPr>
            <w:r>
              <w:rPr>
                <w:rFonts w:ascii="Arial" w:cs="Arial" w:eastAsia="Arial" w:hAnsi="Arial"/>
                <w:sz w:val="18"/>
                <w:szCs w:val="18"/>
                <w:color w:val="auto"/>
              </w:rPr>
              <w:t>Total investments, at fair value (cost: $622,704 and $598,750,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670,481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w w:val="82"/>
              </w:rPr>
              <w:t>Total assets</w:t>
            </w:r>
          </w:p>
        </w:tc>
        <w:tc>
          <w:tcPr>
            <w:tcW w:w="2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60" w:type="dxa"/>
            <w:vAlign w:val="bottom"/>
            <w:gridSpan w:val="4"/>
          </w:tcPr>
          <w:p>
            <w:pPr>
              <w:ind w:left="200"/>
              <w:spacing w:after="0"/>
              <w:rPr>
                <w:sz w:val="20"/>
                <w:szCs w:val="20"/>
                <w:color w:val="auto"/>
              </w:rPr>
            </w:pPr>
            <w:r>
              <w:rPr>
                <w:rFonts w:ascii="Arial" w:cs="Arial" w:eastAsia="Arial" w:hAnsi="Arial"/>
                <w:sz w:val="18"/>
                <w:szCs w:val="18"/>
                <w:color w:val="auto"/>
              </w:rPr>
              <w:t>SBA debentures, net of deferred financing costs (Note 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167,332</w:t>
            </w:r>
          </w:p>
        </w:tc>
        <w:tc>
          <w:tcPr>
            <w:tcW w:w="180" w:type="dxa"/>
            <w:vAlign w:val="bottom"/>
          </w:tcPr>
          <w:p>
            <w:pPr>
              <w:spacing w:after="0"/>
              <w:rPr>
                <w:sz w:val="24"/>
                <w:szCs w:val="24"/>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186,734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Notes, net of deferred financing costs (Note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Base management fee payable – due to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60" w:type="dxa"/>
            <w:vAlign w:val="bottom"/>
            <w:gridSpan w:val="4"/>
          </w:tcPr>
          <w:p>
            <w:pPr>
              <w:ind w:left="200"/>
              <w:spacing w:after="0"/>
              <w:rPr>
                <w:sz w:val="20"/>
                <w:szCs w:val="20"/>
                <w:color w:val="auto"/>
              </w:rPr>
            </w:pPr>
            <w:r>
              <w:rPr>
                <w:rFonts w:ascii="Arial" w:cs="Arial" w:eastAsia="Arial" w:hAnsi="Arial"/>
                <w:sz w:val="18"/>
                <w:szCs w:val="18"/>
                <w:b w:val="1"/>
                <w:bCs w:val="1"/>
                <w:color w:val="auto"/>
              </w:rPr>
              <w:t>NET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$0.001 par value (100,000,000 shares authorized, 24,463,119 shares issued and outstanding at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2019 and December 31, 2018,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704,849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Net asset value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46"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29"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060"/>
              <w:spacing w:after="0"/>
              <w:rPr>
                <w:sz w:val="20"/>
                <w:szCs w:val="20"/>
                <w:color w:val="auto"/>
              </w:rPr>
            </w:pPr>
            <w:r>
              <w:rPr>
                <w:rFonts w:ascii="Arial" w:cs="Arial" w:eastAsia="Arial" w:hAnsi="Arial"/>
                <w:sz w:val="18"/>
                <w:szCs w:val="18"/>
                <w:color w:val="auto"/>
              </w:rPr>
              <w:t>Total interest income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Payment-in-kind interest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payment-in-kind interest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060"/>
              <w:spacing w:after="0"/>
              <w:rPr>
                <w:sz w:val="20"/>
                <w:szCs w:val="20"/>
                <w:color w:val="auto"/>
              </w:rPr>
            </w:pPr>
            <w:r>
              <w:rPr>
                <w:rFonts w:ascii="Arial" w:cs="Arial" w:eastAsia="Arial" w:hAnsi="Arial"/>
                <w:sz w:val="18"/>
                <w:szCs w:val="18"/>
                <w:color w:val="auto"/>
              </w:rPr>
              <w:t>Total dividend income</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fee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on idle funds and other income</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Base management fee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fee -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Incentive fee - capital gains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(losses):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realized gain (loss) on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Income tax (provision) benefit from realized gains on investments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gain on investments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share — basic and 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24,498,041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240"/>
          </w:cols>
          <w:pgMar w:left="240" w:top="459" w:right="419" w:bottom="611"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61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3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24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distributable</w:t>
            </w: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earnings</w:t>
            </w: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24,507,940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$370,796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$393,273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24,463,119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24,463,119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$366,278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9,599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3,545</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(9,541)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24,463,119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366,278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11,372</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Adjustments to reconcile net increase in net assets resulting from operations to net cash provided by (used for)</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Interest and dividend income paid-in-kind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original issue discount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Accretion of loan origination fees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Proceeds from sales and repayments of investments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 origination fees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Realized losses on extinguishment of debt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interest and fees payable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Base management fee payable – due to affiliate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incentive fee payable – due to affiliate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Capital gains incentive fee payable – due to affiliate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Administration fee payable and other – due to affiliate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Taxes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Proceeds received from SBA debentures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SBA debentures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Proceeds received from issuance of Public Notes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Payment of deferred financing costs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 paid to stockholders, including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Repurchases of common stock under Stock Repurchase Program</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14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payments for interest</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Cash payments for taxes, net of tax refunds received</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40" w:type="dxa"/>
            <w:vAlign w:val="bottom"/>
            <w:gridSpan w:val="5"/>
          </w:tcPr>
          <w:p>
            <w:pPr>
              <w:spacing w:after="0"/>
              <w:rPr>
                <w:sz w:val="20"/>
                <w:szCs w:val="20"/>
                <w:color w:val="auto"/>
              </w:rPr>
            </w:pPr>
            <w:r>
              <w:rPr>
                <w:rFonts w:ascii="Arial" w:cs="Arial" w:eastAsia="Arial" w:hAnsi="Arial"/>
                <w:sz w:val="14"/>
                <w:szCs w:val="14"/>
                <w:b w:val="1"/>
                <w:bCs w:val="1"/>
                <w:color w:val="auto"/>
              </w:rPr>
              <w:t>Portfolio Company (a)(b)</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1"/>
        </w:trPr>
        <w:tc>
          <w:tcPr>
            <w:tcW w:w="4240" w:type="dxa"/>
            <w:vAlign w:val="bottom"/>
            <w:gridSpan w:val="5"/>
          </w:tcPr>
          <w:p>
            <w:pPr>
              <w:spacing w:after="0"/>
              <w:rPr>
                <w:sz w:val="20"/>
                <w:szCs w:val="20"/>
                <w:color w:val="auto"/>
              </w:rPr>
            </w:pPr>
            <w:r>
              <w:rPr>
                <w:rFonts w:ascii="Arial" w:cs="Arial" w:eastAsia="Arial" w:hAnsi="Arial"/>
                <w:sz w:val="14"/>
                <w:szCs w:val="14"/>
                <w:b w:val="1"/>
                <w:bCs w:val="1"/>
                <w:color w:val="auto"/>
              </w:rPr>
              <w:t>Investment Type (c)</w:t>
            </w:r>
          </w:p>
        </w:tc>
        <w:tc>
          <w:tcPr>
            <w:tcW w:w="2200" w:type="dxa"/>
            <w:vAlign w:val="bottom"/>
          </w:tcPr>
          <w:p>
            <w:pPr>
              <w:ind w:left="82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Cash/PIK</w:t>
            </w:r>
          </w:p>
        </w:tc>
        <w:tc>
          <w:tcPr>
            <w:tcW w:w="8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 (t)</w:t>
            </w:r>
          </w:p>
        </w:tc>
        <w:tc>
          <w:tcPr>
            <w:tcW w:w="2680" w:type="dxa"/>
            <w:vAlign w:val="bottom"/>
            <w:tcBorders>
              <w:top w:val="single" w:sz="8" w:color="CCEEFF"/>
            </w:tcBorders>
            <w:shd w:val="clear" w:color="auto" w:fill="CCEEFF"/>
          </w:tcPr>
          <w:p>
            <w:pPr>
              <w:spacing w:after="0"/>
              <w:rPr>
                <w:sz w:val="9"/>
                <w:szCs w:val="9"/>
                <w:color w:val="auto"/>
              </w:rPr>
            </w:pPr>
          </w:p>
        </w:tc>
        <w:tc>
          <w:tcPr>
            <w:tcW w:w="2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rPr>
              <w:t>FDS Avionics Corp. (dba Flight Display Systems)</w:t>
            </w:r>
          </w:p>
        </w:tc>
        <w:tc>
          <w:tcPr>
            <w:tcW w:w="2200" w:type="dxa"/>
            <w:vAlign w:val="bottom"/>
          </w:tcPr>
          <w:p>
            <w:pPr>
              <w:ind w:left="40"/>
              <w:spacing w:after="0" w:line="142" w:lineRule="exact"/>
              <w:rPr>
                <w:sz w:val="20"/>
                <w:szCs w:val="20"/>
                <w:color w:val="auto"/>
              </w:rPr>
            </w:pPr>
            <w:r>
              <w:rPr>
                <w:rFonts w:ascii="Arial" w:cs="Arial" w:eastAsia="Arial" w:hAnsi="Arial"/>
                <w:sz w:val="14"/>
                <w:szCs w:val="14"/>
                <w:color w:val="auto"/>
                <w:w w:val="93"/>
              </w:rPr>
              <w:t>Aerospace &amp; Defense Manufacturing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4.00%/11.00%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4/1/2020</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Revolving Loan ($50 commitment)</w:t>
            </w:r>
          </w:p>
        </w:tc>
        <w:tc>
          <w:tcPr>
            <w:tcW w:w="2200" w:type="dxa"/>
            <w:vAlign w:val="bottom"/>
          </w:tcPr>
          <w:p>
            <w:pPr>
              <w:spacing w:after="0"/>
              <w:rPr>
                <w:sz w:val="12"/>
                <w:szCs w:val="12"/>
                <w:color w:val="auto"/>
              </w:rPr>
            </w:pPr>
          </w:p>
        </w:tc>
        <w:tc>
          <w:tcPr>
            <w:tcW w:w="9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4.00%/11.00%</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4/1/2020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(7,478 shares) (j)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7,338</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5,098</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 Investments</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Affiliate Investments (l)</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5"/>
            <w:vMerge w:val="continue"/>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w w:val="99"/>
              </w:rPr>
              <w:t>FAR Research Inc. (n)</w:t>
            </w:r>
          </w:p>
        </w:tc>
        <w:tc>
          <w:tcPr>
            <w:tcW w:w="2780" w:type="dxa"/>
            <w:vAlign w:val="bottom"/>
            <w:gridSpan w:val="2"/>
            <w:shd w:val="clear" w:color="auto" w:fill="CCEEFF"/>
          </w:tcPr>
          <w:p>
            <w:pPr>
              <w:spacing w:after="0"/>
              <w:rPr>
                <w:sz w:val="12"/>
                <w:szCs w:val="12"/>
                <w:color w:val="auto"/>
              </w:rPr>
            </w:pPr>
          </w:p>
        </w:tc>
        <w:tc>
          <w:tcPr>
            <w:tcW w:w="2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Specialty Chemicals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Common Equity (1,396 units)</w:t>
            </w: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Fiber Materials,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Aerospace &amp; Defense Manufacturing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Common Equity (10 units)</w:t>
            </w: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2,900</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Medsurant Holdings,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Services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9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13.00%/0.00%</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6/30/2020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8,799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Preferred Equity (126,662 units) (h)</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Warrant (505,176 units) (h)(m)</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4,516</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7,671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18,620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Microbiology Research Associates,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Healthcare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Subordinated Debt</w:t>
            </w:r>
          </w:p>
        </w:tc>
        <w:tc>
          <w:tcPr>
            <w:tcW w:w="2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11.00%/1.50%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3/13/2022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(1,625,731 units)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1,939</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10,756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Mirage Trailers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Utility Equipment Manufacturing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 (k)(f)</w:t>
            </w:r>
          </w:p>
        </w:tc>
        <w:tc>
          <w:tcPr>
            <w:tcW w:w="2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13.98%/1.50%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11/25/2020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(2,500,000 shares) (g)</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3,154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9,285</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Pfanstiehl,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Healthcare Products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Subordinated Debt</w:t>
            </w:r>
          </w:p>
        </w:tc>
        <w:tc>
          <w:tcPr>
            <w:tcW w:w="2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10.50%/0.00%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9/29/2022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(8,500 units)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15,348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21,556</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Pinnergy, Ltd.</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Oil &amp; Gas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12.00%/0.00%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1/24/2020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 Class A-2 (42,500 units) (k)</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36,535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 Class B (1,000 units) (k)</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9,995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43,535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Steward Holding LLC (dba Steward Advanced Materials)</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Aerospace &amp; Defense Manufacturing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9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12.00%/1.50%</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5/12/2021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7,581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7,581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(1,000,000 units)</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8,568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9,066</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Trantech Radiator Products,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Utility Equipment Manufacturing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 (j)</w:t>
            </w:r>
          </w:p>
        </w:tc>
        <w:tc>
          <w:tcPr>
            <w:tcW w:w="2200" w:type="dxa"/>
            <w:vAlign w:val="bottom"/>
          </w:tcPr>
          <w:p>
            <w:pPr>
              <w:spacing w:after="0"/>
              <w:rPr>
                <w:sz w:val="12"/>
                <w:szCs w:val="12"/>
                <w:color w:val="auto"/>
              </w:rPr>
            </w:pPr>
          </w:p>
        </w:tc>
        <w:tc>
          <w:tcPr>
            <w:tcW w:w="9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13.75%/0.00%</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(6,875 shares) (j)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Affiliate Investments</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66,636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121,522</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Portfolio Company (a)(b)</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Investment Type (c)</w:t>
            </w:r>
          </w:p>
        </w:tc>
        <w:tc>
          <w:tcPr>
            <w:tcW w:w="2080" w:type="dxa"/>
            <w:vAlign w:val="bottom"/>
          </w:tcPr>
          <w:p>
            <w:pPr>
              <w:ind w:left="7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320" w:type="dxa"/>
            <w:vAlign w:val="bottom"/>
            <w:tcBorders>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 Investments</w:t>
            </w:r>
          </w:p>
        </w:tc>
        <w:tc>
          <w:tcPr>
            <w:tcW w:w="2040" w:type="dxa"/>
            <w:vAlign w:val="bottom"/>
            <w:tcBorders>
              <w:bottom w:val="single" w:sz="8" w:color="CCEEFF"/>
            </w:tcBorders>
            <w:shd w:val="clear" w:color="auto" w:fill="CCEEFF"/>
          </w:tcPr>
          <w:p>
            <w:pPr>
              <w:spacing w:after="0"/>
              <w:rPr>
                <w:sz w:val="9"/>
                <w:szCs w:val="9"/>
                <w:color w:val="auto"/>
              </w:rPr>
            </w:pPr>
          </w:p>
        </w:tc>
        <w:tc>
          <w:tcPr>
            <w:tcW w:w="20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436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rPr>
              <w:t>Accent Food Services, LLC</w:t>
            </w:r>
          </w:p>
        </w:tc>
        <w:tc>
          <w:tcPr>
            <w:tcW w:w="2080" w:type="dxa"/>
            <w:vAlign w:val="bottom"/>
          </w:tcPr>
          <w:p>
            <w:pPr>
              <w:ind w:left="40"/>
              <w:spacing w:after="0" w:line="142" w:lineRule="exact"/>
              <w:rPr>
                <w:sz w:val="20"/>
                <w:szCs w:val="20"/>
                <w:color w:val="auto"/>
              </w:rPr>
            </w:pPr>
            <w:r>
              <w:rPr>
                <w:rFonts w:ascii="Arial" w:cs="Arial" w:eastAsia="Arial" w:hAnsi="Arial"/>
                <w:sz w:val="14"/>
                <w:szCs w:val="14"/>
                <w:color w:val="auto"/>
                <w:w w:val="94"/>
              </w:rPr>
              <w:t>Vending Equipment Manufacturing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080" w:type="dxa"/>
            <w:vAlign w:val="bottom"/>
            <w:shd w:val="clear" w:color="auto" w:fill="CCEEFF"/>
          </w:tcPr>
          <w:p>
            <w:pPr>
              <w:spacing w:after="0"/>
              <w:rPr>
                <w:sz w:val="12"/>
                <w:szCs w:val="12"/>
                <w:color w:val="auto"/>
              </w:rPr>
            </w:pPr>
          </w:p>
        </w:tc>
        <w:tc>
          <w:tcPr>
            <w:tcW w:w="17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10.00%/5.00% 5/30/2022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30,687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$ 30,588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$ 29,409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(7,885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31,388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Allied 100 Group, Inc.</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Healthcare Products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(1,250,000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Alzheimer’s Research and Treatment Center</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Healthcare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(j)(x)</w:t>
            </w:r>
          </w:p>
        </w:tc>
        <w:tc>
          <w:tcPr>
            <w:tcW w:w="2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8.58%/0.00%</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1"/>
              </w:rPr>
              <w:t>10/23/2023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(1,000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American AllWaste LLC (dba WasteWater Transport Services)</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2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11.00%/1.50%</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1"/>
              </w:rPr>
              <w:t>11/30/2023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12,041</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12,041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Delayed Draw Commitment ($2,104 commitment) (i)(j)</w:t>
            </w:r>
          </w:p>
        </w:tc>
        <w:tc>
          <w:tcPr>
            <w:tcW w:w="2080" w:type="dxa"/>
            <w:vAlign w:val="bottom"/>
          </w:tcPr>
          <w:p>
            <w:pPr>
              <w:spacing w:after="0"/>
              <w:rPr>
                <w:sz w:val="12"/>
                <w:szCs w:val="12"/>
                <w:color w:val="auto"/>
              </w:rPr>
            </w:pPr>
          </w:p>
        </w:tc>
        <w:tc>
          <w:tcPr>
            <w:tcW w:w="170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4"/>
              </w:rPr>
              <w:t>11.00%/1.50% 11/30/2019</w:t>
            </w: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(500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12,659</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Argo Turboserve Corporation</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 (j)(y)</w:t>
            </w:r>
          </w:p>
        </w:tc>
        <w:tc>
          <w:tcPr>
            <w:tcW w:w="2080" w:type="dxa"/>
            <w:vAlign w:val="bottom"/>
          </w:tcPr>
          <w:p>
            <w:pPr>
              <w:spacing w:after="0"/>
              <w:rPr>
                <w:sz w:val="12"/>
                <w:szCs w:val="12"/>
                <w:color w:val="auto"/>
              </w:rPr>
            </w:pPr>
          </w:p>
        </w:tc>
        <w:tc>
          <w:tcPr>
            <w:tcW w:w="170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9"/>
              </w:rPr>
              <w:t>12.56%/0.00% 6/28/2023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14,929</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14,929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AVC Investors, LLC (dba Auveco)</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Specialty Distribution</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08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11.50%/0.00%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7/3/2023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22,411</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22,911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23,105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B&amp;B Roadway and Security Solutions, LLC</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Component Manufacturing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080" w:type="dxa"/>
            <w:vAlign w:val="bottom"/>
          </w:tcPr>
          <w:p>
            <w:pPr>
              <w:spacing w:after="0"/>
              <w:rPr>
                <w:sz w:val="12"/>
                <w:szCs w:val="12"/>
                <w:color w:val="auto"/>
              </w:rPr>
            </w:pPr>
          </w:p>
        </w:tc>
        <w:tc>
          <w:tcPr>
            <w:tcW w:w="170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9"/>
              </w:rPr>
              <w:t>10.50%/1.50% 8/27/2023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10,167</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10,122</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9,188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(50,000 units) ($133 commitment) (h)(j)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9,463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BCC Group Holdings, Inc.</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Information Technology Services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Subordinated Debt</w:t>
            </w:r>
          </w:p>
        </w:tc>
        <w:tc>
          <w:tcPr>
            <w:tcW w:w="208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11.00%/1.00%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4/11/2023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18,032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17,859</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17,859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(451 Shares)</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Preferred Equity (37 Shares)</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18,234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18,234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BCM One Group Holdings, Inc.</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w w:val="99"/>
              </w:rPr>
              <w:t>Information Technology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 (k)</w:t>
            </w:r>
          </w:p>
        </w:tc>
        <w:tc>
          <w:tcPr>
            <w:tcW w:w="2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11.00%/0.00%</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7/3/2024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26,870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26,870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(2,286 shares)</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(133 shares)</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28,202</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Bedford Precision Parts LLC</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Specialty Distribution</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First Lien Debt (j)(s)</w:t>
            </w:r>
          </w:p>
        </w:tc>
        <w:tc>
          <w:tcPr>
            <w:tcW w:w="2080" w:type="dxa"/>
            <w:vAlign w:val="bottom"/>
          </w:tcPr>
          <w:p>
            <w:pPr>
              <w:spacing w:after="0"/>
              <w:rPr>
                <w:sz w:val="12"/>
                <w:szCs w:val="12"/>
                <w:color w:val="auto"/>
              </w:rPr>
            </w:pPr>
          </w:p>
        </w:tc>
        <w:tc>
          <w:tcPr>
            <w:tcW w:w="98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6"/>
              </w:rPr>
              <w:t>8.85%/0.00%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3/12/2024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4,963</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4,963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(500,000 units) (h)(j)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5,463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Cardboard Box LLC (dba Anthony’s Coal Fired Pizza)</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Restaurants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(521,021 units) (j)</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ControlScan, Inc.</w:t>
            </w:r>
          </w:p>
        </w:tc>
        <w:tc>
          <w:tcPr>
            <w:tcW w:w="20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Information Technology Services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08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11.00%/0.00%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1/28/2023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6,727</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(3,704 shares)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Preferred Equity (100 shares)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8,384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CRS Solutions Holdings, LLC (dba CRS Texas)</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080" w:type="dxa"/>
            <w:vAlign w:val="bottom"/>
            <w:shd w:val="clear" w:color="auto" w:fill="CCEEFF"/>
          </w:tcPr>
          <w:p>
            <w:pPr>
              <w:spacing w:after="0"/>
              <w:rPr>
                <w:sz w:val="12"/>
                <w:szCs w:val="12"/>
                <w:color w:val="auto"/>
              </w:rPr>
            </w:pPr>
          </w:p>
        </w:tc>
        <w:tc>
          <w:tcPr>
            <w:tcW w:w="17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10.50%/1.00% 9/14/2023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(750,000 units)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9,934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Diversified Search LLC</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(r)</w:t>
            </w:r>
          </w:p>
        </w:tc>
        <w:tc>
          <w:tcPr>
            <w:tcW w:w="2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8.74%/0.00%</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2/7/2024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(500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10,371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EBL, LLC (EbLens)</w:t>
            </w:r>
          </w:p>
        </w:tc>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Retail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2080" w:type="dxa"/>
            <w:vAlign w:val="bottom"/>
            <w:shd w:val="clear" w:color="auto" w:fill="CCEEFF"/>
          </w:tcPr>
          <w:p>
            <w:pPr>
              <w:spacing w:after="0"/>
              <w:rPr>
                <w:sz w:val="12"/>
                <w:szCs w:val="12"/>
                <w:color w:val="auto"/>
              </w:rPr>
            </w:pPr>
          </w:p>
        </w:tc>
        <w:tc>
          <w:tcPr>
            <w:tcW w:w="17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12.00%/1.00% 1/13/2023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9,412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9,349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(75,000 units)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10,087</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80" w:type="dxa"/>
            <w:vAlign w:val="bottom"/>
          </w:tcPr>
          <w:p>
            <w:pPr>
              <w:spacing w:after="0"/>
              <w:rPr>
                <w:sz w:val="14"/>
                <w:szCs w:val="14"/>
                <w:color w:val="auto"/>
              </w:rPr>
            </w:pPr>
          </w:p>
        </w:tc>
        <w:tc>
          <w:tcPr>
            <w:tcW w:w="2160" w:type="dxa"/>
            <w:vAlign w:val="bottom"/>
          </w:tcPr>
          <w:p>
            <w:pPr>
              <w:ind w:left="82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Cash/PIK</w:t>
            </w:r>
          </w:p>
        </w:tc>
        <w:tc>
          <w:tcPr>
            <w:tcW w:w="8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1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i w:val="1"/>
                <w:iCs w:val="1"/>
                <w:color w:val="auto"/>
              </w:rPr>
              <w:t>Global Plasma Solutions, Inc.</w:t>
            </w:r>
          </w:p>
        </w:tc>
        <w:tc>
          <w:tcPr>
            <w:tcW w:w="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Component Manufacturing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 (j)(v)</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7.80%/0.00%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9/21/2023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8,178</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$ 8,108</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8,178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(947 shares) (j)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(947 shares) (j)</w:t>
            </w: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8,614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Gurobi Optimization, LLC</w:t>
            </w: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Information Technology Services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 shares)</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2,473</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Hilco Plastics Holdings, LLC (dba Hilco Technologies)</w:t>
            </w: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Component Manufacturing</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11.50%/1.50%</w:t>
            </w: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12/31/2019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9,983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Preferred Equity (1,000,000 units) (h)(j)</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(72,507 units) (h)(j)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11,443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10,929</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Hub Acquisition Sub, LLC (dba Hub Pen)</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Promotional products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12.25%/0.00%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9/23/2021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24,925</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(7,500 units)</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25,174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26,413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Hunter Defense Technologies, Inc.</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Aerospace &amp; Defense Manufacturing</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 (j)(w)</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9.60%/0.00%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3/29/2023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9,747</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9,658</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9,747</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IBH Holdings, LLC (fka Inflexxion, Inc.)</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(150,000 units)</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inthinc Technology Solutions, Inc. (n)</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Information Technology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Royalty Rights</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4/24/2020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w w:val="95"/>
              </w:rPr>
              <w:t>K2 Merger Agreement Agent, LLC (fka K2 Industrial Services, Inc.) (n)</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Cleaning &amp; Coatings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0.00%/10.00%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1/28/2021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Kyjen Company, LLC (dba Outward Hound)</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Products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12.00%/0.00%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6/8/2024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13,792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(765 shares) (j)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14,544</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LNG Indy, LLC (dba Kinetrex Energy)</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 Distribution</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11.50%/0.00%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4"/>
              </w:rPr>
              <w:t>11/12/2021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4,987</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 units)</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6,679</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Marco Group International OpCo, LLC</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Cleaning &amp; Coatings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10.50%/0.75%</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1/21/2023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12,156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12,114</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12,090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(750,000 units) (h)(j)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12,855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Mesa Line Services, LLC</w:t>
            </w:r>
          </w:p>
        </w:tc>
        <w:tc>
          <w:tcPr>
            <w:tcW w:w="2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Utilities: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10.50%/1.00%</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8/1/2024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17,046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16,944</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17,046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Delayed Draw Commitment ($2,160 commitment) (i)(j)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10.50%/1.00%</w:t>
            </w: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12/31/2019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(833 shares) (j)</w:t>
            </w: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17,934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18,599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Midwest Transit Equipment, Inc.</w:t>
            </w: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 services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(14,384 shares) (j)(m)</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Warrant (9.59% of Junior Subordinated Notes) (j)(q)</w:t>
            </w: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New Era Technology, Inc.</w:t>
            </w: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Information Technology Services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(197,369 shares) (j)</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Preferred Equity (632 shares) (j)</w:t>
            </w: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1,472</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NGT Acquisition Holdings, LLC (dba Techniks Industries)</w:t>
            </w: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Component Manufacturing</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w:t>
            </w: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12.50%/2.00%</w:t>
            </w: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3/21/2022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5,304</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5,270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(378 units) (j)</w:t>
            </w: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5,448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Rate (d)</w:t>
            </w:r>
          </w:p>
        </w:tc>
        <w:tc>
          <w:tcPr>
            <w:tcW w:w="700" w:type="dxa"/>
            <w:vAlign w:val="bottom"/>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2340" w:type="dxa"/>
            <w:vAlign w:val="bottom"/>
            <w:gridSpan w:val="2"/>
          </w:tcPr>
          <w:p>
            <w:pPr>
              <w:ind w:left="840"/>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Cash/PIK</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i w:val="1"/>
                <w:iCs w:val="1"/>
                <w:color w:val="auto"/>
                <w:w w:val="96"/>
              </w:rPr>
              <w:t>Oaktree Medical Centre, P.C. (dba Pain Management Associates)</w:t>
            </w:r>
          </w:p>
        </w:tc>
        <w:tc>
          <w:tcPr>
            <w:tcW w:w="220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color w:val="auto"/>
              </w:rPr>
              <w:t>Healthcare Services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 (j)(u)</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1/1/2018</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649</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(j)(aa)</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10.00%/12.00%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3"/>
              </w:rPr>
              <w:t>7.00%/0.00%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1/1/2020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Revolving Loan (j)(u)</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14.50%/0.00%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Revolving Loan (j)(u)</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1/31/2019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Revolving Loan ($500 commitment) (j)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14.50%/0.00%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4/15/2019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13,224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10,801</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OMC Investors, LLC (dba Ohio Medical Corporation)</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Products</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12.00%/0.00%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7/15/2021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9,094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 units)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10,458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9,299</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Palisade Company, LLC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Information Technology Services</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11.75%/0.00%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5/15/2024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6,470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 shares) (j)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7,470</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Palmetto Moon, LLC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Retail</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11.50%/2.50%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10/31/2021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5,497</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5,497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(499 units) (j)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5,971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5,545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Power Grid Components, Inc.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Specialty Distribution</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11.00%/1.00%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5/20/2023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11,311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11,311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(392 shares) (j)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(9,695 shares) (j)</w:t>
            </w: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11,997</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Pugh Lubricants, LLC</w:t>
            </w:r>
          </w:p>
        </w:tc>
        <w:tc>
          <w:tcPr>
            <w:tcW w:w="2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Specialty Distribution</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12.25%/0.00%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5/10/2022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23,581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23,581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(6,125 units) (h)(j)</w:t>
            </w: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24,743</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Revenue Management Solutions, LLC</w:t>
            </w:r>
          </w:p>
        </w:tc>
        <w:tc>
          <w:tcPr>
            <w:tcW w:w="2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Information Technology Services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(2,250,000 shares)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4,212</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257"/>
        </w:trPr>
        <w:tc>
          <w:tcPr>
            <w:tcW w:w="4000" w:type="dxa"/>
            <w:vAlign w:val="bottom"/>
            <w:gridSpan w:val="3"/>
          </w:tcPr>
          <w:p>
            <w:pPr>
              <w:spacing w:after="0"/>
              <w:rPr>
                <w:sz w:val="20"/>
                <w:szCs w:val="20"/>
                <w:color w:val="auto"/>
              </w:rPr>
            </w:pPr>
            <w:r>
              <w:rPr>
                <w:rFonts w:ascii="Arial" w:cs="Arial" w:eastAsia="Arial" w:hAnsi="Arial"/>
                <w:sz w:val="14"/>
                <w:szCs w:val="14"/>
                <w:i w:val="1"/>
                <w:iCs w:val="1"/>
                <w:color w:val="auto"/>
              </w:rPr>
              <w:t>Rhino Assembly Company, LLC</w:t>
            </w:r>
          </w:p>
        </w:tc>
        <w:tc>
          <w:tcPr>
            <w:tcW w:w="2340" w:type="dxa"/>
            <w:vAlign w:val="bottom"/>
            <w:gridSpan w:val="2"/>
          </w:tcPr>
          <w:p>
            <w:pPr>
              <w:ind w:left="40"/>
              <w:spacing w:after="0"/>
              <w:rPr>
                <w:sz w:val="20"/>
                <w:szCs w:val="20"/>
                <w:color w:val="auto"/>
              </w:rPr>
            </w:pPr>
            <w:r>
              <w:rPr>
                <w:rFonts w:ascii="Arial" w:cs="Arial" w:eastAsia="Arial" w:hAnsi="Arial"/>
                <w:sz w:val="14"/>
                <w:szCs w:val="14"/>
                <w:color w:val="auto"/>
              </w:rPr>
              <w:t>Specialty Distribution</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12.00%/1.00%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11,353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11,353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Delayed Draw Commitment ($875 commitment) (i)(j)</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12.00%/1.00%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5/17/2022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(8,864 units) (h)(j)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12,251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12,533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Road Safety Services, Inc.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11.25%/1.50%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3/18/2024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10,106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10,106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(655 units)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10,682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10,850</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Rohrer Corporation</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Packaging</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10.50%/1.00%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4/1/2024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13,769</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13,646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(400 shares)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14,486</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14,322</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SES Investors, LLC (dba SES Foam)</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Products Manufacturing</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15.00%/0.00%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12/29/2020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3,095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2,743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(6,000 units) (h)(j)</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3,672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3,110</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Simplex Manufacturing Co.</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Aerospace &amp; Defense Manufacturing</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14.00%/0.00%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7/31/2019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4,050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(29 shares) (m)</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5,205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6,826</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Software Technology, LLC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Information Technology Services</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 (k)</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11.00%/0.00%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6/23/2023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(12 shares)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11,257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11,433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SpendMend LLC</w:t>
            </w:r>
          </w:p>
        </w:tc>
        <w:tc>
          <w:tcPr>
            <w:tcW w:w="2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11.00%/1.00%</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7/8/2023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10,427</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10,427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(1,000,000 units)</w:t>
            </w:r>
          </w:p>
        </w:tc>
        <w:tc>
          <w:tcPr>
            <w:tcW w:w="2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11,384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11,768</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3%</w:t>
            </w:r>
          </w:p>
        </w:tc>
      </w:tr>
    </w:tbl>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5"/>
          </w:tcPr>
          <w:p>
            <w:pPr>
              <w:jc w:val="right"/>
              <w:ind w:right="149"/>
              <w:spacing w:after="0"/>
              <w:rPr>
                <w:sz w:val="20"/>
                <w:szCs w:val="20"/>
                <w:color w:val="auto"/>
              </w:rPr>
            </w:pPr>
            <w:r>
              <w:rPr>
                <w:rFonts w:ascii="Arial" w:cs="Arial" w:eastAsia="Arial" w:hAnsi="Arial"/>
                <w:sz w:val="14"/>
                <w:szCs w:val="14"/>
                <w:b w:val="1"/>
                <w:bCs w:val="1"/>
                <w:color w:val="auto"/>
              </w:rPr>
              <w:t>Principal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120" w:type="dxa"/>
            <w:vAlign w:val="bottom"/>
          </w:tcPr>
          <w:p>
            <w:pPr>
              <w:spacing w:after="0"/>
              <w:rPr>
                <w:sz w:val="14"/>
                <w:szCs w:val="14"/>
                <w:color w:val="auto"/>
              </w:rPr>
            </w:pPr>
          </w:p>
        </w:tc>
        <w:tc>
          <w:tcPr>
            <w:tcW w:w="1980" w:type="dxa"/>
            <w:vAlign w:val="bottom"/>
          </w:tcPr>
          <w:p>
            <w:pPr>
              <w:ind w:left="72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Cash/PIK</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78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i w:val="1"/>
                <w:iCs w:val="1"/>
                <w:color w:val="auto"/>
                <w:w w:val="96"/>
              </w:rPr>
              <w:t>Thermoforming Technology Group LLC (dba Brown Machine Group) (n)</w:t>
            </w: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94"/>
              </w:rPr>
              <w:t>Capital Equipment Manufacturing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(3,760 units) (h)(j)</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TransGo,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Component Manufacturing</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13.25%/0.00%</w:t>
            </w:r>
          </w:p>
        </w:tc>
        <w:tc>
          <w:tcPr>
            <w:tcW w:w="6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8/28/2022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 units)</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10,469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10,444</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Tranzonic Companies</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Specialty Distribution</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10.00%/1.50%</w:t>
            </w:r>
          </w:p>
        </w:tc>
        <w:tc>
          <w:tcPr>
            <w:tcW w:w="6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3/27/2025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6,770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(5,653 units) (j)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(1 units) (j)</w:t>
            </w: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7,309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UBEO, LLC</w:t>
            </w:r>
          </w:p>
        </w:tc>
        <w:tc>
          <w:tcPr>
            <w:tcW w:w="2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11.00%/0.00%</w:t>
            </w:r>
          </w:p>
        </w:tc>
        <w:tc>
          <w:tcPr>
            <w:tcW w:w="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10/3/2024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Delayed Draw Commitment ($1,500 commitment) (j)(i)(z)</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11.00%/0.00%</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8/7/2019</w:t>
            </w:r>
          </w:p>
        </w:tc>
        <w:tc>
          <w:tcPr>
            <w:tcW w:w="80" w:type="dxa"/>
            <w:vAlign w:val="bottom"/>
          </w:tcPr>
          <w:p>
            <w:pPr>
              <w:spacing w:after="0"/>
              <w:rPr>
                <w:sz w:val="12"/>
                <w:szCs w:val="12"/>
                <w:color w:val="auto"/>
              </w:rPr>
            </w:pPr>
          </w:p>
        </w:tc>
        <w:tc>
          <w:tcPr>
            <w:tcW w:w="780" w:type="dxa"/>
            <w:vAlign w:val="bottom"/>
            <w:gridSpan w:val="4"/>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(705,000 units) (j)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13,682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14,090</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United Biologics,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Preferred Equity (98,377 units) (h)(j)</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(57,469 units) (m)</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1,574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88</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US GreenFiber,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Building Products Manufacturing</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(k)(p)</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12.00%/2.00%</w:t>
            </w:r>
          </w:p>
        </w:tc>
        <w:tc>
          <w:tcPr>
            <w:tcW w:w="6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7/15/2019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5,191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(p)</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0.00%/16.00%</w:t>
            </w:r>
          </w:p>
        </w:tc>
        <w:tc>
          <w:tcPr>
            <w:tcW w:w="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7/15/2019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(2,522 units) (h)(j)</w:t>
            </w: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US Pack Logistics LLC</w:t>
            </w:r>
          </w:p>
        </w:tc>
        <w:tc>
          <w:tcPr>
            <w:tcW w:w="2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Transportation services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12.00%/1.75%</w:t>
            </w:r>
          </w:p>
        </w:tc>
        <w:tc>
          <w:tcPr>
            <w:tcW w:w="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3/28/2023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7,444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(5,833 units) (h)(j)</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(9,458 units) (h)(j)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8,912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7,930</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Vanguard Dealer Services,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(6,000 units)</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(2,380 units) (j)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1,416</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Virginia Tile Company,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Specialty Distribution</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12.25%/0.00%</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4/7/2022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(17 units)</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12,324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13,165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Wolf Organization,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Building Products Manufacturing</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gridSpan w:val="2"/>
          </w:tcPr>
          <w:p>
            <w:pPr>
              <w:ind w:left="280"/>
              <w:spacing w:after="0"/>
              <w:rPr>
                <w:sz w:val="20"/>
                <w:szCs w:val="20"/>
                <w:color w:val="auto"/>
              </w:rPr>
            </w:pPr>
            <w:r>
              <w:rPr>
                <w:rFonts w:ascii="Arial" w:cs="Arial" w:eastAsia="Arial" w:hAnsi="Arial"/>
                <w:sz w:val="14"/>
                <w:szCs w:val="14"/>
                <w:color w:val="auto"/>
              </w:rPr>
              <w:t>Common Equity (175 shares)</w:t>
            </w: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3,818</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5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Worldwide Express Operations, LLC</w:t>
            </w:r>
          </w:p>
        </w:tc>
        <w:tc>
          <w:tcPr>
            <w:tcW w:w="2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Transportation services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(j)(o)</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10.86%/0.00%</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2/3/2025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19,702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(4,000 units) (h)(j)</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3,837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23,837</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Non-control/Non-affiliate Investments</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548,730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543,861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line="20" w:lineRule="exact"/>
              <w:rPr>
                <w:sz w:val="1"/>
                <w:szCs w:val="1"/>
                <w:color w:val="auto"/>
              </w:rPr>
            </w:pPr>
          </w:p>
        </w:tc>
      </w:tr>
      <w:tr>
        <w:trPr>
          <w:trHeight w:val="143"/>
        </w:trPr>
        <w:tc>
          <w:tcPr>
            <w:tcW w:w="4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0"/>
              </w:rPr>
              <w:t>622,704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6"/>
              </w:rPr>
              <w:t>670,481</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52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52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520" w:right="18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March 31, 2019. Generally, payment-in-kind interest can be paid-in-kind or all in cash.</w:t>
      </w:r>
    </w:p>
    <w:p>
      <w:pPr>
        <w:ind w:left="520" w:right="14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520" w:right="26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bears cash interest at a variable rate that is determined by reference to one-month LIBOR, which is reset monthly. The cash interest rate is set as one-month LIBOR + 11.50% and is subject to a 1.00% LIBOR interest rate floor. The Company has provided the interest rate in effect as of March 31, 2019.</w:t>
      </w:r>
    </w:p>
    <w:p>
      <w:pPr>
        <w:ind w:left="52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520" w:hanging="316"/>
        <w:spacing w:after="0" w:line="22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by a wholly-owned subsidiary of the Company, other than the Funds.</w:t>
      </w:r>
    </w:p>
    <w:p>
      <w:pPr>
        <w:ind w:left="520" w:right="60" w:hanging="316"/>
        <w:spacing w:after="0" w:line="23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March 31, 2019. The Company is earning 0.50% interest on the unfunded balance of the commitment. The interest rate disclosed represents the rate which will be earned if the commitment is funded.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shares)</w:t>
      </w:r>
    </w:p>
    <w:p>
      <w:pPr>
        <w:spacing w:after="0" w:line="139" w:lineRule="exact"/>
        <w:rPr>
          <w:sz w:val="20"/>
          <w:szCs w:val="20"/>
          <w:color w:val="auto"/>
        </w:rPr>
      </w:pPr>
    </w:p>
    <w:p>
      <w:pPr>
        <w:ind w:left="520" w:right="20" w:hanging="316"/>
        <w:spacing w:after="0" w:line="230"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20" w:right="1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520" w:right="16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520" w:right="8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six-month LIBOR, which is reset semi-annually. The interest rate is set as six-month LIBOR + 8.00% and is subject to a 1.00% LIBOR interest rate floor. The Company has provided the interest rate in effect as of March 31, 2019.</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was on non-accrual status as of March 31, 2019, meaning the Company has ceased recognizing interest income on the investment.</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+ 6.00% and is subject to a 1.75% LIBOR interest rate floor. In addition to the interest earned based on the stated interest rate of this security, the Company is entitled to receive an additional interest amount of 3.81%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+ 6.25% and is subject to a 2.00% LIBOR interest rate floor. In addition to the interest earned based on the stated interest rate of this security, the Company is entitled to receive an additional interest amount of 4.06%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jc w:val="both"/>
        <w:ind w:left="520" w:right="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debt investment continues to pay interest, including the default rate, while the portfolio company pursues refinancing options.</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+ 5.00% and is subject to a 2.00% LIBOR interest rate floor. In addition to the interest earned based on the stated interest rate of this security, the Company is entitled to receive an additional interest amount of 3.49%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20" w:right="1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which is reset quarterly. The interest rate is set as three-month LIBOR + 7.00% and is subject to a 1.00% LIBOR interest rate floor. The Company has provided the interest rate in effect as of March 31, 2019.</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+ 5.75% and is subject to a 2.00% LIBOR interest rate floor. In addition to the interest earned based on the stated interest rate of this security, the Company is entitled to receive an additional interest amount of 4.15%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20" w:right="1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which is reset quarterly. The interest rate is set as three-month LIBOR + 9.75% and is subject to a 2.00% LIBOR interest rate floor. The Company has provided the interest rate in effect as of March 31, 2019.</w:t>
      </w:r>
    </w:p>
    <w:p>
      <w:pPr>
        <w:ind w:left="520" w:hanging="316"/>
        <w:spacing w:after="0" w:line="22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maturity date presented represents the final termination date of the commitment. $707 of the commitment expires on May 7, 2019.</w:t>
      </w:r>
    </w:p>
    <w:p>
      <w:pPr>
        <w:ind w:left="200"/>
        <w:spacing w:after="0"/>
        <w:rPr>
          <w:sz w:val="20"/>
          <w:szCs w:val="20"/>
          <w:color w:val="auto"/>
        </w:rPr>
      </w:pPr>
      <w:r>
        <w:rPr>
          <w:rFonts w:ascii="Arial" w:cs="Arial" w:eastAsia="Arial" w:hAnsi="Arial"/>
          <w:sz w:val="14"/>
          <w:szCs w:val="14"/>
          <w:color w:val="auto"/>
        </w:rPr>
        <w:t>(aa)  Investment was on PIK-only non-accrual status as of March 31, 2019, meaning the Company has ceased recognizing PIK interest income on the investment.</w:t>
      </w:r>
    </w:p>
    <w:p>
      <w:pPr>
        <w:spacing w:after="0" w:line="196"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5"/>
          </w:tcPr>
          <w:p>
            <w:pPr>
              <w:spacing w:after="0"/>
              <w:rPr>
                <w:sz w:val="20"/>
                <w:szCs w:val="20"/>
                <w:color w:val="auto"/>
              </w:rPr>
            </w:pPr>
            <w:r>
              <w:rPr>
                <w:rFonts w:ascii="Arial" w:cs="Arial" w:eastAsia="Arial" w:hAnsi="Arial"/>
                <w:sz w:val="14"/>
                <w:szCs w:val="14"/>
                <w:b w:val="1"/>
                <w:bCs w:val="1"/>
                <w:color w:val="auto"/>
              </w:rPr>
              <w:t>Portfolio Company (a)(b)</w:t>
            </w:r>
          </w:p>
        </w:tc>
        <w:tc>
          <w:tcPr>
            <w:tcW w:w="520" w:type="dxa"/>
            <w:vAlign w:val="bottom"/>
          </w:tcPr>
          <w:p>
            <w:pPr>
              <w:spacing w:after="0"/>
              <w:rPr>
                <w:sz w:val="14"/>
                <w:szCs w:val="1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Rate (d)</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82"/>
        </w:trPr>
        <w:tc>
          <w:tcPr>
            <w:tcW w:w="3840" w:type="dxa"/>
            <w:vAlign w:val="bottom"/>
            <w:gridSpan w:val="5"/>
          </w:tcPr>
          <w:p>
            <w:pPr>
              <w:spacing w:after="0"/>
              <w:rPr>
                <w:sz w:val="20"/>
                <w:szCs w:val="20"/>
                <w:color w:val="auto"/>
              </w:rPr>
            </w:pPr>
            <w:r>
              <w:rPr>
                <w:rFonts w:ascii="Arial" w:cs="Arial" w:eastAsia="Arial" w:hAnsi="Arial"/>
                <w:sz w:val="14"/>
                <w:szCs w:val="14"/>
                <w:b w:val="1"/>
                <w:bCs w:val="1"/>
                <w:color w:val="auto"/>
              </w:rPr>
              <w:t>Investment Type (c)</w:t>
            </w:r>
          </w:p>
        </w:tc>
        <w:tc>
          <w:tcPr>
            <w:tcW w:w="52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Cash/PIK</w:t>
            </w: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Value (e)</w:t>
            </w: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Net Assets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 (t)</w:t>
            </w:r>
          </w:p>
        </w:tc>
        <w:tc>
          <w:tcPr>
            <w:tcW w:w="22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2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rPr>
              <w:t>FDS Avionics Corp. (dba Flight Display Systems)</w:t>
            </w:r>
          </w:p>
        </w:tc>
        <w:tc>
          <w:tcPr>
            <w:tcW w:w="2680" w:type="dxa"/>
            <w:vAlign w:val="bottom"/>
            <w:gridSpan w:val="2"/>
          </w:tcPr>
          <w:p>
            <w:pPr>
              <w:ind w:left="520"/>
              <w:spacing w:after="0" w:line="142" w:lineRule="exact"/>
              <w:rPr>
                <w:sz w:val="20"/>
                <w:szCs w:val="20"/>
                <w:color w:val="auto"/>
              </w:rPr>
            </w:pPr>
            <w:r>
              <w:rPr>
                <w:rFonts w:ascii="Arial" w:cs="Arial" w:eastAsia="Arial" w:hAnsi="Arial"/>
                <w:sz w:val="14"/>
                <w:szCs w:val="14"/>
                <w:color w:val="auto"/>
                <w:w w:val="93"/>
              </w:rPr>
              <w:t>Aerospace &amp; Defense Manufacturing</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4.00%/11.00%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4/1/2020</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Revolving Loan ($50 commitment)</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4.00%/11.00%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4/1/2020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(7,478 shares) (j)</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7,159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5,612</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K2 Industrial Services, Inc.</w:t>
            </w:r>
          </w:p>
        </w:tc>
        <w:tc>
          <w:tcPr>
            <w:tcW w:w="26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Industrial Cleaning &amp; Coatings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 (p)</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0.00%/15.00%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6/25/2020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10,453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10,423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10,453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 (p)</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0.00%/12.00%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6/25/2020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 (p)</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0.00%/19.00%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6/25/2020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(1,673 shares)</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15,538</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13,208</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 Investments</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22,697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18,820</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Affiliate Investments (l)</w:t>
            </w:r>
          </w:p>
        </w:tc>
        <w:tc>
          <w:tcPr>
            <w:tcW w:w="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gridSpan w:val="5"/>
            <w:vMerge w:val="continue"/>
          </w:tcPr>
          <w:p>
            <w:pPr>
              <w:spacing w:after="0"/>
              <w:rPr>
                <w:sz w:val="11"/>
                <w:szCs w:val="11"/>
                <w:color w:val="auto"/>
              </w:rPr>
            </w:pPr>
          </w:p>
        </w:tc>
        <w:tc>
          <w:tcPr>
            <w:tcW w:w="5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w w:val="99"/>
              </w:rPr>
              <w:t>FAR Research Inc. (n)</w:t>
            </w:r>
          </w:p>
        </w:tc>
        <w:tc>
          <w:tcPr>
            <w:tcW w:w="2380" w:type="dxa"/>
            <w:vAlign w:val="bottom"/>
            <w:gridSpan w:val="2"/>
            <w:shd w:val="clear" w:color="auto" w:fill="CCEEFF"/>
          </w:tcPr>
          <w:p>
            <w:pPr>
              <w:spacing w:after="0"/>
              <w:rPr>
                <w:sz w:val="12"/>
                <w:szCs w:val="12"/>
                <w:color w:val="auto"/>
              </w:rPr>
            </w:pPr>
          </w:p>
        </w:tc>
        <w:tc>
          <w:tcPr>
            <w:tcW w:w="268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Specialty Chemicals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(1,396 units)</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Fiber Materials, Inc.</w:t>
            </w:r>
          </w:p>
        </w:tc>
        <w:tc>
          <w:tcPr>
            <w:tcW w:w="26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93"/>
              </w:rPr>
              <w:t>Aerospace &amp; Defense Manufacturing</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12.00%/0.00%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5/30/2022</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4,044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4,044</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(10 units)</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5,032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6,148</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Medsurant Holdings, LLC</w:t>
            </w:r>
          </w:p>
        </w:tc>
        <w:tc>
          <w:tcPr>
            <w:tcW w:w="26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Healthcare Services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13.00%/0.00%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6/30/2020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8,795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Preferred Equity (126,662 units) (h)</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Warrant (505,176 units) (h)(m)</w:t>
            </w: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4,516</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21,346</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Microbiology Research Associates, Inc.</w:t>
            </w:r>
          </w:p>
        </w:tc>
        <w:tc>
          <w:tcPr>
            <w:tcW w:w="26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Healthcare Services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Subordinated Debt</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11.00%/1.50%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3/13/2022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(1,625,731 units) (j)</w:t>
            </w: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1,938</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10,721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10,046</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Mirage Trailers LLC</w:t>
            </w:r>
          </w:p>
        </w:tc>
        <w:tc>
          <w:tcPr>
            <w:tcW w:w="26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Utility Equipment Manufacturing</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 (k)(f)</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13.85%/1.50%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11/25/2020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6,109</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(2,500,000 shares) (g)</w:t>
            </w: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2,179</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3,174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9,283</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Pfanstiehl, Inc.</w:t>
            </w:r>
          </w:p>
        </w:tc>
        <w:tc>
          <w:tcPr>
            <w:tcW w:w="26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Healthcare Products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Subordinated Debt</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10.50%/0.00%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9/29/2022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(8,500 units) (j)</w:t>
            </w: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13,815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20,023</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Pinnergy, Ltd.</w:t>
            </w:r>
          </w:p>
        </w:tc>
        <w:tc>
          <w:tcPr>
            <w:tcW w:w="26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Oil &amp; Gas Services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 Lien Debt (k)</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12.00%/0.00%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1/24/2020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Common Equity - Class A-2 (42,500 units) (k)</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33,878</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 Class B (1,000 units) (k)</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9,993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40,878</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Steward Holding LLC (dba Steward Advanced Materials)</w:t>
            </w:r>
          </w:p>
        </w:tc>
        <w:tc>
          <w:tcPr>
            <w:tcW w:w="26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93"/>
              </w:rPr>
              <w:t>Aerospace &amp; Defense Manufacturing</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12.00%/1.50%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5/12/2021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7,553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7,553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(1,000,000 units)</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8,538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8,910</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Trantech Radiator Products, Inc.</w:t>
            </w:r>
          </w:p>
        </w:tc>
        <w:tc>
          <w:tcPr>
            <w:tcW w:w="26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Utility Equipment Manufacturing</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Second Lien Debt (j)</w:t>
            </w:r>
          </w:p>
        </w:tc>
        <w:tc>
          <w:tcPr>
            <w:tcW w:w="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13.75%/0.00%</w:t>
            </w:r>
          </w:p>
        </w:tc>
        <w:tc>
          <w:tcPr>
            <w:tcW w:w="8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w w:val="91"/>
              </w:rPr>
              <w:t>12/31/2019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5,994</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Equity (6,875 shares) (j)</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Affiliate Investments</w:t>
            </w:r>
          </w:p>
        </w:tc>
        <w:tc>
          <w:tcPr>
            <w:tcW w:w="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70,924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123,051</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Portfolio Company (a)(b)</w:t>
            </w:r>
          </w:p>
        </w:tc>
        <w:tc>
          <w:tcPr>
            <w:tcW w:w="22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Rate (d)</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Investment Type (c)</w:t>
            </w:r>
          </w:p>
        </w:tc>
        <w:tc>
          <w:tcPr>
            <w:tcW w:w="2200" w:type="dxa"/>
            <w:vAlign w:val="bottom"/>
            <w:gridSpan w:val="2"/>
            <w:vMerge w:val="continue"/>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Cash/PIK</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120" w:type="dxa"/>
            <w:vAlign w:val="bottom"/>
            <w:gridSpan w:val="3"/>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 Investments</w:t>
            </w:r>
          </w:p>
        </w:tc>
        <w:tc>
          <w:tcPr>
            <w:tcW w:w="2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5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76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Accent Food Services, LLC</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9"/>
              </w:rPr>
              <w:t>Vending Equipment Manufacturing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10.00%/5.00%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5/30/2022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30,312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$ 30,205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$ 28,879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(7,885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31,005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29,341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Allied 100 Group, Inc.</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Healthcare Products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(1,250,000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Alzheimer’s Research and Treatment Center</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Healthcare Services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(j)(x)</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8.23%/0.00%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10/23/2023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(1,000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American AllWaste LLC (dba WasteWater Transport Services)</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11.00%/1.50%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11/30/2023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11,826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11,765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11,826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Delayed Draw Commitment ($2,276 commitment) (i)(j)</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11.00%/1.50%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w w:val="94"/>
              </w:rPr>
              <w:t>11/30/2019</w:t>
            </w:r>
          </w:p>
        </w:tc>
        <w:tc>
          <w:tcPr>
            <w:tcW w:w="12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(500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12,441</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Argo Turboserve Corporation</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 (j)(y)</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12.56%/0.00%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6/28/2023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14,925</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14,925</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AVC Investors, LLC (dba Auveco)</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Specialty Distribution</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11.50%/0.00%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7/3/2023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22,406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 units)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22,906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23,182</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B&amp;B Roadway and Security Solutions, LLC</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Component Manufacturing</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10.50%/1.50%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8/27/2023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10,129</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9,524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(50,000 units) ($133 commitment) (h)(j)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9,828</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Cardboard Box LLC (dba Anthony’s Coal Fired Pizza)</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Restaurants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(521,021 units) (j)</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Consolidated Infrastructure Group Holdings, LP</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(298 units)</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ControlScan, Inc.</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Information Technology Services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11.00%/0.00%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1/28/2023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6,725</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(3,704 shares)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Preferred Equity (100 shares)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8,366</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CRS Solutions Holdings, LLC (dba CRS Texas)</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Business Services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10.50%/1.00%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9/14/2023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9,035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(750,000 units)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757</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9,785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9,830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EBL, LLC (EbLens)</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Retail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12.00%/1.00%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1/13/2023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9,389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9,389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(75,000 units) (j)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10,131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Global Plasma Solutions, Inc.</w:t>
            </w:r>
          </w:p>
        </w:tc>
        <w:tc>
          <w:tcPr>
            <w:tcW w:w="2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Component Manufacturing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(j)(v)</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7.40%/0.00%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9/21/2023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8,703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Preferred Equity (947 shares) (j)</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(947 shares) (j)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9,004</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Gurobi Optimization, LLC</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Information Technology Services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Subordinated Debt (k)</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11.00%/0.00%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6/19/2023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(5 shares)</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21,420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22,723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Hilco Plastics Holdings, LLC (dba Hilco Technologies)</w:t>
            </w:r>
          </w:p>
        </w:tc>
        <w:tc>
          <w:tcPr>
            <w:tcW w:w="2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Component Manufacturing</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11.50%/1.50%</w:t>
            </w:r>
          </w:p>
        </w:tc>
        <w:tc>
          <w:tcPr>
            <w:tcW w:w="1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w w:val="94"/>
              </w:rPr>
              <w:t>12/31/2019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9,940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9,922</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9,439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(1,000,000 units) (h)(j)</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Common Equity (72,507 units) (h)(j)</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11,395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10,778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23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Industry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120" w:type="dxa"/>
            <w:vAlign w:val="bottom"/>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232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i w:val="1"/>
                <w:iCs w:val="1"/>
                <w:color w:val="auto"/>
              </w:rPr>
              <w:t>Hub Acquisition Sub, LLC (dba Hub Pen)</w:t>
            </w:r>
          </w:p>
        </w:tc>
        <w:tc>
          <w:tcPr>
            <w:tcW w:w="22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Promotional products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12.25%/0.00%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9/23/2021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$ 24,918</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$ 25,000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(7,500 units)</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25,167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26,417</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Hunter Defense Technologies, Inc.</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Aerospace &amp; Defense Manufacturing</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 (j)(w)</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3"/>
              </w:rPr>
              <w:t>9.80%/0.00%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3/29/2023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9,747</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9,653</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9,653</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IBH Holdings, LLC (fka Inflexxion, Inc.)</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Business Services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(150,000 units)</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inthinc Technology Solutions, Inc. (n)</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Information Technology Services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Royalty Rights</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4/24/2020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Kyjen Company, LLC (dba Outward Hound)</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Consumer Products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12.00%/0.00%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6/8/2024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14,937</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13,950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(765 shares) (j)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14,704</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LNG Indy, LLC (dba Kinetrex Energy)</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Oil &amp; Gas Distribution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11.50%/0.00%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9/28/2021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4,985</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 units)</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6,561</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Marco Group International OpCo, LLC</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Industrial Cleaning &amp; Coatings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10.50%/0.75%</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1/21/2023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12,133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12,089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12,133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(750,000 units) (h)(j)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12,933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Mesa Line Services, LLC</w:t>
            </w:r>
          </w:p>
        </w:tc>
        <w:tc>
          <w:tcPr>
            <w:tcW w:w="2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Utilities: Services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(j)</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10.50%/0.50%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5/31/2023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10,014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9,963</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10,014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Delayed Draw Commitment ($3,160 commitment) (i)(j)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10.50%/0.50%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5/31/2019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(500 shares)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676</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10,459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10,690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Midwest Transit Equipment, Inc.</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Transportation services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(14,384 shares) (j)(m)</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Warrant (9.59% of Junior Subordinated Notes) (j)(q)</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New Era Technology, Inc.</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Information Technology Services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(197,369 shares) (j)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NGT Acquisition Holdings, LLC (dba Techniks Industries)</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Component Manufacturing</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12.50%/2.00%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3/21/2022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11,579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11,542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10,460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(378 units)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12,042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10,532</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7"/>
              </w:rPr>
              <w:t>Oaktree Medical Centre, P.C. (dba Pain Management Associates)</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Healthcare Services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 (j)(u)</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14.50%/0.00%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1/1/2018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First Lien Debt (j)(u)</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3"/>
              </w:rPr>
              <w:t>10.00%/12.00%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1/1/2018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7,751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8,338</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Revolving Loan (j)(u)</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14.50%/0.00%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1/1/2018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Revolving Loan (j)(u)</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14.50%/0.00%</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1/31/2019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11,886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11,389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OMC Investors, LLC (dba Ohio Medical Corporation)</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Healthcare Products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12.00%/0.00%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7/15/2021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8,748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(5,000 units)</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10,454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8,887</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Palisade Company, LLC</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Information Technology Services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11.75%/0.00%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5/15/2024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(100 shares)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7,468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7,468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Palmetto Moon, LLC</w:t>
            </w:r>
          </w:p>
        </w:tc>
        <w:tc>
          <w:tcPr>
            <w:tcW w:w="2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Retail</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First Lien Debt</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11.50%/2.50%</w:t>
            </w:r>
          </w:p>
        </w:tc>
        <w:tc>
          <w:tcPr>
            <w:tcW w:w="7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10/31/2021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5,512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(499 units) (j)</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240"/>
          </w:cols>
          <w:pgMar w:left="240" w:top="459" w:right="41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Portfolio Company (a)(b)</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wp:posOffset>
            </wp:positionV>
            <wp:extent cx="986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i w:val="1"/>
          <w:iCs w:val="1"/>
          <w:color w:val="auto"/>
        </w:rPr>
        <w:t>Power Grid Components, Inc.</w:t>
      </w:r>
    </w:p>
    <w:p>
      <w:pPr>
        <w:ind w:left="500"/>
        <w:spacing w:after="0" w:line="223" w:lineRule="auto"/>
        <w:rPr>
          <w:sz w:val="20"/>
          <w:szCs w:val="20"/>
          <w:color w:val="auto"/>
        </w:rPr>
      </w:pPr>
      <w:r>
        <w:rPr>
          <w:rFonts w:ascii="Arial" w:cs="Arial" w:eastAsia="Arial" w:hAnsi="Arial"/>
          <w:sz w:val="14"/>
          <w:szCs w:val="14"/>
          <w:color w:val="auto"/>
        </w:rPr>
        <w:t>Second Lien Debt (k)</w:t>
      </w:r>
    </w:p>
    <w:p>
      <w:pPr>
        <w:ind w:left="500"/>
        <w:spacing w:after="0"/>
        <w:rPr>
          <w:sz w:val="20"/>
          <w:szCs w:val="20"/>
          <w:color w:val="auto"/>
        </w:rPr>
      </w:pPr>
      <w:r>
        <w:rPr>
          <w:rFonts w:ascii="Arial" w:cs="Arial" w:eastAsia="Arial" w:hAnsi="Arial"/>
          <w:sz w:val="13"/>
          <w:szCs w:val="13"/>
          <w:color w:val="auto"/>
        </w:rPr>
        <w:t>Preferred Equity (392 shares) (j)</w:t>
      </w:r>
    </w:p>
    <w:p>
      <w:pPr>
        <w:ind w:left="500"/>
        <w:spacing w:after="0"/>
        <w:rPr>
          <w:sz w:val="20"/>
          <w:szCs w:val="20"/>
          <w:color w:val="auto"/>
        </w:rPr>
      </w:pPr>
      <w:r>
        <w:rPr>
          <w:rFonts w:ascii="Arial" w:cs="Arial" w:eastAsia="Arial" w:hAnsi="Arial"/>
          <w:sz w:val="13"/>
          <w:szCs w:val="13"/>
          <w:color w:val="auto"/>
        </w:rPr>
        <w:t>Common Equity (9,695 shares) (j)</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Industry</w:t>
            </w:r>
          </w:p>
        </w:tc>
        <w:tc>
          <w:tcPr>
            <w:tcW w:w="120" w:type="dxa"/>
            <w:vAlign w:val="bottom"/>
            <w:vMerge w:val="restart"/>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Rate (d)</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Cash/PIK</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(e)</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0" w:type="dxa"/>
            <w:vAlign w:val="bottom"/>
          </w:tcPr>
          <w:p>
            <w:pPr>
              <w:ind w:left="40"/>
              <w:spacing w:after="0"/>
              <w:rPr>
                <w:sz w:val="20"/>
                <w:szCs w:val="20"/>
                <w:color w:val="auto"/>
              </w:rPr>
            </w:pPr>
            <w:r>
              <w:rPr>
                <w:rFonts w:ascii="Arial" w:cs="Arial" w:eastAsia="Arial" w:hAnsi="Arial"/>
                <w:sz w:val="14"/>
                <w:szCs w:val="14"/>
                <w:color w:val="auto"/>
              </w:rPr>
              <w:t>Specialty Distribution</w:t>
            </w:r>
          </w:p>
        </w:tc>
        <w:tc>
          <w:tcPr>
            <w:tcW w:w="120" w:type="dxa"/>
            <w:vAlign w:val="bottom"/>
            <w:vMerge w:val="continue"/>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11.00%/1.00%</w:t>
            </w: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5/20/2023</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9"/>
              </w:rPr>
              <w:t>$  11,282</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$ 11,234</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11,282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358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-385445</wp:posOffset>
            </wp:positionV>
            <wp:extent cx="699770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-187960</wp:posOffset>
            </wp:positionV>
            <wp:extent cx="699770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40" w:space="720"/>
            <w:col w:w="688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11,984</w:t>
            </w:r>
          </w:p>
        </w:tc>
        <w:tc>
          <w:tcPr>
            <w:tcW w:w="1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11,964</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i w:val="1"/>
                <w:iCs w:val="1"/>
                <w:color w:val="auto"/>
              </w:rPr>
              <w:t>Pugh Lubricants, LLC</w:t>
            </w: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Specialty Distribution</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3280" w:type="dxa"/>
            <w:vAlign w:val="bottom"/>
            <w:shd w:val="clear" w:color="auto" w:fill="CCEEFF"/>
          </w:tcPr>
          <w:p>
            <w:pPr>
              <w:ind w:left="2380"/>
              <w:spacing w:after="0" w:line="149" w:lineRule="exact"/>
              <w:rPr>
                <w:sz w:val="20"/>
                <w:szCs w:val="20"/>
                <w:color w:val="auto"/>
              </w:rPr>
            </w:pPr>
            <w:r>
              <w:rPr>
                <w:rFonts w:ascii="Arial" w:cs="Arial" w:eastAsia="Arial" w:hAnsi="Arial"/>
                <w:sz w:val="14"/>
                <w:szCs w:val="14"/>
                <w:color w:val="auto"/>
                <w:w w:val="96"/>
              </w:rPr>
              <w:t>12.25%/0.00%</w:t>
            </w:r>
          </w:p>
        </w:tc>
        <w:tc>
          <w:tcPr>
            <w:tcW w:w="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5/10/2022</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18,581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18,581</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Common Equity (6,125 units) (h)(j)</w:t>
            </w: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612</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9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19,135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i w:val="1"/>
                <w:iCs w:val="1"/>
                <w:color w:val="auto"/>
              </w:rPr>
              <w:t>Revenue Management Solutions, LLC</w:t>
            </w: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Information Technology Services</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(2,250,000 shares)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i w:val="1"/>
                <w:iCs w:val="1"/>
                <w:color w:val="auto"/>
              </w:rPr>
              <w:t>Rhino Assembly Company, LLC</w:t>
            </w: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Specialty Distribution</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3280" w:type="dxa"/>
            <w:vAlign w:val="bottom"/>
            <w:shd w:val="clear" w:color="auto" w:fill="CCEEFF"/>
          </w:tcPr>
          <w:p>
            <w:pPr>
              <w:ind w:left="2380"/>
              <w:spacing w:after="0" w:line="149" w:lineRule="exact"/>
              <w:rPr>
                <w:sz w:val="20"/>
                <w:szCs w:val="20"/>
                <w:color w:val="auto"/>
              </w:rPr>
            </w:pPr>
            <w:r>
              <w:rPr>
                <w:rFonts w:ascii="Arial" w:cs="Arial" w:eastAsia="Arial" w:hAnsi="Arial"/>
                <w:sz w:val="14"/>
                <w:szCs w:val="14"/>
                <w:color w:val="auto"/>
                <w:w w:val="96"/>
              </w:rPr>
              <w:t>12.00%/1.00%</w:t>
            </w:r>
          </w:p>
        </w:tc>
        <w:tc>
          <w:tcPr>
            <w:tcW w:w="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2/11/2023</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11,324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11,324</w:t>
            </w: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Delayed Draw Commitment ($875 commitment) (i)(j)</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12.00%/1.00%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5/17/2022</w:t>
            </w: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(8,864 units) (j)(s)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1,272</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12,220</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12,596</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Road Safety Services, Inc.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11.25%/1.50%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3/18/2024</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10,068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10,022</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10,022</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(655 units)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10,643</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10,643</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Rohrer Corporation</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Packaging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10.50%/1.00%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4/1/2024</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13,735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13,670</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13,670</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(400 shares)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14,450</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14,394</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SES Investors, LLC (dba SES Foam)</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 Manufacturing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15.00%/0.00%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12/29/2020</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3,095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3,069</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2,703</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(6,000 units) (h)(j)</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3,669</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2,870</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Simplex Manufacturing Co.</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Aerospace &amp; Defense Manufacturing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Subordinated Debt</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14.00%/0.00%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7/31/2019</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4,050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4,050</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4,050</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(29 shares) (m)</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5,205</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7,086</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Software Technology, LLC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Information Technology Services</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Subordinated Debt (k)</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11.00%/0.00%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6/23/2023</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9,964</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(12 shares)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1,364</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11,255</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11,364</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SpendMend LLC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11.00%/1.00%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7/8/2023</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10,401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10,355</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10,401</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(1,000,000 units)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11,355</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11,580</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Wolf Organization, LLC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 Manufacturing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Common Equity (175 shares)</w:t>
            </w:r>
          </w:p>
        </w:tc>
        <w:tc>
          <w:tcPr>
            <w:tcW w:w="3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0" w:type="dxa"/>
            <w:vAlign w:val="bottom"/>
          </w:tcPr>
          <w:p>
            <w:pPr>
              <w:spacing w:after="0"/>
              <w:rPr>
                <w:sz w:val="11"/>
                <w:szCs w:val="11"/>
                <w:color w:val="auto"/>
              </w:rPr>
            </w:pPr>
          </w:p>
        </w:tc>
        <w:tc>
          <w:tcPr>
            <w:tcW w:w="4080" w:type="dxa"/>
            <w:vAlign w:val="bottom"/>
            <w:shd w:val="clear" w:color="auto" w:fill="CCEEFF"/>
          </w:tcPr>
          <w:p>
            <w:pPr>
              <w:spacing w:after="0" w:line="130" w:lineRule="exact"/>
              <w:rPr>
                <w:sz w:val="20"/>
                <w:szCs w:val="20"/>
                <w:color w:val="auto"/>
              </w:rPr>
            </w:pPr>
            <w:r>
              <w:rPr>
                <w:rFonts w:ascii="Arial" w:cs="Arial" w:eastAsia="Arial" w:hAnsi="Arial"/>
                <w:sz w:val="14"/>
                <w:szCs w:val="14"/>
                <w:i w:val="1"/>
                <w:iCs w:val="1"/>
                <w:color w:val="auto"/>
                <w:w w:val="95"/>
              </w:rPr>
              <w:t>Thermoforming Technology Group LLC (dba Brown Machine Group)</w:t>
            </w:r>
          </w:p>
        </w:tc>
        <w:tc>
          <w:tcPr>
            <w:tcW w:w="3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w:t>
            </w: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Equipment Manufacturing</w:t>
            </w: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Common Equity (3,760 units) (h)(j)</w:t>
            </w:r>
          </w:p>
        </w:tc>
        <w:tc>
          <w:tcPr>
            <w:tcW w:w="3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Tile Redi, LLC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 Manufacturing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First Lien Debt (j)(r)</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12.80%/0.00%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6/16/2022</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10,194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10,122</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10,156</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TransGo, LLC</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 Manufacturing</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Second Lien Debt</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13.25%/0.00%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8/28/2022</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9,500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9,468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9,500</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(1,000 units)</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10,466</w:t>
            </w: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10,405</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The Tranzonic Companies</w:t>
            </w: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Specialty Distribution</w:t>
            </w: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10.00%/1.50%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3/27/2025</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5,664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5,614</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4,997</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(5,000 units) (j)</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9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Common Equity (1 units) (j)</w:t>
            </w:r>
          </w:p>
        </w:tc>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6,114</w:t>
            </w:r>
          </w:p>
        </w:tc>
        <w:tc>
          <w:tcPr>
            <w:tcW w:w="1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5,388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i w:val="1"/>
                <w:iCs w:val="1"/>
                <w:color w:val="auto"/>
              </w:rPr>
              <w:t>UBEO, LLC</w:t>
            </w: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Subordinated Debt (j)</w:t>
            </w:r>
          </w:p>
        </w:tc>
        <w:tc>
          <w:tcPr>
            <w:tcW w:w="3280" w:type="dxa"/>
            <w:vAlign w:val="bottom"/>
            <w:shd w:val="clear" w:color="auto" w:fill="CCEEFF"/>
          </w:tcPr>
          <w:p>
            <w:pPr>
              <w:ind w:left="2380"/>
              <w:spacing w:after="0" w:line="149" w:lineRule="exact"/>
              <w:rPr>
                <w:sz w:val="20"/>
                <w:szCs w:val="20"/>
                <w:color w:val="auto"/>
              </w:rPr>
            </w:pPr>
            <w:r>
              <w:rPr>
                <w:rFonts w:ascii="Arial" w:cs="Arial" w:eastAsia="Arial" w:hAnsi="Arial"/>
                <w:sz w:val="14"/>
                <w:szCs w:val="14"/>
                <w:color w:val="auto"/>
                <w:w w:val="96"/>
              </w:rPr>
              <w:t>11.00%/0.00%</w:t>
            </w:r>
          </w:p>
        </w:tc>
        <w:tc>
          <w:tcPr>
            <w:tcW w:w="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10/3/2024</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13,100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13,100</w:t>
            </w:r>
          </w:p>
        </w:tc>
        <w:tc>
          <w:tcPr>
            <w:tcW w:w="9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280"/>
              <w:spacing w:after="0" w:line="149" w:lineRule="exact"/>
              <w:rPr>
                <w:sz w:val="20"/>
                <w:szCs w:val="20"/>
                <w:color w:val="auto"/>
              </w:rPr>
            </w:pPr>
            <w:r>
              <w:rPr>
                <w:rFonts w:ascii="Arial" w:cs="Arial" w:eastAsia="Arial" w:hAnsi="Arial"/>
                <w:sz w:val="14"/>
                <w:szCs w:val="14"/>
                <w:color w:val="auto"/>
              </w:rPr>
              <w:t>Delayed Draw Commitment ($1,500 commitment) (j)(i)(z)</w:t>
            </w:r>
          </w:p>
        </w:tc>
        <w:tc>
          <w:tcPr>
            <w:tcW w:w="3280" w:type="dxa"/>
            <w:vAlign w:val="bottom"/>
          </w:tcPr>
          <w:p>
            <w:pPr>
              <w:ind w:left="2380"/>
              <w:spacing w:after="0" w:line="149" w:lineRule="exact"/>
              <w:rPr>
                <w:sz w:val="20"/>
                <w:szCs w:val="20"/>
                <w:color w:val="auto"/>
              </w:rPr>
            </w:pPr>
            <w:r>
              <w:rPr>
                <w:rFonts w:ascii="Arial" w:cs="Arial" w:eastAsia="Arial" w:hAnsi="Arial"/>
                <w:sz w:val="14"/>
                <w:szCs w:val="14"/>
                <w:color w:val="auto"/>
                <w:w w:val="96"/>
              </w:rPr>
              <w:t>11.00%/0.00%</w:t>
            </w:r>
          </w:p>
        </w:tc>
        <w:tc>
          <w:tcPr>
            <w:tcW w:w="820" w:type="dxa"/>
            <w:vAlign w:val="bottom"/>
          </w:tcPr>
          <w:p>
            <w:pPr>
              <w:ind w:left="40"/>
              <w:spacing w:after="0" w:line="149" w:lineRule="exact"/>
              <w:rPr>
                <w:sz w:val="20"/>
                <w:szCs w:val="20"/>
                <w:color w:val="auto"/>
              </w:rPr>
            </w:pPr>
            <w:r>
              <w:rPr>
                <w:rFonts w:ascii="Arial" w:cs="Arial" w:eastAsia="Arial" w:hAnsi="Arial"/>
                <w:sz w:val="14"/>
                <w:szCs w:val="14"/>
                <w:color w:val="auto"/>
              </w:rPr>
              <w:t>8/7/2019</w:t>
            </w: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(705,000 units) (j)</w:t>
            </w:r>
          </w:p>
        </w:tc>
        <w:tc>
          <w:tcPr>
            <w:tcW w:w="3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92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13,672</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14,127</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(a)(b)</w:t>
            </w:r>
          </w:p>
        </w:tc>
        <w:tc>
          <w:tcPr>
            <w:tcW w:w="21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Rate (d)</w:t>
            </w: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6"/>
          </w:tcPr>
          <w:p>
            <w:pPr>
              <w:ind w:left="120"/>
              <w:spacing w:after="0"/>
              <w:rPr>
                <w:sz w:val="20"/>
                <w:szCs w:val="20"/>
                <w:color w:val="auto"/>
              </w:rPr>
            </w:pPr>
            <w:r>
              <w:rPr>
                <w:rFonts w:ascii="Arial" w:cs="Arial" w:eastAsia="Arial" w:hAnsi="Arial"/>
                <w:sz w:val="14"/>
                <w:szCs w:val="14"/>
                <w:b w:val="1"/>
                <w:bCs w:val="1"/>
                <w:color w:val="auto"/>
              </w:rPr>
              <w:t>Principal</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Investment Type (c)</w:t>
            </w:r>
          </w:p>
        </w:tc>
        <w:tc>
          <w:tcPr>
            <w:tcW w:w="2100" w:type="dxa"/>
            <w:vAlign w:val="bottom"/>
            <w:gridSpan w:val="2"/>
            <w:vMerge w:val="continue"/>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Cash/PIK</w:t>
            </w: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Value (e)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Net Assets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i w:val="1"/>
                <w:iCs w:val="1"/>
                <w:color w:val="auto"/>
              </w:rPr>
              <w:t>United Biologics, LLC</w:t>
            </w:r>
          </w:p>
        </w:tc>
        <w:tc>
          <w:tcPr>
            <w:tcW w:w="270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ind w:left="20"/>
              <w:spacing w:after="0" w:line="136" w:lineRule="exact"/>
              <w:rPr>
                <w:sz w:val="20"/>
                <w:szCs w:val="20"/>
                <w:color w:val="auto"/>
              </w:rPr>
            </w:pPr>
            <w:r>
              <w:rPr>
                <w:rFonts w:ascii="Arial" w:cs="Arial" w:eastAsia="Arial" w:hAnsi="Arial"/>
                <w:sz w:val="14"/>
                <w:szCs w:val="14"/>
                <w:color w:val="auto"/>
              </w:rPr>
              <w:t>Healthcare Services</w:t>
            </w: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Preferred Equity (98,377 units) (h)(j)</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(57,469 units) (m)</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1,574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117</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US GreenFiber, LLC</w:t>
            </w:r>
          </w:p>
        </w:tc>
        <w:tc>
          <w:tcPr>
            <w:tcW w:w="2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Building Products Manufacturing</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(k)(p)</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12.00%/2.00%</w:t>
            </w:r>
          </w:p>
        </w:tc>
        <w:tc>
          <w:tcPr>
            <w:tcW w:w="1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5/31/2019</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14,363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6,549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(p)</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0.00%/16.00%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5/31/2019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(2,522 units) (h)(j)</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586</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US Pack Logistics LLC</w:t>
            </w:r>
          </w:p>
        </w:tc>
        <w:tc>
          <w:tcPr>
            <w:tcW w:w="2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Transportation services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12.00%/1.75%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3/28/2023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(5,833 units) (h)(j)</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Equity (9,458 units) (h)(j)</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8,878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8,636</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Vanguard Dealer Services, L.L.C.</w:t>
            </w:r>
          </w:p>
        </w:tc>
        <w:tc>
          <w:tcPr>
            <w:tcW w:w="2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Business Services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Equity (6,000 units)</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(2,380 units) (j)</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1,189</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Virginia Tile Company, LLC</w:t>
            </w:r>
          </w:p>
        </w:tc>
        <w:tc>
          <w:tcPr>
            <w:tcW w:w="2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Specialty Distribution</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(k)</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w w:val="96"/>
              </w:rPr>
              <w:t>12.25%/0.00%</w:t>
            </w:r>
          </w:p>
        </w:tc>
        <w:tc>
          <w:tcPr>
            <w:tcW w:w="1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rPr>
              <w:t>4/7/2022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(17 units)</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12,322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13,455</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Worldwide Express Operations, LLC</w:t>
            </w:r>
          </w:p>
        </w:tc>
        <w:tc>
          <w:tcPr>
            <w:tcW w:w="2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Transportation services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Second Lien Debt (j)(o)</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w w:val="96"/>
              </w:rPr>
              <w:t>10.86%/0.00%</w:t>
            </w:r>
          </w:p>
        </w:tc>
        <w:tc>
          <w:tcPr>
            <w:tcW w:w="1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rPr>
              <w:t>2/3/2025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19,690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Equity (4,000 units) (h)(j)</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2,956</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22,646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23,823</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Non-control/Non-affiliate Investments</w:t>
            </w: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505,129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501,111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line="20" w:lineRule="exact"/>
              <w:rPr>
                <w:sz w:val="1"/>
                <w:szCs w:val="1"/>
                <w:color w:val="auto"/>
              </w:rPr>
            </w:pPr>
          </w:p>
        </w:tc>
      </w:tr>
      <w:tr>
        <w:trPr>
          <w:trHeight w:val="143"/>
        </w:trPr>
        <w:tc>
          <w:tcPr>
            <w:tcW w:w="426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0"/>
              </w:rPr>
              <w:t>598,750</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0"/>
              </w:rPr>
              <w:t>642,982</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520" w:right="10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2018. Generally, payment-in-kind interest can be paid-in-kind or all in cash.</w:t>
      </w:r>
    </w:p>
    <w:p>
      <w:pPr>
        <w:ind w:left="520" w:right="14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520" w:right="26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bears cash interest at a variable rate that is determined by reference to one-month LIBOR, which is reset monthly. The cash interest rate is set as one-month LIBOR + 11.50% and is subject to a 1.00% LIBOR interest rate floor. The Company has provided the interest rate in effect as of December 31, 2018.</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is held by a wholly-owned subsidiary of the Company, other than the Funds.</w:t>
      </w:r>
    </w:p>
    <w:p>
      <w:pPr>
        <w:ind w:left="520" w:right="10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2018. The Company is earning 0.50% interest on the unfunded balance of the commitment. The interest rate disclosed represents the rate which will be earned if the commitment is funded.</w:t>
      </w:r>
    </w:p>
    <w:p>
      <w:pPr>
        <w:ind w:left="520" w:right="1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20" w:right="10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20" w:right="2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520" w:right="26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520" w:right="18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six-month LIBOR, which is reset semi-annually. The interest rate is set as six-month LIBOR + 8.00% and is subject to a 1.00% LIBOR interest rate floor. The Company has provided the interest rate in effect as of December 31, 2018.</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was on non-accrual status as of December 31, 2018, meaning the Company has ceased recognizing interest income on the investment.</w:t>
      </w:r>
    </w:p>
    <w:p>
      <w:pPr>
        <w:ind w:left="520" w:hanging="316"/>
        <w:spacing w:after="0" w:line="22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520" w:right="160" w:hanging="316"/>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which is reset quarterly. The interest rate is set as three-month LIBOR + 10.00% and is subject to a 1.00% LIBOR interest rate floor. The Company has provided the interest rate in effect as of December 31, 2018.</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shares)</w:t>
      </w:r>
    </w:p>
    <w:p>
      <w:pPr>
        <w:spacing w:after="0" w:line="139" w:lineRule="exact"/>
        <w:rPr>
          <w:sz w:val="20"/>
          <w:szCs w:val="20"/>
          <w:color w:val="auto"/>
        </w:rPr>
      </w:pPr>
    </w:p>
    <w:p>
      <w:pPr>
        <w:ind w:left="520" w:hanging="316"/>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portion of the investment is held by a wholly-owned subsidiary of the Company, other than the Funds.</w:t>
      </w:r>
    </w:p>
    <w:p>
      <w:pPr>
        <w:jc w:val="both"/>
        <w:ind w:left="520" w:right="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5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debt investment continues to pay interest, including the default rate, while the portfolio company pursues refinancing options.</w:t>
      </w:r>
    </w:p>
    <w:p>
      <w:pPr>
        <w:ind w:left="5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+ 5.00% and is subject to a 2.00% LIBOR interest rate floor. In addition to the interest earned based on the stated interest rate of this security, the Company is entitled to receive an additional interest amount of 3.54%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20" w:right="1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which is reset quarterly. The interest rate is set as three-month LIBOR + 7.00% and is subject to a 1.00% LIBOR interest rate floor. The Company has provided the interest rate in effect as of December 31, 2018.</w:t>
      </w:r>
    </w:p>
    <w:p>
      <w:pPr>
        <w:ind w:left="5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The interest rate is set as three-month LIBOR + 5.75% and is subject to a 2.00% LIBOR interest rate floor. In addition to the interest earned based on the stated interest rate of this security, the Company is entitled to receive an additional interest amount of 4.15%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20" w:right="120" w:hanging="316"/>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investment bears interest at a variable rate that is determined by reference to three-month LIBOR, which is reset quarterly. The interest rate is set as three-month LIBOR + 9.75% and is subject to a 2.00% LIBOR interest rate floor. The Company has provided the interest rate in effect as of December 31, 2018.</w:t>
      </w:r>
    </w:p>
    <w:p>
      <w:pPr>
        <w:ind w:left="520" w:hanging="316"/>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maturity date presented represents the final termination date of the commitment. $707 of the commitment expires on May 7, 2019.</w:t>
      </w:r>
    </w:p>
    <w:p>
      <w:pPr>
        <w:spacing w:after="0" w:line="196"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54"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The Company provides customized debt and equity financing solutions to lower middle-market companies, and may make investments directly or through its three wholly-owned investment company subsidiaries, Fidus Mezzanine Capital, L.P. (“Fund I”), Fidus Mezzanine Capital II, L.P. (“Fund II”) and Fidus Mezzanine Capital III, L.P. (“Fund III”) (collectively Fund I,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92"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the majority of our investments will continue to be made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Fund I has also elected to be regulated as a BDC under the 1940 Act. 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(the “Investment Advisor”) under an investment advisory agreement (the “Investment Advisory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200" w:right="20" w:firstLine="881"/>
        <w:spacing w:after="0" w:line="25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of the Company have been prepared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generally accepted accounting principles in the United States of America (“GAAP”) pursuant to the requirements for reporting on Form 10-Q, Accounting Standards Codification (“ASC”) 946,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192"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200" w:right="480" w:firstLine="881"/>
        <w:spacing w:after="0" w:line="279" w:lineRule="auto"/>
        <w:rPr>
          <w:sz w:val="20"/>
          <w:szCs w:val="20"/>
          <w:color w:val="auto"/>
        </w:rPr>
      </w:pP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Pursuant to Article 6 of Regulation S-X and ASC 946, the Company will generally not consolidate its investments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The Company’s investments are subject to a variety of risks. These risks may include, but are not limited to the following:</w:t>
      </w:r>
    </w:p>
    <w:p>
      <w:pPr>
        <w:spacing w:after="0" w:line="154" w:lineRule="exact"/>
        <w:rPr>
          <w:sz w:val="20"/>
          <w:szCs w:val="20"/>
          <w:color w:val="auto"/>
        </w:rPr>
      </w:pPr>
    </w:p>
    <w:p>
      <w:pPr>
        <w:ind w:left="2500" w:right="60" w:hanging="432"/>
        <w:spacing w:after="0" w:line="291" w:lineRule="auto"/>
        <w:tabs>
          <w:tab w:leader="none" w:pos="25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w:t>
      </w:r>
    </w:p>
    <w:p>
      <w:pPr>
        <w:sectPr>
          <w:pgSz w:w="11900" w:h="16838" w:orient="portrait"/>
          <w:cols w:equalWidth="0" w:num="1">
            <w:col w:w="11220"/>
          </w:cols>
          <w:pgMar w:left="240" w:top="459" w:right="439" w:bottom="1440"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520" w:right="200"/>
        <w:spacing w:after="0" w:line="259" w:lineRule="auto"/>
        <w:rPr>
          <w:sz w:val="20"/>
          <w:szCs w:val="20"/>
          <w:color w:val="auto"/>
        </w:rPr>
      </w:pPr>
      <w:r>
        <w:rPr>
          <w:rFonts w:ascii="Arial" w:cs="Arial" w:eastAsia="Arial" w:hAnsi="Arial"/>
          <w:sz w:val="18"/>
          <w:szCs w:val="18"/>
          <w:color w:val="auto"/>
        </w:rPr>
        <w:t>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92" w:lineRule="exact"/>
        <w:rPr>
          <w:sz w:val="20"/>
          <w:szCs w:val="20"/>
          <w:color w:val="auto"/>
        </w:rPr>
      </w:pPr>
    </w:p>
    <w:p>
      <w:pPr>
        <w:ind w:left="2500" w:right="20" w:hanging="432"/>
        <w:spacing w:after="0" w:line="286" w:lineRule="auto"/>
        <w:tabs>
          <w:tab w:leader="none" w:pos="25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Credit risk - </w:t>
      </w:r>
      <w:r>
        <w:rPr>
          <w:rFonts w:ascii="Arial" w:cs="Arial" w:eastAsia="Arial" w:hAnsi="Arial"/>
          <w:sz w:val="17"/>
          <w:szCs w:val="17"/>
          <w:color w:val="auto"/>
        </w:rPr>
        <w:t>Credit risk represents the risk that the Company would incur if the counterparties failed to perform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terms of their agreements with the Company. Issues of high-yield debt securities in which the Company invests are more likely to default on interest or principal than are issues of investment-grade securities.</w:t>
      </w:r>
    </w:p>
    <w:p>
      <w:pPr>
        <w:spacing w:after="0" w:line="70" w:lineRule="exact"/>
        <w:rPr>
          <w:rFonts w:ascii="Arial" w:cs="Arial" w:eastAsia="Arial" w:hAnsi="Arial"/>
          <w:sz w:val="17"/>
          <w:szCs w:val="17"/>
          <w:color w:val="auto"/>
        </w:rPr>
      </w:pPr>
    </w:p>
    <w:p>
      <w:pPr>
        <w:ind w:left="2500" w:right="60" w:hanging="432"/>
        <w:spacing w:after="0" w:line="277" w:lineRule="auto"/>
        <w:tabs>
          <w:tab w:leader="none" w:pos="2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or at a reasonable price (given the lack of an established market).</w:t>
      </w:r>
    </w:p>
    <w:p>
      <w:pPr>
        <w:spacing w:after="0" w:line="75" w:lineRule="exact"/>
        <w:rPr>
          <w:rFonts w:ascii="Arial" w:cs="Arial" w:eastAsia="Arial" w:hAnsi="Arial"/>
          <w:sz w:val="18"/>
          <w:szCs w:val="18"/>
          <w:color w:val="auto"/>
        </w:rPr>
      </w:pPr>
    </w:p>
    <w:p>
      <w:pPr>
        <w:ind w:left="2500" w:right="60" w:hanging="432"/>
        <w:spacing w:after="0" w:line="277" w:lineRule="auto"/>
        <w:tabs>
          <w:tab w:leader="none" w:pos="2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fair value of an interest-bearing financial instrument.</w:t>
      </w:r>
    </w:p>
    <w:p>
      <w:pPr>
        <w:spacing w:after="0" w:line="75" w:lineRule="exact"/>
        <w:rPr>
          <w:rFonts w:ascii="Arial" w:cs="Arial" w:eastAsia="Arial" w:hAnsi="Arial"/>
          <w:sz w:val="18"/>
          <w:szCs w:val="18"/>
          <w:color w:val="auto"/>
        </w:rPr>
      </w:pPr>
    </w:p>
    <w:p>
      <w:pPr>
        <w:ind w:left="2500" w:right="460" w:hanging="432"/>
        <w:spacing w:after="0" w:line="259" w:lineRule="auto"/>
        <w:tabs>
          <w:tab w:leader="none" w:pos="2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 </w:t>
      </w:r>
      <w:r>
        <w:rPr>
          <w:rFonts w:ascii="Arial" w:cs="Arial" w:eastAsia="Arial" w:hAnsi="Arial"/>
          <w:sz w:val="18"/>
          <w:szCs w:val="18"/>
          <w:color w:val="auto"/>
        </w:rPr>
        <w:t>Certain of the Company’s debt investments allow for prepayment of principal without penalty.</w:t>
      </w:r>
      <w:r>
        <w:rPr>
          <w:rFonts w:ascii="Arial" w:cs="Arial" w:eastAsia="Arial" w:hAnsi="Arial"/>
          <w:sz w:val="18"/>
          <w:szCs w:val="18"/>
          <w:i w:val="1"/>
          <w:iCs w:val="1"/>
          <w:color w:val="auto"/>
        </w:rPr>
        <w:t xml:space="preserve"> </w:t>
      </w:r>
      <w:r>
        <w:rPr>
          <w:rFonts w:ascii="Arial" w:cs="Arial" w:eastAsia="Arial" w:hAnsi="Arial"/>
          <w:sz w:val="18"/>
          <w:szCs w:val="18"/>
          <w:color w:val="auto"/>
        </w:rPr>
        <w:t>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92" w:lineRule="exact"/>
        <w:rPr>
          <w:rFonts w:ascii="Arial" w:cs="Arial" w:eastAsia="Arial" w:hAnsi="Arial"/>
          <w:sz w:val="18"/>
          <w:szCs w:val="18"/>
          <w:color w:val="auto"/>
        </w:rPr>
      </w:pPr>
    </w:p>
    <w:p>
      <w:pPr>
        <w:jc w:val="both"/>
        <w:ind w:left="2500" w:right="180" w:hanging="432"/>
        <w:spacing w:after="0" w:line="264" w:lineRule="auto"/>
        <w:tabs>
          <w:tab w:leader="none" w:pos="2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represent future commitments to purchase other financial instruments at defined terms at defined future dates. See Note 7 for further details.</w:t>
      </w:r>
    </w:p>
    <w:p>
      <w:pPr>
        <w:spacing w:after="0" w:line="181" w:lineRule="exact"/>
        <w:rPr>
          <w:sz w:val="20"/>
          <w:szCs w:val="20"/>
          <w:color w:val="auto"/>
        </w:rPr>
      </w:pPr>
    </w:p>
    <w:p>
      <w:pPr>
        <w:ind w:left="200" w:right="300" w:firstLine="881"/>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instruments in accordance with ASC Topic 820 </w:t>
      </w:r>
      <w:r>
        <w:rPr>
          <w:rFonts w:ascii="Arial" w:cs="Arial" w:eastAsia="Arial" w:hAnsi="Arial"/>
          <w:sz w:val="18"/>
          <w:szCs w:val="18"/>
          <w:i w:val="1"/>
          <w:iCs w:val="1"/>
          <w:color w:val="auto"/>
        </w:rPr>
        <w:t>— 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operating unit structure.</w:t>
      </w:r>
    </w:p>
    <w:p>
      <w:pPr>
        <w:spacing w:after="0" w:line="170" w:lineRule="exact"/>
        <w:rPr>
          <w:sz w:val="20"/>
          <w:szCs w:val="20"/>
          <w:color w:val="auto"/>
        </w:rPr>
      </w:pPr>
    </w:p>
    <w:p>
      <w:pPr>
        <w:jc w:val="both"/>
        <w:ind w:left="200" w:right="60" w:firstLine="881"/>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6" w:lineRule="exact"/>
        <w:rPr>
          <w:sz w:val="20"/>
          <w:szCs w:val="20"/>
          <w:color w:val="auto"/>
        </w:rPr>
      </w:pPr>
    </w:p>
    <w:p>
      <w:pPr>
        <w:ind w:left="200" w:right="240" w:firstLine="881"/>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Note 6) 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200" w:right="100" w:firstLine="881"/>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8"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200"/>
          </w:cols>
          <w:pgMar w:left="240" w:top="459" w:right="459" w:bottom="1440" w:gutter="0" w:footer="0" w:header="0"/>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24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80" w:firstLine="881"/>
        <w:spacing w:after="0" w:line="293"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65"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w:t>
      </w:r>
      <w:r>
        <w:rPr>
          <w:rFonts w:ascii="Arial" w:cs="Arial" w:eastAsia="Arial" w:hAnsi="Arial"/>
          <w:sz w:val="17"/>
          <w:szCs w:val="17"/>
          <w:i w:val="1"/>
          <w:iCs w:val="1"/>
          <w:color w:val="auto"/>
        </w:rPr>
        <w:t xml:space="preserve"> </w:t>
      </w:r>
      <w:r>
        <w:rPr>
          <w:rFonts w:ascii="Arial" w:cs="Arial" w:eastAsia="Arial" w:hAnsi="Arial"/>
          <w:sz w:val="17"/>
          <w:szCs w:val="17"/>
          <w:color w:val="auto"/>
        </w:rPr>
        <w:t>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jc w:val="both"/>
        <w:ind w:left="200" w:right="20" w:firstLine="881"/>
        <w:spacing w:after="0" w:line="288"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the Company’s investments contain a payment-in-kind (“PIK”) income provision. The PIK income, computed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w:t>
      </w:r>
    </w:p>
    <w:p>
      <w:pPr>
        <w:ind w:left="200" w:right="40"/>
        <w:spacing w:after="0" w:line="252" w:lineRule="auto"/>
        <w:rPr>
          <w:sz w:val="20"/>
          <w:szCs w:val="20"/>
          <w:color w:val="auto"/>
        </w:rPr>
      </w:pPr>
      <w:r>
        <w:rPr>
          <w:rFonts w:ascii="Arial" w:cs="Arial" w:eastAsia="Arial" w:hAnsi="Arial"/>
          <w:sz w:val="18"/>
          <w:szCs w:val="18"/>
          <w:color w:val="auto"/>
        </w:rPr>
        <w:t>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4"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w:t>
      </w:r>
      <w:r>
        <w:rPr>
          <w:rFonts w:ascii="Arial" w:cs="Arial" w:eastAsia="Arial" w:hAnsi="Arial"/>
          <w:sz w:val="17"/>
          <w:szCs w:val="17"/>
          <w:i w:val="1"/>
          <w:iCs w:val="1"/>
          <w:color w:val="auto"/>
        </w:rPr>
        <w:t xml:space="preserve"> </w:t>
      </w:r>
      <w:r>
        <w:rPr>
          <w:rFonts w:ascii="Arial" w:cs="Arial" w:eastAsia="Arial" w:hAnsi="Arial"/>
          <w:sz w:val="17"/>
          <w:szCs w:val="17"/>
          <w:color w:val="auto"/>
        </w:rPr>
        <w:t>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73" w:lineRule="exact"/>
        <w:rPr>
          <w:sz w:val="20"/>
          <w:szCs w:val="20"/>
          <w:color w:val="auto"/>
        </w:rPr>
      </w:pPr>
    </w:p>
    <w:p>
      <w:pPr>
        <w:ind w:left="200" w:right="400" w:firstLine="881"/>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3"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200" w:right="100" w:firstLine="881"/>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200"/>
          </w:cols>
          <w:pgMar w:left="240" w:top="459" w:right="459" w:bottom="1440" w:gutter="0" w:footer="0" w:header="0"/>
        </w:sectPr>
      </w:pP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24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200" w:right="80" w:firstLine="881"/>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has elected to be treated as a RIC under Subchapter M of the Code, which will generally relieve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w:t>
      </w:r>
    </w:p>
    <w:p>
      <w:pPr>
        <w:ind w:left="200" w:right="80"/>
        <w:spacing w:after="0" w:line="252"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5"/>
          <w:szCs w:val="15"/>
          <w:color w:val="auto"/>
        </w:rPr>
        <w:t>th</w:t>
      </w:r>
      <w:r>
        <w:rPr>
          <w:rFonts w:ascii="Arial" w:cs="Arial" w:eastAsia="Arial" w:hAnsi="Arial"/>
          <w:sz w:val="18"/>
          <w:szCs w:val="18"/>
          <w:color w:val="auto"/>
        </w:rPr>
        <w:t xml:space="preserve"> day of the 10</w:t>
      </w:r>
      <w:r>
        <w:rPr>
          <w:rFonts w:ascii="Arial" w:cs="Arial" w:eastAsia="Arial" w:hAnsi="Arial"/>
          <w:sz w:val="15"/>
          <w:szCs w:val="15"/>
          <w:color w:val="auto"/>
        </w:rPr>
        <w:t>th</w:t>
      </w:r>
      <w:r>
        <w:rPr>
          <w:rFonts w:ascii="Arial" w:cs="Arial" w:eastAsia="Arial" w:hAnsi="Arial"/>
          <w:sz w:val="18"/>
          <w:szCs w:val="18"/>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94" w:lineRule="exact"/>
        <w:rPr>
          <w:sz w:val="20"/>
          <w:szCs w:val="20"/>
          <w:color w:val="auto"/>
        </w:rPr>
      </w:pPr>
    </w:p>
    <w:p>
      <w:pPr>
        <w:ind w:left="200" w:right="720" w:firstLine="881"/>
        <w:spacing w:after="0" w:line="342" w:lineRule="auto"/>
        <w:rPr>
          <w:sz w:val="20"/>
          <w:szCs w:val="20"/>
          <w:color w:val="auto"/>
        </w:rPr>
      </w:pPr>
      <w:r>
        <w:rPr>
          <w:rFonts w:ascii="Arial" w:cs="Arial" w:eastAsia="Arial" w:hAnsi="Arial"/>
          <w:sz w:val="16"/>
          <w:szCs w:val="16"/>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24" w:lineRule="exact"/>
        <w:rPr>
          <w:sz w:val="20"/>
          <w:szCs w:val="20"/>
          <w:color w:val="auto"/>
        </w:rPr>
      </w:pPr>
    </w:p>
    <w:p>
      <w:pPr>
        <w:ind w:left="200" w:right="20" w:firstLine="881"/>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6"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200" w:right="80" w:firstLine="881"/>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2019 and December 31, 2018. The Company’s tax returns are generally subject to examination by U.S. federal and most state tax authorities for a period of three years from the date the respective returns are filed, and, accordingly, the Company’s 2015 through 2017 tax years remain subject to examination.</w:t>
      </w:r>
    </w:p>
    <w:p>
      <w:pPr>
        <w:spacing w:after="0" w:line="179" w:lineRule="exact"/>
        <w:rPr>
          <w:sz w:val="20"/>
          <w:szCs w:val="20"/>
          <w:color w:val="auto"/>
        </w:rPr>
      </w:pPr>
    </w:p>
    <w:p>
      <w:pPr>
        <w:ind w:left="200" w:right="60" w:firstLine="881"/>
        <w:spacing w:after="0" w:line="312"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w:t>
      </w:r>
      <w:r>
        <w:rPr>
          <w:rFonts w:ascii="Arial" w:cs="Arial" w:eastAsia="Arial" w:hAnsi="Arial"/>
          <w:sz w:val="16"/>
          <w:szCs w:val="16"/>
          <w:i w:val="1"/>
          <w:iCs w:val="1"/>
          <w:color w:val="auto"/>
        </w:rPr>
        <w:t xml:space="preserve"> </w:t>
      </w:r>
      <w:r>
        <w:rPr>
          <w:rFonts w:ascii="Arial" w:cs="Arial" w:eastAsia="Arial" w:hAnsi="Arial"/>
          <w:sz w:val="16"/>
          <w:szCs w:val="16"/>
          <w:color w:val="auto"/>
        </w:rPr>
        <w:t>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7" w:lineRule="exact"/>
        <w:rPr>
          <w:sz w:val="20"/>
          <w:szCs w:val="20"/>
          <w:color w:val="auto"/>
        </w:rPr>
      </w:pPr>
    </w:p>
    <w:p>
      <w:pPr>
        <w:ind w:left="200" w:right="120" w:firstLine="881"/>
        <w:spacing w:after="0" w:line="276"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87" w:lineRule="exact"/>
        <w:rPr>
          <w:sz w:val="20"/>
          <w:szCs w:val="20"/>
          <w:color w:val="auto"/>
        </w:rPr>
      </w:pPr>
    </w:p>
    <w:p>
      <w:pPr>
        <w:ind w:left="200" w:right="500" w:firstLine="881"/>
        <w:spacing w:after="0" w:line="264"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months ended March 31,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utilizing the weighted average shares outstanding for the period. Net asset value per share is calculated using the number of shares outstanding as of the end of the period.</w:t>
      </w:r>
    </w:p>
    <w:p>
      <w:pPr>
        <w:spacing w:after="0" w:line="181" w:lineRule="exact"/>
        <w:rPr>
          <w:sz w:val="20"/>
          <w:szCs w:val="20"/>
          <w:color w:val="auto"/>
        </w:rPr>
      </w:pPr>
    </w:p>
    <w:p>
      <w:pPr>
        <w:ind w:left="200" w:right="100" w:firstLine="881"/>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2019. During the three months ended March 31, 2018, the Company repurchased 44,821 shares of common stock on the open market for $582. Refer to Note 8 for additional information concerning stock repurchases.</w:t>
      </w:r>
    </w:p>
    <w:p>
      <w:pPr>
        <w:spacing w:after="0" w:line="2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The Company is currently evaluating the impact this ASU will have on the Company’s consolidated financial position or disclosures.</w:t>
      </w:r>
    </w:p>
    <w:p>
      <w:pPr>
        <w:spacing w:after="0" w:line="18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 xml:space="preserve">In March 2019, the SEC issued Final Rule Release No. 33-10618, </w:t>
      </w:r>
      <w:r>
        <w:rPr>
          <w:rFonts w:ascii="Arial" w:cs="Arial" w:eastAsia="Arial" w:hAnsi="Arial"/>
          <w:sz w:val="17"/>
          <w:szCs w:val="17"/>
          <w:i w:val="1"/>
          <w:iCs w:val="1"/>
          <w:color w:val="auto"/>
        </w:rPr>
        <w:t>FAST Act Modernization and Simplification of Regulation S-K</w:t>
      </w:r>
      <w:r>
        <w:rPr>
          <w:rFonts w:ascii="Arial" w:cs="Arial" w:eastAsia="Arial" w:hAnsi="Arial"/>
          <w:sz w:val="17"/>
          <w:szCs w:val="17"/>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The Company adopted the amendments effective May 2, 2019. As it pertains to the Company for this Form 10-Q, the amendments include certain presentation changes that are not significant to the Company’s consolidated financial position or disclosures. The Company is still evaluating the impact this amendment will have on its other future periodic filings and registration statements.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200" w:right="120" w:firstLine="881"/>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8"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As of March 31, 2019, the Company had active investments in 61 portfolio companies and residual investments in four portfolio companies that have sold its underlying operations. The aggregate fair value of the total portfolio was $670,481 and the weighted average effective yield on the Company’s debt investments was 12.4% as of such date. As of March 31, 2019, the Company held equity investments in 93.8% of its portfolio companies and the weighted average fully diluted equity ownership in those portfolio companies was 6.4%. The weighted average fully diluted equity ownership was computed using the fully diluted equity ownership for equity investments (including warrants) at cost as of March 31, 2019.</w:t>
      </w:r>
    </w:p>
    <w:p>
      <w:pPr>
        <w:spacing w:after="0" w:line="158"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As of December 31, 2018, the Company had active investments in 60 portfolio companies and residual investments in three portfolio companies that have sold their underlying operations. The aggregate fair value of the total portfolio was $642,982 and the weighted average effective yield on the Company’s debt investments was 12.6% as of such date. As of December 31, 2018, the Company held equity investments in 93.7% of its portfolio companies and the weighted average fully diluted equity ownership in those portfolio companies was 6.6%. The weighted average fully diluted equity ownership was computed using the fully diluted equity ownership for equity investments (including warrants) at cost as of December 31, 2018.</w:t>
      </w:r>
    </w:p>
    <w:p>
      <w:pPr>
        <w:sectPr>
          <w:pgSz w:w="11900" w:h="16838" w:orient="portrait"/>
          <w:cols w:equalWidth="0" w:num="1">
            <w:col w:w="11220"/>
          </w:cols>
          <w:pgMar w:left="240" w:top="459" w:right="439" w:bottom="1440" w:gutter="0" w:footer="0" w:header="0"/>
        </w:sectPr>
      </w:pP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320" w:firstLine="881"/>
        <w:spacing w:after="0" w:line="302" w:lineRule="auto"/>
        <w:rPr>
          <w:sz w:val="20"/>
          <w:szCs w:val="20"/>
          <w:color w:val="auto"/>
        </w:rPr>
      </w:pPr>
      <w:r>
        <w:rPr>
          <w:rFonts w:ascii="Arial" w:cs="Arial" w:eastAsia="Arial" w:hAnsi="Arial"/>
          <w:sz w:val="16"/>
          <w:szCs w:val="16"/>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March 31, 2019 and December 31, 2018, including accretion of OID and debt investment origination fees, but excluding investments on non-accrual status, if any.</w:t>
      </w:r>
    </w:p>
    <w:p>
      <w:pPr>
        <w:spacing w:after="0" w:line="154"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Purchases of debt and equity investments for the three months ended March 31, 2019 and 2018 totaled $80,473 and $60,913, respectively. Proceeds from sales and repayments, including principal, return of capital distributions and realized gains, of portfolio investments for the three months ended March 31, 2019 and 2018 totaled $57,352 and $36,093, respectively.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4"/>
          </w:tcPr>
          <w:p>
            <w:pPr>
              <w:jc w:val="center"/>
              <w:ind w:right="268"/>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$362,680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$366,517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$377,350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60.6%</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$379,973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Subordinated Debt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125,252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104,225</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125,783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105,900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55,511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57,667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Equity</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115,952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106,707</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54,740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53,482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Royalty Rights</w:t>
            </w:r>
          </w:p>
        </w:tc>
        <w:tc>
          <w:tcPr>
            <w:tcW w:w="1380" w:type="dxa"/>
            <w:vAlign w:val="bottom"/>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670,481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642,982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622,704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4"/>
              </w:rPr>
              <w:t>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598,750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All investments made by the Company as of March 31, 2019 and December 31, 2018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4"/>
          </w:tcPr>
          <w:p>
            <w:pPr>
              <w:jc w:val="center"/>
              <w:ind w:right="268"/>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$149,133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$161,067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$134,355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$152,607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171,626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176,819</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151,185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155,271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148,874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142,227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59,719</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62,824</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54,505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54,469</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141,129</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152,611</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140,432</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152,157</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670,481</w:t>
            </w: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642,982</w:t>
            </w:r>
          </w:p>
        </w:tc>
        <w:tc>
          <w:tcPr>
            <w:tcW w:w="2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622,704</w:t>
            </w:r>
          </w:p>
        </w:tc>
        <w:tc>
          <w:tcPr>
            <w:tcW w:w="240" w:type="dxa"/>
            <w:vAlign w:val="bottom"/>
          </w:tcPr>
          <w:p>
            <w:pPr>
              <w:spacing w:after="0"/>
              <w:rPr>
                <w:sz w:val="19"/>
                <w:szCs w:val="19"/>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w w:val="94"/>
              </w:rPr>
              <w:t>100.0%</w:t>
            </w:r>
          </w:p>
        </w:tc>
        <w:tc>
          <w:tcPr>
            <w:tcW w:w="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598,750</w:t>
            </w:r>
          </w:p>
        </w:tc>
        <w:tc>
          <w:tcPr>
            <w:tcW w:w="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360"/>
              <w:spacing w:after="0"/>
              <w:rPr>
                <w:sz w:val="20"/>
                <w:szCs w:val="20"/>
                <w:color w:val="auto"/>
              </w:rPr>
            </w:pPr>
            <w:r>
              <w:rPr>
                <w:rFonts w:ascii="Arial" w:cs="Arial" w:eastAsia="Arial" w:hAnsi="Arial"/>
                <w:sz w:val="14"/>
                <w:szCs w:val="14"/>
                <w:b w:val="1"/>
                <w:bCs w:val="1"/>
                <w:color w:val="auto"/>
              </w:rPr>
              <w:t>By Type</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By Geographic Region</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3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2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Midwest</w:t>
            </w:r>
          </w:p>
        </w:tc>
        <w:tc>
          <w:tcPr>
            <w:tcW w:w="1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Southeast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Northeast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Equity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West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Southwest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Royalty Rights</w:t>
            </w:r>
          </w:p>
        </w:tc>
        <w:tc>
          <w:tcPr>
            <w:tcW w:w="1420" w:type="dxa"/>
            <w:vAlign w:val="bottom"/>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159.6%</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As of March 31, 2019 and December 31, 2018, the Company had no portfolio company investments that represented more than 10% of the total investment portfolio on a fair value or cost basis.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As of March 31, 2019 and December 31, 2018, the Company had debt investments in two portfolio companies on non-accrual status, respectively:</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6"/>
          </w:tcPr>
          <w:p>
            <w:pPr>
              <w:jc w:val="right"/>
              <w:ind w:right="683"/>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463"/>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8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423"/>
              <w:spacing w:after="0" w:line="158"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43"/>
              <w:spacing w:after="0" w:line="158" w:lineRule="exact"/>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9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8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6"/>
              </w:rPr>
              <w:t>(1)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87"/>
              </w:rPr>
              <w:t>(1)</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$13,208</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$14,270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23"/>
              <w:spacing w:after="0"/>
              <w:rPr>
                <w:sz w:val="20"/>
                <w:szCs w:val="20"/>
                <w:color w:val="auto"/>
              </w:rPr>
            </w:pPr>
            <w:r>
              <w:rPr>
                <w:rFonts w:ascii="Arial" w:cs="Arial" w:eastAsia="Arial" w:hAnsi="Arial"/>
                <w:sz w:val="18"/>
                <w:szCs w:val="18"/>
                <w:color w:val="auto"/>
              </w:rPr>
              <w:t>6,437</w:t>
            </w: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3"/>
              <w:spacing w:after="0"/>
              <w:rPr>
                <w:sz w:val="20"/>
                <w:szCs w:val="20"/>
                <w:color w:val="auto"/>
              </w:rPr>
            </w:pPr>
            <w:r>
              <w:rPr>
                <w:rFonts w:ascii="Arial" w:cs="Arial" w:eastAsia="Arial" w:hAnsi="Arial"/>
                <w:sz w:val="18"/>
                <w:szCs w:val="18"/>
                <w:color w:val="auto"/>
              </w:rPr>
              <w:t>8,338</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15,359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23,697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20,757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29,629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9" w:lineRule="exact"/>
        <w:rPr>
          <w:rFonts w:ascii="Arial" w:cs="Arial" w:eastAsia="Arial" w:hAnsi="Arial"/>
          <w:sz w:val="18"/>
          <w:szCs w:val="18"/>
          <w:color w:val="auto"/>
        </w:rPr>
      </w:pPr>
    </w:p>
    <w:p>
      <w:pPr>
        <w:ind w:left="640" w:right="200" w:hanging="436"/>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company last-out debt investment was on PIK-only on non-accrual status at period end, meaning the Company has ceased recognizing PIK interest income on the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2018 and any additions and reductions made to such investments during the three months ended March 31, 2019, the ending fair value as of March 31, 2019, and the total investment income earned on such investments during the period.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9"/>
              </w:rPr>
              <w:t>March 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9"/>
          </w:tcPr>
          <w:p>
            <w:pPr>
              <w:ind w:left="100"/>
              <w:spacing w:after="0"/>
              <w:rPr>
                <w:sz w:val="20"/>
                <w:szCs w:val="20"/>
                <w:color w:val="auto"/>
              </w:rPr>
            </w:pPr>
            <w:r>
              <w:rPr>
                <w:rFonts w:ascii="Arial" w:cs="Arial" w:eastAsia="Arial" w:hAnsi="Arial"/>
                <w:sz w:val="13"/>
                <w:szCs w:val="13"/>
                <w:b w:val="1"/>
                <w:bCs w:val="1"/>
                <w:color w:val="auto"/>
                <w:w w:val="88"/>
              </w:rPr>
              <w:t>Three Months Ended March 31, 2019</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Net Change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Principal</w:t>
            </w:r>
          </w:p>
        </w:tc>
        <w:tc>
          <w:tcPr>
            <w:tcW w:w="820" w:type="dxa"/>
            <w:vAlign w:val="bottom"/>
            <w:gridSpan w:val="3"/>
          </w:tcPr>
          <w:p>
            <w:pPr>
              <w:jc w:val="center"/>
              <w:ind w:left="1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March 31,</w:t>
            </w:r>
          </w:p>
        </w:tc>
        <w:tc>
          <w:tcPr>
            <w:tcW w:w="8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Payment-in-</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9"/>
              </w:rPr>
              <w:t>Amount - Debt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0"/>
              </w:rPr>
              <w:t>Gross</w:t>
            </w:r>
          </w:p>
        </w:tc>
        <w:tc>
          <w:tcPr>
            <w:tcW w:w="60" w:type="dxa"/>
            <w:vAlign w:val="bottom"/>
          </w:tcPr>
          <w:p>
            <w:pPr>
              <w:spacing w:after="0"/>
              <w:rPr>
                <w:sz w:val="11"/>
                <w:szCs w:val="11"/>
                <w:color w:val="auto"/>
              </w:rPr>
            </w:pPr>
          </w:p>
        </w:tc>
        <w:tc>
          <w:tcPr>
            <w:tcW w:w="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2019 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Gains</w:t>
            </w:r>
          </w:p>
        </w:tc>
        <w:tc>
          <w:tcPr>
            <w:tcW w:w="40" w:type="dxa"/>
            <w:vAlign w:val="bottom"/>
          </w:tcPr>
          <w:p>
            <w:pPr>
              <w:spacing w:after="0"/>
              <w:rPr>
                <w:sz w:val="11"/>
                <w:szCs w:val="11"/>
                <w:color w:val="auto"/>
              </w:rPr>
            </w:pPr>
          </w:p>
        </w:tc>
        <w:tc>
          <w:tcPr>
            <w:tcW w:w="86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4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85"/>
              </w:rPr>
              <w:t>Interest</w:t>
            </w:r>
          </w:p>
        </w:tc>
        <w:tc>
          <w:tcPr>
            <w:tcW w:w="86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8"/>
              </w:rPr>
              <w:t>kind Interest</w:t>
            </w:r>
          </w:p>
        </w:tc>
        <w:tc>
          <w:tcPr>
            <w:tcW w:w="5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Dividend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40"/>
        </w:trPr>
        <w:tc>
          <w:tcPr>
            <w:tcW w:w="2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6"/>
              </w:rPr>
              <w:t>Investments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500" w:type="dxa"/>
            <w:vAlign w:val="bottom"/>
            <w:gridSpan w:val="7"/>
          </w:tcPr>
          <w:p>
            <w:pPr>
              <w:ind w:left="80"/>
              <w:spacing w:after="0" w:line="141" w:lineRule="exact"/>
              <w:rPr>
                <w:sz w:val="20"/>
                <w:szCs w:val="20"/>
                <w:color w:val="auto"/>
              </w:rPr>
            </w:pPr>
            <w:r>
              <w:rPr>
                <w:rFonts w:ascii="Arial" w:cs="Arial" w:eastAsia="Arial" w:hAnsi="Arial"/>
                <w:sz w:val="13"/>
                <w:szCs w:val="13"/>
                <w:b w:val="1"/>
                <w:bCs w:val="1"/>
                <w:color w:val="auto"/>
                <w:w w:val="93"/>
              </w:rPr>
              <w:t xml:space="preserve">Additions </w:t>
            </w:r>
            <w:r>
              <w:rPr>
                <w:rFonts w:ascii="Arial" w:cs="Arial" w:eastAsia="Arial" w:hAnsi="Arial"/>
                <w:sz w:val="10"/>
                <w:szCs w:val="10"/>
                <w:b w:val="1"/>
                <w:bCs w:val="1"/>
                <w:color w:val="auto"/>
                <w:w w:val="93"/>
              </w:rPr>
              <w:t>(2)</w:t>
            </w:r>
            <w:r>
              <w:rPr>
                <w:rFonts w:ascii="Arial" w:cs="Arial" w:eastAsia="Arial" w:hAnsi="Arial"/>
                <w:sz w:val="13"/>
                <w:szCs w:val="13"/>
                <w:b w:val="1"/>
                <w:bCs w:val="1"/>
                <w:color w:val="auto"/>
                <w:w w:val="93"/>
              </w:rPr>
              <w:t xml:space="preserve"> Reductions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2"/>
                <w:szCs w:val="12"/>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3"/>
              </w:rPr>
              <w:t xml:space="preserve">(Losses) </w:t>
            </w:r>
            <w:r>
              <w:rPr>
                <w:rFonts w:ascii="Arial" w:cs="Arial" w:eastAsia="Arial" w:hAnsi="Arial"/>
                <w:sz w:val="10"/>
                <w:szCs w:val="10"/>
                <w:b w:val="1"/>
                <w:bCs w:val="1"/>
                <w:color w:val="auto"/>
                <w:w w:val="83"/>
              </w:rPr>
              <w:t>(4)</w:t>
            </w:r>
          </w:p>
        </w:tc>
        <w:tc>
          <w:tcPr>
            <w:tcW w:w="9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6"/>
              </w:rPr>
              <w:t>(Depreciation)</w:t>
            </w:r>
          </w:p>
        </w:tc>
        <w:tc>
          <w:tcPr>
            <w:tcW w:w="40" w:type="dxa"/>
            <w:vAlign w:val="bottom"/>
          </w:tcPr>
          <w:p>
            <w:pPr>
              <w:spacing w:after="0"/>
              <w:rPr>
                <w:sz w:val="12"/>
                <w:szCs w:val="12"/>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Income</w:t>
            </w:r>
          </w:p>
        </w:tc>
        <w:tc>
          <w:tcPr>
            <w:tcW w:w="5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2"/>
              </w:rPr>
              <w:t>Income</w:t>
            </w:r>
          </w:p>
        </w:tc>
        <w:tc>
          <w:tcPr>
            <w:tcW w:w="5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41"/>
        </w:trPr>
        <w:tc>
          <w:tcPr>
            <w:tcW w:w="2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b w:val="1"/>
                <w:bCs w:val="1"/>
                <w:color w:val="auto"/>
                <w:w w:val="92"/>
              </w:rPr>
              <w:t>Control Investments</w:t>
            </w:r>
          </w:p>
        </w:tc>
        <w:tc>
          <w:tcPr>
            <w:tcW w:w="1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FDS Avionics Corp. (dba Flight Display Systems)</w:t>
            </w:r>
          </w:p>
        </w:tc>
        <w:tc>
          <w:tcPr>
            <w:tcW w:w="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6,594</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5,612</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179</w:t>
            </w:r>
          </w:p>
        </w:tc>
        <w:tc>
          <w:tcPr>
            <w:tcW w:w="24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(693)</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5,098</w:t>
            </w:r>
          </w:p>
        </w:tc>
        <w:tc>
          <w:tcPr>
            <w:tcW w:w="200" w:type="dxa"/>
            <w:vAlign w:val="bottom"/>
            <w:gridSpan w:val="2"/>
          </w:tcPr>
          <w:p>
            <w:pPr>
              <w:jc w:val="right"/>
              <w:ind w:right="15"/>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(693)</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177</w:t>
            </w:r>
          </w:p>
        </w:tc>
        <w:tc>
          <w:tcPr>
            <w:tcW w:w="8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K2 Industrial Services, Inc.</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(16,643)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92"/>
              </w:rPr>
              <w:t>(1,268)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82"/>
              </w:rPr>
              <w:t>349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Control Investments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6,594</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18,820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3,614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(17,336)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5,098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(1,268)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282</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40"/>
              <w:spacing w:after="0" w:line="143" w:lineRule="exact"/>
              <w:rPr>
                <w:sz w:val="20"/>
                <w:szCs w:val="20"/>
                <w:color w:val="auto"/>
              </w:rPr>
            </w:pPr>
            <w:r>
              <w:rPr>
                <w:rFonts w:ascii="Arial" w:cs="Arial" w:eastAsia="Arial" w:hAnsi="Arial"/>
                <w:sz w:val="13"/>
                <w:szCs w:val="13"/>
                <w:color w:val="auto"/>
                <w:w w:val="82"/>
              </w:rPr>
              <w:t>349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200" w:type="dxa"/>
            <w:vAlign w:val="bottom"/>
            <w:gridSpan w:val="2"/>
          </w:tcPr>
          <w:p>
            <w:pPr>
              <w:jc w:val="right"/>
              <w:ind w:right="15"/>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8,823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21,346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18,620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(2,732)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2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10,046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10,169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2"/>
              </w:rPr>
              <w:t>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6,131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9,285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260"/>
              <w:spacing w:after="0"/>
              <w:rPr>
                <w:sz w:val="20"/>
                <w:szCs w:val="20"/>
                <w:color w:val="auto"/>
              </w:rPr>
            </w:pPr>
            <w:r>
              <w:rPr>
                <w:rFonts w:ascii="Arial" w:cs="Arial" w:eastAsia="Arial" w:hAnsi="Arial"/>
                <w:sz w:val="9"/>
                <w:szCs w:val="9"/>
                <w:color w:val="auto"/>
                <w:w w:val="78"/>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73"/>
              </w:rPr>
              <w:t>367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40,878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2,657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43,535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2,656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2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8"/>
              </w:rPr>
              <w:t>Steward Holding LLC (dba Steward Advanced Materials)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color w:val="auto"/>
              </w:rPr>
              <w:t>Trantech Radiator Products, Inc.</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5,994</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6,301</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6,345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206</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47,567</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123,051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5,700</w:t>
            </w:r>
          </w:p>
        </w:tc>
        <w:tc>
          <w:tcPr>
            <w:tcW w:w="24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(7,229)</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121,522</w:t>
            </w:r>
          </w:p>
        </w:tc>
        <w:tc>
          <w:tcPr>
            <w:tcW w:w="200" w:type="dxa"/>
            <w:vAlign w:val="bottom"/>
            <w:gridSpan w:val="2"/>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1,520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73"/>
              </w:rPr>
              <w:t>368</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2"/>
              </w:rPr>
              <w:t>22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80" w:hanging="436"/>
        <w:spacing w:after="0" w:line="258"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spacing w:after="0" w:line="1" w:lineRule="exact"/>
        <w:rPr>
          <w:rFonts w:ascii="Arial" w:cs="Arial" w:eastAsia="Arial" w:hAnsi="Arial"/>
          <w:sz w:val="18"/>
          <w:szCs w:val="18"/>
          <w:color w:val="auto"/>
        </w:rPr>
      </w:pPr>
    </w:p>
    <w:p>
      <w:pPr>
        <w:ind w:left="640" w:right="18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2" w:lineRule="exact"/>
        <w:rPr>
          <w:rFonts w:ascii="Arial" w:cs="Arial" w:eastAsia="Arial" w:hAnsi="Arial"/>
          <w:sz w:val="16"/>
          <w:szCs w:val="16"/>
          <w:color w:val="auto"/>
        </w:rPr>
      </w:pPr>
    </w:p>
    <w:p>
      <w:pPr>
        <w:jc w:val="both"/>
        <w:ind w:left="640" w:right="60" w:hanging="436"/>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640" w:right="280" w:hanging="43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jc w:val="both"/>
        <w:ind w:left="200" w:right="140" w:firstLine="881"/>
        <w:spacing w:after="0" w:line="288" w:lineRule="auto"/>
        <w:rPr>
          <w:sz w:val="20"/>
          <w:szCs w:val="20"/>
          <w:color w:val="auto"/>
        </w:rPr>
      </w:pPr>
      <w:r>
        <w:rPr>
          <w:rFonts w:ascii="Arial" w:cs="Arial" w:eastAsia="Arial" w:hAnsi="Arial"/>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w:t>
      </w:r>
    </w:p>
    <w:p>
      <w:pPr>
        <w:ind w:left="200"/>
        <w:spacing w:after="0" w:line="254" w:lineRule="auto"/>
        <w:rPr>
          <w:sz w:val="20"/>
          <w:szCs w:val="20"/>
          <w:color w:val="auto"/>
        </w:rPr>
      </w:pPr>
      <w:r>
        <w:rPr>
          <w:rFonts w:ascii="Arial" w:cs="Arial" w:eastAsia="Arial" w:hAnsi="Arial"/>
          <w:sz w:val="18"/>
          <w:szCs w:val="18"/>
          <w:color w:val="auto"/>
        </w:rPr>
        <w:t>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and inputs that are observable, either directly or indirectly, for substantially the full term, if applicable, of the investment.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ectPr>
          <w:pgSz w:w="11900" w:h="16838" w:orient="portrait"/>
          <w:cols w:equalWidth="0" w:num="1">
            <w:col w:w="11200"/>
          </w:cols>
          <w:pgMar w:left="240" w:top="459" w:right="459" w:bottom="0" w:gutter="0" w:footer="0" w:header="0"/>
        </w:sectPr>
      </w:pP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00"/>
          </w:cols>
          <w:pgMar w:left="240" w:top="459" w:right="459" w:bottom="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2"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620" w:right="72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the Investment Advisor;</w:t>
      </w:r>
    </w:p>
    <w:p>
      <w:pPr>
        <w:spacing w:after="0" w:line="153" w:lineRule="exact"/>
        <w:rPr>
          <w:rFonts w:ascii="Arial" w:cs="Arial" w:eastAsia="Arial" w:hAnsi="Arial"/>
          <w:sz w:val="16"/>
          <w:szCs w:val="16"/>
          <w:color w:val="auto"/>
        </w:rPr>
      </w:pPr>
    </w:p>
    <w:p>
      <w:pPr>
        <w:ind w:left="1620" w:right="80" w:hanging="538"/>
        <w:spacing w:after="0" w:line="269" w:lineRule="auto"/>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12 and 16 of its portfolio company investments representing 28.3% and 36.0% of the total portfolio investments at fair value (exclusive of new portfolio company investments made during the three months ended March 31, 2019 and December 31, 2018, respectively) as of March 31, 2019 and December 31, 2018, respectively.</w:t>
      </w:r>
    </w:p>
    <w:p>
      <w:pPr>
        <w:spacing w:after="0" w:line="88" w:lineRule="exact"/>
        <w:rPr>
          <w:rFonts w:ascii="Arial" w:cs="Arial" w:eastAsia="Arial" w:hAnsi="Arial"/>
          <w:sz w:val="17"/>
          <w:szCs w:val="17"/>
          <w:color w:val="auto"/>
        </w:rPr>
      </w:pPr>
    </w:p>
    <w:p>
      <w:pPr>
        <w:ind w:left="1620" w:right="340" w:hanging="538"/>
        <w:spacing w:after="0" w:line="308" w:lineRule="auto"/>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620" w:right="32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89"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w:t>
      </w:r>
    </w:p>
    <w:p>
      <w:pPr>
        <w:sectPr>
          <w:pgSz w:w="11900" w:h="16838" w:orient="portrait"/>
          <w:cols w:equalWidth="0" w:num="1">
            <w:col w:w="11200"/>
          </w:cols>
          <w:pgMar w:left="240" w:top="459" w:right="459" w:bottom="1440" w:gutter="0" w:footer="0" w:header="0"/>
        </w:sectPr>
      </w:pP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00"/>
          </w:cols>
          <w:pgMar w:left="24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66" w:lineRule="exact"/>
        <w:rPr>
          <w:sz w:val="20"/>
          <w:szCs w:val="20"/>
          <w:color w:val="auto"/>
        </w:rPr>
      </w:pPr>
    </w:p>
    <w:p>
      <w:pPr>
        <w:ind w:left="200" w:right="160" w:firstLine="881"/>
        <w:spacing w:after="0" w:line="271"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79" w:lineRule="exact"/>
        <w:rPr>
          <w:sz w:val="20"/>
          <w:szCs w:val="20"/>
          <w:color w:val="auto"/>
        </w:rPr>
      </w:pPr>
    </w:p>
    <w:p>
      <w:pPr>
        <w:ind w:left="200" w:right="140" w:firstLine="881"/>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5" w:lineRule="exact"/>
        <w:rPr>
          <w:sz w:val="20"/>
          <w:szCs w:val="20"/>
          <w:color w:val="auto"/>
        </w:rPr>
      </w:pPr>
    </w:p>
    <w:p>
      <w:pPr>
        <w:jc w:val="both"/>
        <w:ind w:left="200" w:right="200" w:firstLine="881"/>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2019 and 2018.</w:t>
      </w:r>
    </w:p>
    <w:p>
      <w:pPr>
        <w:spacing w:after="0" w:line="181"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three months ended March 31, 2019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Second Lien</w:t>
            </w:r>
          </w:p>
        </w:tc>
        <w:tc>
          <w:tcPr>
            <w:tcW w:w="1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9"/>
              </w:rPr>
              <w:t>Subordinated</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First Lien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Warrants</w:t>
            </w: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16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$ 341,279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$ 28,911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$596,308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change in unrealized appreciation (depreciation) on investments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Balance, March 31, 2018</w:t>
            </w: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$ 377,405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$ 29,622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632,195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$ 366,517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$ 51,790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106,707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change in unrealized appreciation (depreciation) on investments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46,243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(26,663)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Balance, March 31, 2019</w:t>
            </w: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$ 362,680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$ 55,511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115,952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670,481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240" w:top="459" w:right="4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660" w:firstLine="881"/>
        <w:spacing w:after="0" w:line="277" w:lineRule="auto"/>
        <w:rPr>
          <w:sz w:val="20"/>
          <w:szCs w:val="20"/>
          <w:color w:val="auto"/>
        </w:rPr>
      </w:pPr>
      <w:r>
        <w:rPr>
          <w:rFonts w:ascii="Arial" w:cs="Arial" w:eastAsia="Arial" w:hAnsi="Arial"/>
          <w:sz w:val="18"/>
          <w:szCs w:val="18"/>
          <w:color w:val="auto"/>
        </w:rPr>
        <w:t>Net change in unrealized appreciation of $1,538 and $6,085 for the three months ended March 31, 2019 and 2018, respectively, was attributable to Level 3 investments held at March 31, 2019 and 2018, respectively.</w:t>
      </w:r>
    </w:p>
    <w:p>
      <w:pPr>
        <w:spacing w:after="0" w:line="170" w:lineRule="exact"/>
        <w:rPr>
          <w:sz w:val="20"/>
          <w:szCs w:val="20"/>
          <w:color w:val="auto"/>
        </w:rPr>
      </w:pPr>
    </w:p>
    <w:p>
      <w:pPr>
        <w:ind w:left="200" w:right="520" w:firstLine="881"/>
        <w:spacing w:after="0" w:line="286" w:lineRule="auto"/>
        <w:rPr>
          <w:sz w:val="20"/>
          <w:szCs w:val="20"/>
          <w:color w:val="auto"/>
        </w:rPr>
      </w:pPr>
      <w:r>
        <w:rPr>
          <w:rFonts w:ascii="Arial" w:cs="Arial" w:eastAsia="Arial" w:hAnsi="Arial"/>
          <w:sz w:val="17"/>
          <w:szCs w:val="17"/>
          <w:color w:val="auto"/>
        </w:rPr>
        <w:t>The following tables summarize the significant unobservable inputs by valuation technique used to determine the fair value of the Company’s Level 3 debt and equity investments as of March 31, 2019 and December 31, 2018. The tables are not intended to be all-inclusive, but instead capture the significant unobservable inputs relevant to the Company’s determination of fair values.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center"/>
              <w:ind w:right="276"/>
              <w:spacing w:after="0"/>
              <w:rPr>
                <w:sz w:val="20"/>
                <w:szCs w:val="20"/>
                <w:color w:val="auto"/>
              </w:rPr>
            </w:pPr>
            <w:r>
              <w:rPr>
                <w:rFonts w:ascii="Arial" w:cs="Arial" w:eastAsia="Arial" w:hAnsi="Arial"/>
                <w:sz w:val="14"/>
                <w:szCs w:val="14"/>
                <w:b w:val="1"/>
                <w:bCs w:val="1"/>
                <w:color w:val="auto"/>
                <w:w w:val="93"/>
              </w:rPr>
              <w:t>Range</w:t>
            </w:r>
          </w:p>
        </w:tc>
      </w:tr>
      <w:tr>
        <w:trPr>
          <w:trHeight w:val="185"/>
        </w:trPr>
        <w:tc>
          <w:tcPr>
            <w:tcW w:w="20" w:type="dxa"/>
            <w:vAlign w:val="bottom"/>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1"/>
              </w:rPr>
              <w:t>(weighted average)</w:t>
            </w:r>
          </w:p>
        </w:tc>
      </w:tr>
      <w:tr>
        <w:trPr>
          <w:trHeight w:val="196"/>
        </w:trPr>
        <w:tc>
          <w:tcPr>
            <w:tcW w:w="20" w:type="dxa"/>
            <w:vAlign w:val="bottom"/>
          </w:tcPr>
          <w:p>
            <w:pPr>
              <w:spacing w:after="0"/>
              <w:rPr>
                <w:sz w:val="17"/>
                <w:szCs w:val="17"/>
                <w:color w:val="auto"/>
              </w:rPr>
            </w:pPr>
          </w:p>
        </w:tc>
        <w:tc>
          <w:tcPr>
            <w:tcW w:w="1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353,986</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tcPr>
          <w:p>
            <w:pPr>
              <w:ind w:left="100"/>
              <w:spacing w:after="0"/>
              <w:rPr>
                <w:sz w:val="20"/>
                <w:szCs w:val="20"/>
                <w:color w:val="auto"/>
              </w:rPr>
            </w:pPr>
            <w:r>
              <w:rPr>
                <w:rFonts w:ascii="Arial" w:cs="Arial" w:eastAsia="Arial" w:hAnsi="Arial"/>
                <w:sz w:val="18"/>
                <w:szCs w:val="18"/>
                <w:color w:val="auto"/>
              </w:rPr>
              <w:t>11.1% - 30.0% (13.4%)</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2.5x</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- 2.5x (2.5x)</w:t>
            </w: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Asset Coverage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1.2x</w:t>
            </w:r>
          </w:p>
        </w:tc>
        <w:tc>
          <w:tcPr>
            <w:tcW w:w="1800" w:type="dxa"/>
            <w:vAlign w:val="bottom"/>
          </w:tcPr>
          <w:p>
            <w:pPr>
              <w:ind w:left="20"/>
              <w:spacing w:after="0"/>
              <w:rPr>
                <w:sz w:val="20"/>
                <w:szCs w:val="20"/>
                <w:color w:val="auto"/>
              </w:rPr>
            </w:pPr>
            <w:r>
              <w:rPr>
                <w:rFonts w:ascii="Arial" w:cs="Arial" w:eastAsia="Arial" w:hAnsi="Arial"/>
                <w:sz w:val="18"/>
                <w:szCs w:val="18"/>
                <w:color w:val="auto"/>
              </w:rPr>
              <w:t>- 1.2x (1.2x)</w:t>
            </w:r>
          </w:p>
        </w:tc>
      </w:tr>
      <w:tr>
        <w:trPr>
          <w:trHeight w:val="94"/>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gridSpan w:val="2"/>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Subordinated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125,252</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10.9% - 16.5% (12.1%)</w:t>
            </w:r>
          </w:p>
        </w:tc>
      </w:tr>
      <w:tr>
        <w:trPr>
          <w:trHeight w:val="324"/>
        </w:trPr>
        <w:tc>
          <w:tcPr>
            <w:tcW w:w="20" w:type="dxa"/>
            <w:vAlign w:val="bottom"/>
          </w:tcPr>
          <w:p>
            <w:pPr>
              <w:spacing w:after="0"/>
              <w:rPr>
                <w:sz w:val="24"/>
                <w:szCs w:val="24"/>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First Lien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49,074</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tcPr>
          <w:p>
            <w:pPr>
              <w:ind w:left="100"/>
              <w:spacing w:after="0"/>
              <w:rPr>
                <w:sz w:val="20"/>
                <w:szCs w:val="20"/>
                <w:color w:val="auto"/>
              </w:rPr>
            </w:pPr>
            <w:r>
              <w:rPr>
                <w:rFonts w:ascii="Arial" w:cs="Arial" w:eastAsia="Arial" w:hAnsi="Arial"/>
                <w:sz w:val="18"/>
                <w:szCs w:val="18"/>
                <w:color w:val="auto"/>
              </w:rPr>
              <w:t>10.0% - 15.6% (12.4%)</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5.1x</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- 5.1x (5.1x)</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115,952</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2.5x</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- 17.3x (7.0x)</w:t>
            </w:r>
          </w:p>
        </w:tc>
      </w:tr>
      <w:tr>
        <w:trPr>
          <w:trHeight w:val="324"/>
        </w:trPr>
        <w:tc>
          <w:tcPr>
            <w:tcW w:w="20" w:type="dxa"/>
            <w:vAlign w:val="bottom"/>
          </w:tcPr>
          <w:p>
            <w:pPr>
              <w:spacing w:after="0"/>
              <w:rPr>
                <w:sz w:val="24"/>
                <w:szCs w:val="24"/>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11,086</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4.0x</w:t>
            </w:r>
          </w:p>
        </w:tc>
        <w:tc>
          <w:tcPr>
            <w:tcW w:w="1800" w:type="dxa"/>
            <w:vAlign w:val="bottom"/>
          </w:tcPr>
          <w:p>
            <w:pPr>
              <w:ind w:left="20"/>
              <w:spacing w:after="0"/>
              <w:rPr>
                <w:sz w:val="20"/>
                <w:szCs w:val="20"/>
                <w:color w:val="auto"/>
              </w:rPr>
            </w:pPr>
            <w:r>
              <w:rPr>
                <w:rFonts w:ascii="Arial" w:cs="Arial" w:eastAsia="Arial" w:hAnsi="Arial"/>
                <w:sz w:val="18"/>
                <w:szCs w:val="18"/>
                <w:color w:val="auto"/>
              </w:rPr>
              <w:t>- 7.0x (6.5x)</w:t>
            </w: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800" w:type="dxa"/>
            <w:vAlign w:val="bottom"/>
            <w:shd w:val="clear" w:color="auto" w:fill="CCEEFF"/>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center"/>
              <w:ind w:right="276"/>
              <w:spacing w:after="0"/>
              <w:rPr>
                <w:sz w:val="20"/>
                <w:szCs w:val="20"/>
                <w:color w:val="auto"/>
              </w:rPr>
            </w:pPr>
            <w:r>
              <w:rPr>
                <w:rFonts w:ascii="Arial" w:cs="Arial" w:eastAsia="Arial" w:hAnsi="Arial"/>
                <w:sz w:val="14"/>
                <w:szCs w:val="14"/>
                <w:b w:val="1"/>
                <w:bCs w:val="1"/>
                <w:color w:val="auto"/>
                <w:w w:val="93"/>
              </w:rPr>
              <w:t>Range</w:t>
            </w:r>
          </w:p>
        </w:tc>
      </w:tr>
      <w:tr>
        <w:trPr>
          <w:trHeight w:val="185"/>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6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10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jc w:val="center"/>
              <w:ind w:right="276"/>
              <w:spacing w:after="0"/>
              <w:rPr>
                <w:sz w:val="20"/>
                <w:szCs w:val="20"/>
                <w:color w:val="auto"/>
              </w:rPr>
            </w:pPr>
            <w:r>
              <w:rPr>
                <w:rFonts w:ascii="Arial" w:cs="Arial" w:eastAsia="Arial" w:hAnsi="Arial"/>
                <w:sz w:val="14"/>
                <w:szCs w:val="14"/>
                <w:b w:val="1"/>
                <w:bCs w:val="1"/>
                <w:color w:val="auto"/>
                <w:w w:val="91"/>
              </w:rPr>
              <w:t>(weighted average)</w:t>
            </w:r>
          </w:p>
        </w:tc>
      </w:tr>
      <w:tr>
        <w:trPr>
          <w:trHeight w:val="196"/>
        </w:trPr>
        <w:tc>
          <w:tcPr>
            <w:tcW w:w="20" w:type="dxa"/>
            <w:vAlign w:val="bottom"/>
          </w:tcPr>
          <w:p>
            <w:pPr>
              <w:spacing w:after="0"/>
              <w:rPr>
                <w:sz w:val="17"/>
                <w:szCs w:val="17"/>
                <w:color w:val="auto"/>
              </w:rPr>
            </w:pPr>
          </w:p>
        </w:tc>
        <w:tc>
          <w:tcPr>
            <w:tcW w:w="1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357,813</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tcPr>
          <w:p>
            <w:pPr>
              <w:ind w:left="100"/>
              <w:spacing w:after="0"/>
              <w:rPr>
                <w:sz w:val="20"/>
                <w:szCs w:val="20"/>
                <w:color w:val="auto"/>
              </w:rPr>
            </w:pPr>
            <w:r>
              <w:rPr>
                <w:rFonts w:ascii="Arial" w:cs="Arial" w:eastAsia="Arial" w:hAnsi="Arial"/>
                <w:sz w:val="18"/>
                <w:szCs w:val="18"/>
                <w:color w:val="auto"/>
              </w:rPr>
              <w:t>11.2% - 30.0% (13.5%)</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5.0x</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- 5.9x (5.1x)</w:t>
            </w:r>
          </w:p>
        </w:tc>
      </w:tr>
      <w:tr>
        <w:trPr>
          <w:trHeight w:val="324"/>
        </w:trPr>
        <w:tc>
          <w:tcPr>
            <w:tcW w:w="20" w:type="dxa"/>
            <w:vAlign w:val="bottom"/>
          </w:tcPr>
          <w:p>
            <w:pPr>
              <w:spacing w:after="0"/>
              <w:rPr>
                <w:sz w:val="24"/>
                <w:szCs w:val="24"/>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w w:val="95"/>
              </w:rPr>
              <w:t>Subordinated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104,225</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tcPr>
          <w:p>
            <w:pPr>
              <w:ind w:left="100"/>
              <w:spacing w:after="0"/>
              <w:rPr>
                <w:sz w:val="20"/>
                <w:szCs w:val="20"/>
                <w:color w:val="auto"/>
              </w:rPr>
            </w:pPr>
            <w:r>
              <w:rPr>
                <w:rFonts w:ascii="Arial" w:cs="Arial" w:eastAsia="Arial" w:hAnsi="Arial"/>
                <w:sz w:val="18"/>
                <w:szCs w:val="18"/>
                <w:color w:val="auto"/>
              </w:rPr>
              <w:t>10.9% - 16.5% (12.5%)</w:t>
            </w: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10.2% - 20.7% (12.3%)</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3.5x</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- 17.3x (7.0x)</w:t>
            </w:r>
          </w:p>
        </w:tc>
      </w:tr>
      <w:tr>
        <w:trPr>
          <w:trHeight w:val="324"/>
        </w:trPr>
        <w:tc>
          <w:tcPr>
            <w:tcW w:w="20" w:type="dxa"/>
            <w:vAlign w:val="bottom"/>
          </w:tcPr>
          <w:p>
            <w:pPr>
              <w:spacing w:after="0"/>
              <w:rPr>
                <w:sz w:val="24"/>
                <w:szCs w:val="24"/>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13,743</w:t>
            </w: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Enterprise value</w:t>
            </w: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4.0x</w:t>
            </w:r>
          </w:p>
        </w:tc>
        <w:tc>
          <w:tcPr>
            <w:tcW w:w="1800" w:type="dxa"/>
            <w:vAlign w:val="bottom"/>
          </w:tcPr>
          <w:p>
            <w:pPr>
              <w:ind w:left="20"/>
              <w:spacing w:after="0"/>
              <w:rPr>
                <w:sz w:val="20"/>
                <w:szCs w:val="20"/>
                <w:color w:val="auto"/>
              </w:rPr>
            </w:pPr>
            <w:r>
              <w:rPr>
                <w:rFonts w:ascii="Arial" w:cs="Arial" w:eastAsia="Arial" w:hAnsi="Arial"/>
                <w:sz w:val="18"/>
                <w:szCs w:val="18"/>
                <w:color w:val="auto"/>
              </w:rPr>
              <w:t>- 8.0x (7.2x)</w:t>
            </w: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3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8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80" w:firstLine="881"/>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200" w:right="80" w:firstLine="881"/>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200" w:right="220" w:firstLine="881"/>
        <w:spacing w:after="0" w:line="302" w:lineRule="auto"/>
        <w:rPr>
          <w:sz w:val="20"/>
          <w:szCs w:val="20"/>
          <w:color w:val="auto"/>
        </w:rPr>
      </w:pPr>
      <w:r>
        <w:rPr>
          <w:rFonts w:ascii="Arial" w:cs="Arial" w:eastAsia="Arial" w:hAnsi="Arial"/>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020" w:firstLine="881"/>
        <w:spacing w:after="0" w:line="277" w:lineRule="auto"/>
        <w:rPr>
          <w:sz w:val="20"/>
          <w:szCs w:val="20"/>
          <w:color w:val="auto"/>
        </w:rPr>
      </w:pPr>
      <w:r>
        <w:rPr>
          <w:rFonts w:ascii="Arial" w:cs="Arial" w:eastAsia="Arial" w:hAnsi="Arial"/>
          <w:sz w:val="18"/>
          <w:szCs w:val="18"/>
          <w:color w:val="auto"/>
        </w:rPr>
        <w:t>The following tables summarize the carrying value and fair value of the Company’s debt obligations as of March 31, 2019 and December 31, 2018.</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w w:val="96"/>
              </w:rPr>
              <w:t>March 31, 2019</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 xml:space="preserve">Carrying Value </w:t>
            </w:r>
            <w:r>
              <w:rPr>
                <w:rFonts w:ascii="Arial" w:cs="Arial" w:eastAsia="Arial" w:hAnsi="Arial"/>
                <w:sz w:val="12"/>
                <w:szCs w:val="12"/>
                <w:b w:val="1"/>
                <w:bCs w:val="1"/>
                <w:color w:val="auto"/>
                <w:w w:val="93"/>
              </w:rPr>
              <w:t>(1)</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$171,250</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 xml:space="preserve">2024 Notes </w:t>
            </w:r>
            <w:r>
              <w:rPr>
                <w:rFonts w:ascii="Arial" w:cs="Arial" w:eastAsia="Arial" w:hAnsi="Arial"/>
                <w:sz w:val="15"/>
                <w:szCs w:val="15"/>
                <w:color w:val="auto"/>
              </w:rPr>
              <w:t>(4)</w:t>
            </w:r>
          </w:p>
        </w:tc>
        <w:tc>
          <w:tcPr>
            <w:tcW w:w="1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69,911</w:t>
            </w:r>
          </w:p>
        </w:tc>
        <w:tc>
          <w:tcPr>
            <w:tcW w:w="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292,396</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278,992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640" w:right="18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1"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March 31, 2019 and December 31,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Valuation Inputs</w:t>
            </w:r>
          </w:p>
        </w:tc>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38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60" w:type="dxa"/>
            <w:vAlign w:val="bottom"/>
            <w:gridSpan w:val="2"/>
            <w:vMerge w:val="continue"/>
          </w:tcPr>
          <w:p>
            <w:pPr>
              <w:spacing w:after="0"/>
              <w:rPr>
                <w:sz w:val="15"/>
                <w:szCs w:val="15"/>
                <w:color w:val="auto"/>
              </w:rPr>
            </w:pPr>
          </w:p>
        </w:tc>
        <w:tc>
          <w:tcPr>
            <w:tcW w:w="5900" w:type="dxa"/>
            <w:vAlign w:val="bottom"/>
            <w:gridSpan w:val="3"/>
          </w:tcPr>
          <w:p>
            <w:pPr>
              <w:jc w:val="right"/>
              <w:ind w:right="116"/>
              <w:spacing w:after="0" w:line="158"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24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$121,146</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51,492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292,396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278,992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jc w:val="both"/>
        <w:ind w:left="200" w:right="460" w:firstLine="881"/>
        <w:spacing w:after="0" w:line="302"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w:t>
      </w:r>
      <w:r>
        <w:rPr>
          <w:rFonts w:ascii="Arial" w:cs="Arial" w:eastAsia="Arial" w:hAnsi="Arial"/>
          <w:sz w:val="16"/>
          <w:szCs w:val="16"/>
          <w:i w:val="1"/>
          <w:iCs w:val="1"/>
          <w:color w:val="auto"/>
        </w:rPr>
        <w:t xml:space="preserve"> </w:t>
      </w:r>
      <w:r>
        <w:rPr>
          <w:rFonts w:ascii="Arial" w:cs="Arial" w:eastAsia="Arial" w:hAnsi="Arial"/>
          <w:sz w:val="16"/>
          <w:szCs w:val="16"/>
          <w:color w:val="auto"/>
        </w:rPr>
        <w:t>June 7, 2018, the Board approved the renewal of the Investment Advisory Agreement through June 20, 2019.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equivalents but including assets purchased with borrowed amounts) at the end of the two most recently completed calendar quarters. The base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management fee is payable quarterly in arrears. The base management fee under the Investment Advisory Agreement was $2,871 and $2,685,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three months ended March 31, 2019 and 2018, respectively. As of March 31, 2019 and December 31, 2018, the base management fee payable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$2,871 and $2,927, respectively.</w:t>
      </w:r>
    </w:p>
    <w:p>
      <w:pPr>
        <w:spacing w:after="0" w:line="211"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67"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Company pays the Investment Advisor an incentive fee with respect to pre-incentive fee net investment income in each calendar quarter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follows:</w:t>
      </w:r>
    </w:p>
    <w:p>
      <w:pPr>
        <w:spacing w:after="0" w:line="116" w:lineRule="exact"/>
        <w:rPr>
          <w:sz w:val="20"/>
          <w:szCs w:val="20"/>
          <w:color w:val="auto"/>
        </w:rPr>
      </w:pPr>
    </w:p>
    <w:p>
      <w:pPr>
        <w:ind w:left="1620" w:right="400" w:hanging="538"/>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w:t>
      </w:r>
    </w:p>
    <w:p>
      <w:pPr>
        <w:spacing w:after="0" w:line="75" w:lineRule="exact"/>
        <w:rPr>
          <w:rFonts w:ascii="Arial" w:cs="Arial" w:eastAsia="Arial" w:hAnsi="Arial"/>
          <w:sz w:val="18"/>
          <w:szCs w:val="18"/>
          <w:color w:val="auto"/>
        </w:rPr>
      </w:pPr>
    </w:p>
    <w:p>
      <w:pPr>
        <w:ind w:left="1620" w:right="40" w:hanging="538"/>
        <w:spacing w:after="0" w:line="276"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77" w:lineRule="exact"/>
        <w:rPr>
          <w:rFonts w:ascii="Arial" w:cs="Arial" w:eastAsia="Arial" w:hAnsi="Arial"/>
          <w:sz w:val="17"/>
          <w:szCs w:val="17"/>
          <w:color w:val="auto"/>
        </w:rPr>
      </w:pPr>
    </w:p>
    <w:p>
      <w:pPr>
        <w:ind w:left="1620" w:hanging="538"/>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20.0% of the amount of the Company’s pre-incentive fee net investment income, if any, that exceeds 2.5% in any calendar quarter.</w:t>
      </w:r>
    </w:p>
    <w:p>
      <w:pPr>
        <w:spacing w:after="0" w:line="248"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$2,485 and $2,224, for the three months ended March 31, 2019 and 2018, respectively. As of March 31, 2019 and December 31, 2018, the income incentive fee payable was $2,485 and $2,785, respectively.</w:t>
      </w:r>
    </w:p>
    <w:p>
      <w:pPr>
        <w:spacing w:after="0" w:line="187" w:lineRule="exact"/>
        <w:rPr>
          <w:sz w:val="20"/>
          <w:szCs w:val="20"/>
          <w:color w:val="auto"/>
        </w:rPr>
      </w:pPr>
    </w:p>
    <w:p>
      <w:pPr>
        <w:ind w:left="200" w:right="40" w:firstLine="881"/>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7"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March 31, 2019 and December 31, 2018,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March 31, 2019 was $348.</w:t>
      </w:r>
    </w:p>
    <w:p>
      <w:pPr>
        <w:spacing w:after="0" w:line="190"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2" w:lineRule="exact"/>
        <w:rPr>
          <w:sz w:val="20"/>
          <w:szCs w:val="20"/>
          <w:color w:val="auto"/>
        </w:rPr>
      </w:pPr>
    </w:p>
    <w:p>
      <w:pPr>
        <w:ind w:left="200" w:right="520" w:firstLine="4"/>
        <w:spacing w:after="0" w:line="254" w:lineRule="auto"/>
        <w:tabs>
          <w:tab w:leader="none" w:pos="4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months ended March 31, 2019 and 2018 was $355 and $1,530, respectively. As of March 31, 2019 and December 31, 2018, the accrued capital gains incentive fee payable was $9,770 and $9,415, respectively.</w:t>
      </w:r>
    </w:p>
    <w:p>
      <w:pPr>
        <w:spacing w:after="0" w:line="190"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Advisor. On June 7, 2018, the Board approved the renewal of the Administration Agreement through June 20, 2019.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Administration Agreement, administrative service expenses for the three months ended March 31, 2019 and 2018 were $399 and $399, respectively. As of March 31, 2019 and December 31, 2018, the accrued administrative service expense was $375 and $474, respectively.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On June 16, 2014, FIC entered into a senior secured revolving credit agreement (the “Credit Facility”) with 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LLC (“ING”), as the administrative agent, collateral agent, and lender. The Credit Facility is secured by certain portfolio investments held by the Company, but portfolio investments held by the Funds are not collateral for the Credit Facility. On December 29, 2017, the Company entered into an amendment to the Credit Facility to, among other things, extend the maturity date from June 16, 2018 to June 16, 2019. On June 5, 2018, the Company entered into an incremental commitment agreement, whereby the amount available for borrowing under the Credit Facility was increased from $50,000 to $75,000. On October 19, 2018, the Company executed an amendment and incremental commitment agreement to the Credit Facility, whereby the amount available for borrowing under the Credit Facility was increased from $75,000 to $90,000, with allowance for future increases in the commitments up to $100,000.</w:t>
      </w:r>
    </w:p>
    <w:p>
      <w:pPr>
        <w:spacing w:after="0" w:line="192"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88"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Borrowings under the Credit Facility bear interest, subject to the Company’s election, on a per annum basis equal to (i) the alternate base rate plus 2.5% or (ii) the applicable London Interbank Offered Rate, or LIBOR, which varies depending on the period of the borrowing under the Credit Facility, plus 3.5%. The alternate base rate is equal to the greater of (i) prime rate, (ii) the federal funds rate plus 0.5% or (iii) the three-month LIBOR plus 1.0%. The Company pays a commitment fee between 0.5% and 1.0% per annum based on the size of the unused portion of the Credit Facility.</w:t>
      </w:r>
    </w:p>
    <w:p>
      <w:pPr>
        <w:spacing w:after="0" w:line="154"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2019 and December 31, 2018, the Company was in compliance in all material respect with the terms of the Credit Facility.</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SBA debentures: </w:t>
      </w:r>
      <w:r>
        <w:rPr>
          <w:rFonts w:ascii="Arial" w:cs="Arial" w:eastAsia="Arial" w:hAnsi="Arial"/>
          <w:sz w:val="17"/>
          <w:szCs w:val="17"/>
          <w:color w:val="auto"/>
        </w:rPr>
        <w:t>The Company uses debenture leverage provided through the SBA to fund a portion of its investment purchases.</w:t>
      </w:r>
    </w:p>
    <w:p>
      <w:pPr>
        <w:spacing w:after="0" w:line="23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2019 and December 31, 2018, the Company did not have any remaining approved and unused SBA debenture commitments. The SBA may limit the amount that may be drawn each year under these commitments, and each issuance of leverage is conditioned on the Company’s full compliance, as determined by the SBA, with the terms and conditions set forth in the SBIC Act.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March 31, 2019 and December 31, 2018, the Company’s issued and outstanding SBA debentures mature as follows: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Pooling</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1240" w:type="dxa"/>
            <w:vAlign w:val="bottom"/>
          </w:tcPr>
          <w:p>
            <w:pPr>
              <w:spacing w:after="0"/>
              <w:rPr>
                <w:sz w:val="14"/>
                <w:szCs w:val="14"/>
                <w:color w:val="auto"/>
              </w:rPr>
            </w:pPr>
          </w:p>
        </w:tc>
        <w:tc>
          <w:tcPr>
            <w:tcW w:w="22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2"/>
              </w:rPr>
              <w:t>Fixed</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120" w:type="dxa"/>
            <w:vAlign w:val="bottom"/>
            <w:gridSpan w:val="3"/>
          </w:tcPr>
          <w:p>
            <w:pPr>
              <w:ind w:left="12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7"/>
                <w:szCs w:val="7"/>
                <w:color w:val="auto"/>
              </w:rPr>
              <w:t>(1)</w:t>
            </w: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Date</w:t>
            </w:r>
          </w:p>
        </w:tc>
        <w:tc>
          <w:tcPr>
            <w:tcW w:w="3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Interest Rate</w:t>
            </w:r>
          </w:p>
        </w:tc>
        <w:tc>
          <w:tcPr>
            <w:tcW w:w="8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9/21/2011</w:t>
            </w:r>
          </w:p>
        </w:tc>
        <w:tc>
          <w:tcPr>
            <w:tcW w:w="11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9/1/2021</w:t>
            </w:r>
          </w:p>
        </w:tc>
        <w:tc>
          <w:tcPr>
            <w:tcW w:w="1240" w:type="dxa"/>
            <w:vAlign w:val="bottom"/>
            <w:vMerge w:val="continue"/>
            <w:shd w:val="clear" w:color="auto" w:fill="CCEEFF"/>
          </w:tcPr>
          <w:p>
            <w:pPr>
              <w:spacing w:after="0"/>
              <w:rPr>
                <w:sz w:val="18"/>
                <w:szCs w:val="18"/>
                <w:color w:val="auto"/>
              </w:rPr>
            </w:pPr>
          </w:p>
        </w:tc>
        <w:tc>
          <w:tcPr>
            <w:tcW w:w="220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3.594%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3/21/2012</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3/1/2022</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3.051</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9/19/2012</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9/1/2022</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2.530</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9/19/2012</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9/1/2022</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3.049</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3/27/2013</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3/1/2023</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3.155</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9/24/2014</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9/1/2024</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3.775</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3/25/2015</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3/1/2025</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3.321</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3/25/2015</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3/1/2025</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3.277</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9/23/2015</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9/1/2025</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3.571</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3/23/2016</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3/1/2026</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3.267</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3/23/2016</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3/1/2026</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3.249</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9/21/2016</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9/1/2026</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2.793</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3/29/2017</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3/1/2027</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3.587</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9/20/2017</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9/1/2027</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3.260</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9/20/2017</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9/1/2027</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3.190</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3/21/2018</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3/1/2028</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3.859</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3/21/2018</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3/1/2028</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3.534</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color w:val="auto"/>
              </w:rPr>
              <w:t>9/19/2018</w:t>
            </w:r>
          </w:p>
        </w:tc>
        <w:tc>
          <w:tcPr>
            <w:tcW w:w="118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9/1/2028</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84"/>
              </w:rPr>
              <w:t>3.895</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9/19/2018</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9/1/2028</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84"/>
              </w:rPr>
              <w:t>4.220</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200" w:type="dxa"/>
            <w:vAlign w:val="bottom"/>
            <w:gridSpan w:val="3"/>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171,250</w:t>
            </w: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6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i w:val="1"/>
          <w:iCs w:val="1"/>
          <w:color w:val="auto"/>
        </w:rPr>
        <w:t xml:space="preserve">Public Notes: </w:t>
      </w:r>
      <w:r>
        <w:rPr>
          <w:rFonts w:ascii="Arial" w:cs="Arial" w:eastAsia="Arial" w:hAnsi="Arial"/>
          <w:sz w:val="17"/>
          <w:szCs w:val="17"/>
          <w:color w:val="auto"/>
        </w:rPr>
        <w:t>On February 2, 2018, the Company closed the public offering of approximately $43,478 in aggregate principal amount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71" w:lineRule="exact"/>
        <w:rPr>
          <w:sz w:val="20"/>
          <w:szCs w:val="20"/>
          <w:color w:val="auto"/>
        </w:rPr>
      </w:pPr>
    </w:p>
    <w:p>
      <w:pPr>
        <w:ind w:left="200" w:right="140" w:firstLine="881"/>
        <w:spacing w:after="0" w:line="312"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On February 8, 2019, the Company closed the public offering of approximately $60,000 in aggregate principal amount of its 6.000% notes due 2024, or the “2024 Notes” (and collectively with the 2023 Notes, the “Public Notes”). On February 19, 2019, the underwriters exercised their option to purchase an additional $9,000 in aggregate principal of the 2024 Notes. The total net proceeds to the Company from the 2024 Notes, including the exercise of the underwriters’ option, after deducting underwriting discounts of approximately $2,070 and estimated offering expenses of $418, were approximately $66,512.</w:t>
      </w:r>
    </w:p>
    <w:p>
      <w:pPr>
        <w:spacing w:after="0" w:line="188"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The 2024 Notes mature on February 15, 2024 and bear interest at a rate of 6.000%. The 2024 Notes may be redeemed in whole or in part at any time or from time to time at the Company’s option on or after February 15, 2021. Interest on the 2024 Notes is payable quarterly on February 15, May 15, August 15 and November 15 of each year, beginning May 15, 2019. The 2024 Notes are listed on the NASDAQ Global Select Market under the trading symbol “FDUSZ.”</w:t>
      </w:r>
    </w:p>
    <w:p>
      <w:pPr>
        <w:spacing w:after="0" w:line="18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Interest and fees related to the Company’s debt for the three months ended March 31, 2019 and 2018 which are included in interest and financing expenses on the consolidated statements of operations,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1"/>
          </w:tcPr>
          <w:p>
            <w:pPr>
              <w:jc w:val="right"/>
              <w:ind w:right="394"/>
              <w:spacing w:after="0"/>
              <w:rPr>
                <w:sz w:val="20"/>
                <w:szCs w:val="20"/>
                <w:color w:val="auto"/>
              </w:rPr>
            </w:pPr>
            <w:r>
              <w:rPr>
                <w:rFonts w:ascii="Arial" w:cs="Arial" w:eastAsia="Arial" w:hAnsi="Arial"/>
                <w:sz w:val="14"/>
                <w:szCs w:val="14"/>
                <w:b w:val="1"/>
                <w:bCs w:val="1"/>
                <w:color w:val="auto"/>
              </w:rPr>
              <w:t>Three Months Ended March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2"/>
          </w:tcPr>
          <w:p>
            <w:pPr>
              <w:jc w:val="right"/>
              <w:ind w:right="394"/>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4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74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Facility</w:t>
            </w: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1,478</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stated interest rate, period end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5.875%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During the three months ended March 31, 2019 and 2018, the Company prepaid $19,750 and $43,800 of SBA debentures, respectively, which were scheduled to mature on dates ranging from 2021 to 2025 and 2019 to 2022, respectively. As part of the prepayments, the Company recognized realized losses on extinguishment of debt of $189 and $150, respectively, equal to the write-off of the related unamortized deferred financing costs.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March 31, 2019 and December 31, 2018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8"/>
              </w:rPr>
              <w:t>March 31,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6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6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Facility</w:t>
            </w:r>
          </w:p>
        </w:tc>
        <w:tc>
          <w:tcPr>
            <w:tcW w:w="1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(7,818)</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March 31, 2019 and December 31,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5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Credit</w:t>
            </w:r>
          </w:p>
        </w:tc>
        <w:tc>
          <w:tcPr>
            <w:tcW w:w="20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debentures</w:t>
            </w: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$119,000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$290,250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9"/>
              </w:rPr>
              <w:t>(84)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(3,913)</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(7,915)</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(4,266)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(1,589)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167,332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115,087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282,335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186,734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36,358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584"/>
              <w:spacing w:after="0"/>
              <w:rPr>
                <w:sz w:val="20"/>
                <w:szCs w:val="20"/>
                <w:color w:val="auto"/>
              </w:rPr>
            </w:pPr>
            <w:r>
              <w:rPr>
                <w:rFonts w:ascii="Arial" w:cs="Arial" w:eastAsia="Arial" w:hAnsi="Arial"/>
                <w:sz w:val="18"/>
                <w:szCs w:val="18"/>
                <w:color w:val="auto"/>
                <w:w w:val="99"/>
              </w:rPr>
              <w:t>33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As of March 31, 2019, the Company’s debt liabilities are scheduled to mature as follows </w:t>
      </w:r>
      <w:r>
        <w:rPr>
          <w:rFonts w:ascii="Arial" w:cs="Arial" w:eastAsia="Arial" w:hAnsi="Arial"/>
          <w:sz w:val="15"/>
          <w:szCs w:val="15"/>
          <w:color w:val="auto"/>
        </w:rPr>
        <w:t>(1)</w:t>
      </w:r>
      <w:r>
        <w:rPr>
          <w:rFonts w:ascii="Arial" w:cs="Arial" w:eastAsia="Arial" w:hAnsi="Arial"/>
          <w:sz w:val="18"/>
          <w:szCs w:val="18"/>
          <w:color w:val="auto"/>
        </w:rPr>
        <w: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SBA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Credit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Public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3980" w:type="dxa"/>
            <w:vAlign w:val="bottom"/>
            <w:gridSpan w:val="3"/>
          </w:tcPr>
          <w:p>
            <w:pPr>
              <w:ind w:left="3280"/>
              <w:spacing w:after="0" w:line="158" w:lineRule="exact"/>
              <w:rPr>
                <w:sz w:val="20"/>
                <w:szCs w:val="20"/>
                <w:color w:val="auto"/>
              </w:rPr>
            </w:pPr>
            <w:r>
              <w:rPr>
                <w:rFonts w:ascii="Arial" w:cs="Arial" w:eastAsia="Arial" w:hAnsi="Arial"/>
                <w:sz w:val="14"/>
                <w:szCs w:val="14"/>
                <w:b w:val="1"/>
                <w:bCs w:val="1"/>
                <w:color w:val="auto"/>
                <w:w w:val="90"/>
              </w:rPr>
              <w:t>debentures</w:t>
            </w:r>
          </w:p>
        </w:tc>
        <w:tc>
          <w:tcPr>
            <w:tcW w:w="80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w w:val="95"/>
              </w:rPr>
              <w:t xml:space="preserve">Facility </w:t>
            </w:r>
            <w:r>
              <w:rPr>
                <w:rFonts w:ascii="Arial" w:cs="Arial" w:eastAsia="Arial" w:hAnsi="Arial"/>
                <w:sz w:val="12"/>
                <w:szCs w:val="12"/>
                <w:b w:val="1"/>
                <w:bCs w:val="1"/>
                <w:color w:val="auto"/>
                <w:w w:val="95"/>
              </w:rPr>
              <w:t>(2)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2020</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2022</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2024</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2026</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2028</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ind w:left="328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20" w:hanging="436"/>
        <w:spacing w:after="0" w:line="256"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640" w:right="100" w:hanging="436"/>
        <w:spacing w:after="0" w:line="26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Credit Facility matures on June 16, 2019. As of March 31, 2019, there were no outstanding borrowings under the Credit Facility. For more information on the Credit Facility, please refer to Note 11.</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$10,174 and $10,846 as of March 31, 2019 and December 31, 2018, respectively. Such outstanding commitments are summarized in the following table:</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91"/>
              </w:rPr>
              <w:t>Unfunded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1"/>
              </w:rPr>
              <w:t>Unfunded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60" w:type="dxa"/>
            <w:vAlign w:val="bottom"/>
            <w:gridSpan w:val="3"/>
            <w:vMerge w:val="continue"/>
          </w:tcPr>
          <w:p>
            <w:pPr>
              <w:spacing w:after="0"/>
              <w:rPr>
                <w:sz w:val="13"/>
                <w:szCs w:val="13"/>
                <w:color w:val="auto"/>
              </w:rPr>
            </w:pPr>
          </w:p>
        </w:tc>
        <w:tc>
          <w:tcPr>
            <w:tcW w:w="13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13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13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12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American AllWaste LLC (dba WasteWater Transport Services)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Commitment - Term Loan-B</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3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 Common Equity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(Units)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FDS Avionics Corp. (dba Flight Display Systems) - Revolving</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Mesa Line Services, LLC - Delayed Draw Term Loan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Oaktree Medical Centre, P.C. (dba Pain Management Associates) -</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Loan</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Rhino Assembly Company, LLC - Delayed Draw Commitment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Products Group, LLC - Common Equity (Units)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UBEO, LLC - Delayed Draw Term Loan Commitment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200" w:right="600" w:firstLine="881"/>
        <w:spacing w:after="0" w:line="264" w:lineRule="auto"/>
        <w:rPr>
          <w:sz w:val="20"/>
          <w:szCs w:val="20"/>
          <w:color w:val="auto"/>
        </w:rPr>
      </w:pPr>
      <w:r>
        <w:rPr>
          <w:rFonts w:ascii="Arial" w:cs="Arial" w:eastAsia="Arial" w:hAnsi="Arial"/>
          <w:sz w:val="18"/>
          <w:szCs w:val="18"/>
          <w:color w:val="auto"/>
        </w:rPr>
        <w:t>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ectPr>
          <w:pgSz w:w="11900" w:h="16838" w:orient="portrait"/>
          <w:cols w:equalWidth="0" w:num="1">
            <w:col w:w="11200"/>
          </w:cols>
          <w:pgMar w:left="240" w:top="459" w:right="459" w:bottom="784" w:gutter="0" w:footer="0" w:header="0"/>
        </w:sectPr>
      </w:pP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00"/>
          </w:cols>
          <w:pgMar w:left="240" w:top="459" w:right="459" w:bottom="784"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200" w:right="280" w:firstLine="881"/>
        <w:spacing w:after="0" w:line="264"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the normal course of business, the Company may be subject to legal and regulatory proceedings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incidental to its ongoing operations. While the outcome of these legal proceedings cannot be predicted with certainty, the Company does not believe these proceedings will have a material adverse effect on the Company’s consolidated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The following table summarizes the total shares issued, offering price and net proceeds received in public offerings of the Company’s common stock since the IPO:</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Underwriting</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Fees and</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Offering Date</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Commissions and</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3"/>
            <w:vMerge w:val="continue"/>
          </w:tcPr>
          <w:p>
            <w:pPr>
              <w:spacing w:after="0"/>
              <w:rPr>
                <w:sz w:val="13"/>
                <w:szCs w:val="13"/>
                <w:color w:val="auto"/>
              </w:rPr>
            </w:pPr>
          </w:p>
        </w:tc>
        <w:tc>
          <w:tcPr>
            <w:tcW w:w="11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5"/>
              </w:rPr>
              <w:t>Proceeds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Offering Costs</w:t>
            </w:r>
          </w:p>
        </w:tc>
        <w:tc>
          <w:tcPr>
            <w:tcW w:w="240" w:type="dxa"/>
            <w:vAlign w:val="bottom"/>
          </w:tcPr>
          <w:p>
            <w:pPr>
              <w:spacing w:after="0"/>
              <w:rPr>
                <w:sz w:val="13"/>
                <w:szCs w:val="13"/>
                <w:color w:val="auto"/>
              </w:rPr>
            </w:pPr>
          </w:p>
        </w:tc>
        <w:tc>
          <w:tcPr>
            <w:tcW w:w="7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11, 2012</w:t>
            </w: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2,472,500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$39,807</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1,855</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$ 16.10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February 8, 2013</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1,725,000</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1,504</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2,083,414</w:t>
            </w:r>
            <w:r>
              <w:rPr>
                <w:rFonts w:ascii="Arial" w:cs="Arial" w:eastAsia="Arial" w:hAnsi="Arial"/>
                <w:sz w:val="15"/>
                <w:szCs w:val="15"/>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May 27, 2016</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2,875,000</w:t>
            </w:r>
            <w:r>
              <w:rPr>
                <w:rFonts w:ascii="Arial" w:cs="Arial" w:eastAsia="Arial" w:hAnsi="Arial"/>
                <w:sz w:val="15"/>
                <w:szCs w:val="15"/>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43,755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r>
              <w:rPr>
                <w:rFonts w:ascii="Arial" w:cs="Arial" w:eastAsia="Arial" w:hAnsi="Arial"/>
                <w:sz w:val="15"/>
                <w:szCs w:val="15"/>
                <w:color w:val="auto"/>
              </w:rPr>
              <w:t>(5)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15.22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29, 2016</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3,220,000</w:t>
            </w:r>
            <w:r>
              <w:rPr>
                <w:rFonts w:ascii="Arial" w:cs="Arial" w:eastAsia="Arial" w:hAnsi="Arial"/>
                <w:sz w:val="15"/>
                <w:szCs w:val="15"/>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16.60</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June 20, 2017</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2,012,500</w:t>
            </w:r>
            <w:r>
              <w:rPr>
                <w:rFonts w:ascii="Arial" w:cs="Arial" w:eastAsia="Arial" w:hAnsi="Arial"/>
                <w:sz w:val="15"/>
                <w:szCs w:val="15"/>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33,810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w:t>
            </w:r>
          </w:p>
        </w:tc>
        <w:tc>
          <w:tcPr>
            <w:tcW w:w="4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83,414 shares purchased by underwriters pursuant to the over-allotment option on October 21, 2014.</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375,000 shares purchased by underwriters pursuant to the over-allotment option on June 10, 2016.</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420,000 shares purchased by underwriters pursuant to the over-allotment option on December 13, 2016.</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262,500 shares purchased by underwriters pursuant to the over-allotment option on June 29, 2017.</w:t>
      </w:r>
    </w:p>
    <w:p>
      <w:pPr>
        <w:spacing w:after="0" w:line="9"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Fidus Investment Advisors, LLC agreed to bear up to $169 of the offering costs associated with this offering. Fidus Investment Advisors, LLC has also agreed to bear $1,756, or 100%, of the underwriting fees and commissions in connection with this offering and the exercise of the over-allotment option. All payments made by Fidus Investment Advisors, LLC are not subject to reimbursement by the Company.</w:t>
      </w:r>
    </w:p>
    <w:p>
      <w:pPr>
        <w:ind w:left="640" w:right="120" w:hanging="436"/>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weighted average offering price of shares issued, including the shares issued pursuant to the over-allotment option. Shares were issued on May 27, 2016 at an offering price of $15.27. The offering price of the over-allotment option shares was adjusted for the $0.39 dividend to shareholders of record on June 10, 2016.</w:t>
      </w:r>
    </w:p>
    <w:p>
      <w:pPr>
        <w:spacing w:after="0" w:line="1" w:lineRule="exact"/>
        <w:rPr>
          <w:rFonts w:ascii="Arial" w:cs="Arial" w:eastAsia="Arial" w:hAnsi="Arial"/>
          <w:sz w:val="18"/>
          <w:szCs w:val="18"/>
          <w:color w:val="auto"/>
        </w:rPr>
      </w:pPr>
    </w:p>
    <w:p>
      <w:pPr>
        <w:ind w:left="640" w:right="280" w:hanging="436"/>
        <w:spacing w:after="0" w:line="25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weighted average offering price of shares issued, including the shares issued pursuant to the over-allotment option. Shares were issued on November 29, 2016 at an offering price of $16.65. The offering price of the over-allotment option shares was adjusted for the $0.43 dividend to shareholders of record on November 30, 2016.</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three months ended March 31,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As described in Note 2, the Company has a Stock Repurchase Program under which the Company may acquire up to $5,000 of its outstanding common stock. The Company did not make any repurchases of common stock during the three months ended March 31, 2019. During the three months ended March 31, 2018, the Company repurchased 44,821 shares of common stock on the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open market for $582. The Company’s NAV per share increased by approximately $0.01 for the three months ended March 31, 2018 as a result of the share repurchases. The following table summarizes the Company’s share repurchases under the Stock Repurchase Program for the three months ended March 31, 2019 and 2018:</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Repurchases of Common Stock</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53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44,821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w w:val="97"/>
              </w:rPr>
              <w:t>Weighted average discount to net asset value at quarter end prior to</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repurchases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99"/>
              </w:rPr>
              <w:t>N/A</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had 24,463,119 shares of common stock outstanding as of March 31, 2019 and December 31,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three months ended March 31,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Record</w:t>
            </w: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Payment</w:t>
            </w:r>
          </w:p>
        </w:tc>
        <w:tc>
          <w:tcPr>
            <w:tcW w:w="14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DRIP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416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Date</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Per Share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Distribution</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Issue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2017:</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2/14/2017</w:t>
            </w:r>
          </w:p>
        </w:tc>
        <w:tc>
          <w:tcPr>
            <w:tcW w:w="880" w:type="dxa"/>
            <w:vAlign w:val="bottom"/>
          </w:tcPr>
          <w:p>
            <w:pPr>
              <w:jc w:val="right"/>
              <w:spacing w:after="0"/>
              <w:rPr>
                <w:sz w:val="20"/>
                <w:szCs w:val="20"/>
                <w:color w:val="auto"/>
              </w:rPr>
            </w:pPr>
            <w:r>
              <w:rPr>
                <w:rFonts w:ascii="Arial" w:cs="Arial" w:eastAsia="Arial" w:hAnsi="Arial"/>
                <w:sz w:val="18"/>
                <w:szCs w:val="18"/>
                <w:color w:val="auto"/>
              </w:rPr>
              <w:t>3/10/2017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3/24/2017</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$ 198</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11,500</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176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7/31/2017</w:t>
            </w:r>
          </w:p>
        </w:tc>
        <w:tc>
          <w:tcPr>
            <w:tcW w:w="880" w:type="dxa"/>
            <w:vAlign w:val="bottom"/>
          </w:tcPr>
          <w:p>
            <w:pPr>
              <w:jc w:val="right"/>
              <w:spacing w:after="0"/>
              <w:rPr>
                <w:sz w:val="20"/>
                <w:szCs w:val="20"/>
                <w:color w:val="auto"/>
              </w:rPr>
            </w:pPr>
            <w:r>
              <w:rPr>
                <w:rFonts w:ascii="Arial" w:cs="Arial" w:eastAsia="Arial" w:hAnsi="Arial"/>
                <w:sz w:val="18"/>
                <w:szCs w:val="18"/>
                <w:color w:val="auto"/>
              </w:rPr>
              <w:t>9/8/2017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9/22/2017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9,353</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w w:val="79"/>
              </w:rPr>
              <w:t>195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12/20/2017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12/27/2017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10/30/2017 </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12/20/2017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12/27/2017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36,793</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$ 799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3/23/2018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4/30/2018</w:t>
            </w:r>
          </w:p>
        </w:tc>
        <w:tc>
          <w:tcPr>
            <w:tcW w:w="880" w:type="dxa"/>
            <w:vAlign w:val="bottom"/>
          </w:tcPr>
          <w:p>
            <w:pPr>
              <w:jc w:val="right"/>
              <w:spacing w:after="0"/>
              <w:rPr>
                <w:sz w:val="20"/>
                <w:szCs w:val="20"/>
                <w:color w:val="auto"/>
              </w:rPr>
            </w:pPr>
            <w:r>
              <w:rPr>
                <w:rFonts w:ascii="Arial" w:cs="Arial" w:eastAsia="Arial" w:hAnsi="Arial"/>
                <w:sz w:val="18"/>
                <w:szCs w:val="18"/>
                <w:color w:val="auto"/>
              </w:rPr>
              <w:t>6/8/2018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10/30/2018</w:t>
            </w:r>
          </w:p>
        </w:tc>
        <w:tc>
          <w:tcPr>
            <w:tcW w:w="880" w:type="dxa"/>
            <w:vAlign w:val="bottom"/>
          </w:tcPr>
          <w:p>
            <w:pPr>
              <w:jc w:val="right"/>
              <w:spacing w:after="0"/>
              <w:rPr>
                <w:sz w:val="20"/>
                <w:szCs w:val="20"/>
                <w:color w:val="auto"/>
              </w:rPr>
            </w:pPr>
            <w:r>
              <w:rPr>
                <w:rFonts w:ascii="Arial" w:cs="Arial" w:eastAsia="Arial" w:hAnsi="Arial"/>
                <w:sz w:val="18"/>
                <w:szCs w:val="18"/>
                <w:color w:val="auto"/>
              </w:rPr>
              <w:t>12/7/2018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12/21/2018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1/31/2019</w:t>
            </w:r>
          </w:p>
        </w:tc>
        <w:tc>
          <w:tcPr>
            <w:tcW w:w="880" w:type="dxa"/>
            <w:vAlign w:val="bottom"/>
          </w:tcPr>
          <w:p>
            <w:pPr>
              <w:jc w:val="right"/>
              <w:spacing w:after="0"/>
              <w:rPr>
                <w:sz w:val="20"/>
                <w:szCs w:val="20"/>
                <w:color w:val="auto"/>
              </w:rPr>
            </w:pPr>
            <w:r>
              <w:rPr>
                <w:rFonts w:ascii="Arial" w:cs="Arial" w:eastAsia="Arial" w:hAnsi="Arial"/>
                <w:sz w:val="18"/>
                <w:szCs w:val="18"/>
                <w:color w:val="auto"/>
              </w:rPr>
              <w:t>3/8/2019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3/22/2019</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640" w:right="140" w:hanging="436"/>
        <w:spacing w:after="0" w:line="277"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the three months ended March 31, 2019 and the year ended December 31,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ectPr>
          <w:pgSz w:w="11900" w:h="16838" w:orient="portrait"/>
          <w:cols w:equalWidth="0" w:num="1">
            <w:col w:w="11240"/>
          </w:cols>
          <w:pgMar w:left="240" w:top="459" w:right="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Price Paid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80" w:type="dxa"/>
            <w:vAlign w:val="bottom"/>
            <w:gridSpan w:val="3"/>
            <w:vMerge w:val="continue"/>
          </w:tcPr>
          <w:p>
            <w:pPr>
              <w:spacing w:after="0"/>
              <w:rPr>
                <w:sz w:val="13"/>
                <w:szCs w:val="13"/>
                <w:color w:val="auto"/>
              </w:rPr>
            </w:pPr>
          </w:p>
        </w:tc>
        <w:tc>
          <w:tcPr>
            <w:tcW w:w="110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280" w:type="dxa"/>
            <w:vAlign w:val="bottom"/>
          </w:tcPr>
          <w:p>
            <w:pPr>
              <w:spacing w:after="0"/>
              <w:rPr>
                <w:sz w:val="13"/>
                <w:szCs w:val="13"/>
                <w:color w:val="auto"/>
              </w:rPr>
            </w:pPr>
          </w:p>
        </w:tc>
        <w:tc>
          <w:tcPr>
            <w:tcW w:w="94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4"/>
              </w:rPr>
              <w:t>Per Share</w:t>
            </w:r>
          </w:p>
        </w:tc>
        <w:tc>
          <w:tcPr>
            <w:tcW w:w="28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April 1, 2018 through June 30, 2018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16,216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October 1, 2018 through December 31, 2018</w:t>
            </w:r>
          </w:p>
        </w:tc>
        <w:tc>
          <w:tcPr>
            <w:tcW w:w="820" w:type="dxa"/>
            <w:vAlign w:val="bottom"/>
          </w:tcPr>
          <w:p>
            <w:pPr>
              <w:jc w:val="right"/>
              <w:spacing w:after="0"/>
              <w:rPr>
                <w:sz w:val="20"/>
                <w:szCs w:val="20"/>
                <w:color w:val="auto"/>
              </w:rPr>
            </w:pPr>
            <w:r>
              <w:rPr>
                <w:rFonts w:ascii="Arial" w:cs="Arial" w:eastAsia="Arial" w:hAnsi="Arial"/>
                <w:sz w:val="18"/>
                <w:szCs w:val="18"/>
                <w:color w:val="auto"/>
              </w:rPr>
              <w:t>29,152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9260"/>
          </w:cols>
          <w:pgMar w:left="1320" w:top="347" w:right="131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Three Months Ended March 31, 2019:</w:t>
      </w:r>
    </w:p>
    <w:p>
      <w:pPr>
        <w:spacing w:after="0" w:line="25" w:lineRule="exact"/>
        <w:rPr>
          <w:sz w:val="20"/>
          <w:szCs w:val="20"/>
          <w:color w:val="auto"/>
        </w:rPr>
      </w:pPr>
    </w:p>
    <w:p>
      <w:pPr>
        <w:ind w:right="880"/>
        <w:spacing w:after="0" w:line="306" w:lineRule="auto"/>
        <w:rPr>
          <w:sz w:val="20"/>
          <w:szCs w:val="20"/>
          <w:color w:val="auto"/>
        </w:rPr>
      </w:pPr>
      <w:r>
        <w:rPr>
          <w:rFonts w:ascii="Arial" w:cs="Arial" w:eastAsia="Arial" w:hAnsi="Arial"/>
          <w:sz w:val="18"/>
          <w:szCs w:val="18"/>
          <w:color w:val="auto"/>
        </w:rPr>
        <w:t>January 1, 2019 through March 31, 2019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40" w:type="dxa"/>
        <w:tblCellMar>
          <w:top w:w="0" w:type="dxa"/>
          <w:left w:w="0" w:type="dxa"/>
          <w:bottom w:w="0" w:type="dxa"/>
          <w:right w:w="0" w:type="dxa"/>
        </w:tblCellMar>
      </w:tblPr>
      <w:tr>
        <w:trPr>
          <w:trHeight w:val="161"/>
        </w:trPr>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and Reissued</w:t>
            </w:r>
          </w:p>
        </w:tc>
        <w:tc>
          <w:tcPr>
            <w:tcW w:w="5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21,855</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21,855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-325120</wp:posOffset>
            </wp:positionV>
            <wp:extent cx="58743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4385" cy="1460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3820" w:space="720"/>
            <w:col w:w="4720"/>
          </w:cols>
          <w:pgMar w:left="1320" w:top="347" w:right="13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schedule of financial highlights for the three months ended March 31, 2019 and 2018:</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16.47</w:t>
            </w:r>
          </w:p>
        </w:tc>
        <w:tc>
          <w:tcPr>
            <w:tcW w:w="4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9"/>
              </w:rPr>
              <w:t xml:space="preserve">Net realized gain (loss) on investments, net of tax (provision) </w:t>
            </w:r>
            <w:r>
              <w:rPr>
                <w:rFonts w:ascii="Arial" w:cs="Arial" w:eastAsia="Arial" w:hAnsi="Arial"/>
                <w:sz w:val="15"/>
                <w:szCs w:val="15"/>
                <w:color w:val="auto"/>
                <w:w w:val="99"/>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Market value at end of period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24,463,119</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24,498,041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404,816</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403,901</w:t>
            </w:r>
          </w:p>
        </w:tc>
        <w:tc>
          <w:tcPr>
            <w:tcW w:w="4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395,716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283,875</w:t>
            </w:r>
          </w:p>
        </w:tc>
        <w:tc>
          <w:tcPr>
            <w:tcW w:w="4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253,650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jc w:val="both"/>
        <w:ind w:left="640" w:right="100" w:hanging="436"/>
        <w:spacing w:after="0" w:line="265"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640" w:right="70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640" w:right="48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640" w:hanging="43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640" w:right="22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64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5600" w:type="dxa"/>
            <w:vAlign w:val="bottom"/>
            <w:gridSpan w:val="3"/>
            <w:vMerge w:val="continue"/>
          </w:tcPr>
          <w:p>
            <w:pPr>
              <w:spacing w:after="0"/>
              <w:rPr>
                <w:sz w:val="11"/>
                <w:szCs w:val="11"/>
                <w:color w:val="auto"/>
              </w:rPr>
            </w:pPr>
          </w:p>
        </w:tc>
        <w:tc>
          <w:tcPr>
            <w:tcW w:w="72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182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7.8%</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(3)</w:t>
            </w:r>
          </w:p>
        </w:tc>
        <w:tc>
          <w:tcPr>
            <w:tcW w:w="1820" w:type="dxa"/>
            <w:vAlign w:val="bottom"/>
            <w:gridSpan w:val="2"/>
          </w:tcPr>
          <w:p>
            <w:pPr>
              <w:jc w:val="right"/>
              <w:ind w:right="960"/>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8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On April 24, 2019, the Company executed an amendment and restatement of its Credit Facility, whereby, among other things, the total commitments under the Credit Facility increased from $90,000 to $100,000, the final maturity date was extended from June 16, 2019 to April 24, 2023, and the pricing on the Credit Facility was reduced from LIBOR plus 3.50% to LIBOR plus 3.00%. The amendment also includes an expansion of the accordion feature to $250,000 to accommodate further growth of the Company, and modifies certain covenants to the Credit Facility.</w:t>
      </w:r>
    </w:p>
    <w:p>
      <w:pPr>
        <w:spacing w:after="0" w:line="154"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On April 29, 2019, the Board declared a regular quarterly dividend of $0.39 per share payable on June 21, 2019 to stockholders of record as of June 7, 2019.</w:t>
      </w:r>
    </w:p>
    <w:p>
      <w:pPr>
        <w:spacing w:after="0" w:line="17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the Company will become subject to the 150% asset coverage ratio effective as of April 29, 2020. At present time, the Company does not intend to seek stockholder approval to reduce its asset coverage requirement. See Item IA. Risk Factors –“Recent legislation may allow us to incur additional leverage.”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2018, filed with the U.S. Securities and Exchange Commission (“SEC”) on February 28, 2019. The information contained in this section should also be read in conjunction with our unaudited consolidated financial statements and related notes thereto appearing elsewhere in this quarterly report on Form 10-Q.</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9" w:lineRule="exact"/>
        <w:rPr>
          <w:sz w:val="20"/>
          <w:szCs w:val="20"/>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1620" w:right="12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rate volatility could adversely affect our results, particularly because we use leverage as part of our investment strategy;</w:t>
      </w:r>
    </w:p>
    <w:p>
      <w:pPr>
        <w:spacing w:after="0" w:line="153" w:lineRule="exact"/>
        <w:rPr>
          <w:rFonts w:ascii="Arial" w:cs="Arial" w:eastAsia="Arial" w:hAnsi="Arial"/>
          <w:sz w:val="16"/>
          <w:szCs w:val="16"/>
          <w:color w:val="auto"/>
        </w:rPr>
      </w:pPr>
    </w:p>
    <w:p>
      <w:pPr>
        <w:ind w:left="1620" w:right="26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620" w:hanging="538"/>
        <w:spacing w:after="0" w:line="308"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2018, elsewhere in this Quarterly Report on Form 10-Q and in our other filings with the SEC.</w:t>
      </w:r>
    </w:p>
    <w:p>
      <w:pPr>
        <w:spacing w:after="0" w:line="147"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 xml:space="preserve">Item 1.A – Risk Factors </w:t>
      </w:r>
      <w:r>
        <w:rPr>
          <w:rFonts w:ascii="Arial" w:cs="Arial" w:eastAsia="Arial" w:hAnsi="Arial"/>
          <w:sz w:val="16"/>
          <w:szCs w:val="16"/>
          <w:color w:val="auto"/>
        </w:rPr>
        <w:t>contained in our Annual Report on Form 10-K for the year ended December 31, 2018, filed with the SEC on February 28, 2019.</w:t>
      </w:r>
      <w:r>
        <w:rPr>
          <w:rFonts w:ascii="Arial" w:cs="Arial" w:eastAsia="Arial" w:hAnsi="Arial"/>
          <w:sz w:val="16"/>
          <w:szCs w:val="16"/>
          <w:i w:val="1"/>
          <w:iCs w:val="1"/>
          <w:color w:val="auto"/>
        </w:rPr>
        <w:t xml:space="preserve"> </w:t>
      </w:r>
      <w:r>
        <w:rPr>
          <w:rFonts w:ascii="Arial" w:cs="Arial" w:eastAsia="Arial" w:hAnsi="Arial"/>
          <w:sz w:val="16"/>
          <w:szCs w:val="16"/>
          <w:color w:val="auto"/>
        </w:rPr>
        <w:t>You should not place undue reliance on these forward-looking statements, which apply only as of the date of this Quarterly Report on Form 10-Q.</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FIC was formed as a Maryland corporation on February 14, 2011. We completed our initial public offering, or IPO, in June 2011.</w:t>
      </w:r>
    </w:p>
    <w:p>
      <w:pPr>
        <w:spacing w:after="0" w:line="23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Fund I, Fund II and Fund III are collectively referred to as the “Funds.”</w:t>
      </w:r>
    </w:p>
    <w:p>
      <w:pPr>
        <w:spacing w:after="0" w:line="178"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Fund I, Fund II and Fund III received their SBIC licenses on October 22, 2007,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71"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the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right="200" w:firstLine="881"/>
        <w:spacing w:after="0" w:line="297"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58"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w:t>
      </w:r>
      <w:r>
        <w:rPr>
          <w:rFonts w:ascii="Arial" w:cs="Arial" w:eastAsia="Arial" w:hAnsi="Arial"/>
          <w:sz w:val="18"/>
          <w:szCs w:val="18"/>
          <w:i w:val="1"/>
          <w:iCs w:val="1"/>
          <w:color w:val="auto"/>
        </w:rPr>
        <w:t xml:space="preserve"> </w:t>
      </w:r>
      <w:r>
        <w:rPr>
          <w:rFonts w:ascii="Arial" w:cs="Arial" w:eastAsia="Arial" w:hAnsi="Arial"/>
          <w:sz w:val="18"/>
          <w:szCs w:val="18"/>
          <w:color w:val="auto"/>
        </w:rPr>
        <w:t>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i w:val="1"/>
          <w:iCs w:val="1"/>
          <w:color w:val="auto"/>
        </w:rPr>
        <w:t xml:space="preserve">Subordinated Debt. </w:t>
      </w:r>
      <w:r>
        <w:rPr>
          <w:rFonts w:ascii="Arial" w:cs="Arial" w:eastAsia="Arial" w:hAnsi="Arial"/>
          <w:sz w:val="18"/>
          <w:szCs w:val="18"/>
          <w:color w:val="auto"/>
        </w:rPr>
        <w:t>These investments are typically structured as unsecured, subordinated notes. Structurally, subordinated debt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6" w:lineRule="exact"/>
        <w:rPr>
          <w:sz w:val="20"/>
          <w:szCs w:val="20"/>
          <w:color w:val="auto"/>
        </w:rPr>
      </w:pPr>
    </w:p>
    <w:p>
      <w:pPr>
        <w:ind w:left="200" w:right="20" w:firstLine="881"/>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8" w:lineRule="exact"/>
        <w:rPr>
          <w:sz w:val="20"/>
          <w:szCs w:val="20"/>
          <w:color w:val="auto"/>
        </w:rPr>
      </w:pPr>
    </w:p>
    <w:p>
      <w:pPr>
        <w:jc w:val="both"/>
        <w:ind w:left="200" w:right="120" w:firstLine="881"/>
        <w:spacing w:after="0" w:line="286"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66"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82" w:lineRule="exact"/>
        <w:rPr>
          <w:sz w:val="20"/>
          <w:szCs w:val="20"/>
          <w:color w:val="auto"/>
        </w:rPr>
      </w:pPr>
    </w:p>
    <w:p>
      <w:pPr>
        <w:ind w:left="200" w:firstLine="881"/>
        <w:spacing w:after="0" w:line="285"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w:t>
      </w:r>
      <w:r>
        <w:rPr>
          <w:rFonts w:ascii="Arial" w:cs="Arial" w:eastAsia="Arial" w:hAnsi="Arial"/>
          <w:sz w:val="16"/>
          <w:szCs w:val="16"/>
          <w:i w:val="1"/>
          <w:iCs w:val="1"/>
          <w:color w:val="auto"/>
        </w:rPr>
        <w:t xml:space="preserve"> </w:t>
      </w:r>
      <w:r>
        <w:rPr>
          <w:rFonts w:ascii="Arial" w:cs="Arial" w:eastAsia="Arial" w:hAnsi="Arial"/>
          <w:sz w:val="16"/>
          <w:szCs w:val="16"/>
          <w:color w:val="auto"/>
        </w:rPr>
        <w:t>debt 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200" w:right="200" w:firstLine="881"/>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620" w:right="40" w:hanging="538"/>
        <w:spacing w:after="0" w:line="259"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620" w:right="20" w:hanging="538"/>
        <w:spacing w:after="0" w:line="279"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76" w:lineRule="exact"/>
        <w:rPr>
          <w:rFonts w:ascii="Arial" w:cs="Arial" w:eastAsia="Arial" w:hAnsi="Arial"/>
          <w:sz w:val="17"/>
          <w:szCs w:val="17"/>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620" w:right="340" w:hanging="538"/>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200" w:right="280" w:firstLine="881"/>
        <w:spacing w:after="0" w:line="276" w:lineRule="auto"/>
        <w:rPr>
          <w:sz w:val="20"/>
          <w:szCs w:val="20"/>
          <w:color w:val="auto"/>
        </w:rPr>
      </w:pPr>
      <w:r>
        <w:rPr>
          <w:rFonts w:ascii="Arial" w:cs="Arial" w:eastAsia="Arial" w:hAnsi="Arial"/>
          <w:sz w:val="17"/>
          <w:szCs w:val="17"/>
          <w:color w:val="auto"/>
        </w:rPr>
        <w:t>During the three months ended March 31, 2019 and 2018, we invested $80.5 million and $60.9 million, respectively, in debt and equity investments including four and five new portfolio companies, respectively. During the three months ended March 31, 2019 and 2018, we received proceeds from sales or repayments, including principal, return of capital dividends and net realized gains (losses), of $57.4 million and $36.1 million, respectively, including exits of three and two portfolio companies, respectively. The following table summarizes investment purchases and sales and repayments of investments by type for the three months ended March 31, 2019 and 2018 (dollars in millions).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Purchases of Investments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11"/>
          </w:tcPr>
          <w:p>
            <w:pPr>
              <w:ind w:left="200"/>
              <w:spacing w:after="0"/>
              <w:rPr>
                <w:sz w:val="20"/>
                <w:szCs w:val="20"/>
                <w:color w:val="auto"/>
              </w:rPr>
            </w:pPr>
            <w:r>
              <w:rPr>
                <w:rFonts w:ascii="Arial" w:cs="Arial" w:eastAsia="Arial" w:hAnsi="Arial"/>
                <w:sz w:val="14"/>
                <w:szCs w:val="14"/>
                <w:b w:val="1"/>
                <w:bCs w:val="1"/>
                <w:color w:val="auto"/>
              </w:rPr>
              <w:t>Sales and Repayments of Investments</w:t>
            </w: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$ 51.5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Subordinated Debt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Royalty Rights</w:t>
            </w:r>
          </w:p>
        </w:tc>
        <w:tc>
          <w:tcPr>
            <w:tcW w:w="18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As of March 31, 2019, the fair value of our investment portfolio totaled $670.5 million and consisted of 61 active portfolio companies and four portfolio companies that have sold their underlying operations. As of March 31, 2019, eight portfolio company’s</w:t>
      </w:r>
    </w:p>
    <w:p>
      <w:pPr>
        <w:sectPr>
          <w:pgSz w:w="11900" w:h="16838" w:orient="portrait"/>
          <w:cols w:equalWidth="0" w:num="1">
            <w:col w:w="11240"/>
          </w:cols>
          <w:pgMar w:left="240" w:top="459" w:right="419" w:bottom="676" w:gutter="0" w:footer="0" w:header="0"/>
        </w:sectPr>
      </w:pP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240" w:top="459" w:right="419" w:bottom="676"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debt investments bore interest at a variable rate, which represented $80.3 million of our portfolio on a fair value basis, and the remainder of our debt portfolio was comprised of fixed rate investments. Overall, the portfolio had net unrealized appreciation of $47.8 million as of March 31, 2019. As of March 31, 2019, our average active portfolio company investment at amortized cost was $10.2 million, which excludes investments in the four portfolio companies that have sold their underlying operations.</w:t>
      </w:r>
    </w:p>
    <w:p>
      <w:pPr>
        <w:spacing w:after="0" w:line="187" w:lineRule="exact"/>
        <w:rPr>
          <w:sz w:val="20"/>
          <w:szCs w:val="20"/>
          <w:color w:val="auto"/>
        </w:rPr>
      </w:pPr>
    </w:p>
    <w:p>
      <w:pPr>
        <w:ind w:left="200" w:right="220" w:firstLine="881"/>
        <w:spacing w:after="0" w:line="255" w:lineRule="auto"/>
        <w:rPr>
          <w:sz w:val="20"/>
          <w:szCs w:val="20"/>
          <w:color w:val="auto"/>
        </w:rPr>
      </w:pPr>
      <w:r>
        <w:rPr>
          <w:rFonts w:ascii="Arial" w:cs="Arial" w:eastAsia="Arial" w:hAnsi="Arial"/>
          <w:sz w:val="18"/>
          <w:szCs w:val="18"/>
          <w:color w:val="auto"/>
        </w:rPr>
        <w:t>As of December 31, 2018, the fair value of our investment portfolio totaled $643.0 million and consisted of 60 active portfolio companies and three portfolio companies that have sold their underlying operations. As of December 31, 2018, seven debt investments bore interest at a variable rate, which represented $75.9 million of our portfolio on a fair value basis, and the remainder of our debt portfolio was comprised of fixed rate investments. Overall, the portfolio had net unrealized appreciation of $44.2 million as of December 31, 2018. As of December 31, 2018, our average active portfolio company investment at amortized cost was $10.0 million, which excludes investments in the three portfolio companies that have sold their underlying operations.</w:t>
      </w:r>
    </w:p>
    <w:p>
      <w:pPr>
        <w:spacing w:after="0" w:line="193" w:lineRule="exact"/>
        <w:rPr>
          <w:sz w:val="20"/>
          <w:szCs w:val="20"/>
          <w:color w:val="auto"/>
        </w:rPr>
      </w:pPr>
    </w:p>
    <w:p>
      <w:pPr>
        <w:ind w:left="200" w:right="360" w:firstLine="881"/>
        <w:spacing w:after="0" w:line="297" w:lineRule="auto"/>
        <w:rPr>
          <w:sz w:val="20"/>
          <w:szCs w:val="20"/>
          <w:color w:val="auto"/>
        </w:rPr>
      </w:pPr>
      <w:r>
        <w:rPr>
          <w:rFonts w:ascii="Arial" w:cs="Arial" w:eastAsia="Arial" w:hAnsi="Arial"/>
          <w:sz w:val="16"/>
          <w:szCs w:val="16"/>
          <w:color w:val="auto"/>
        </w:rPr>
        <w:t>The weighted average yield on debt investments as of March 31, 2019 and December 31, 2018 was 12.4% and 12.6%,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March 31, 2019 and December 31, 2018, respectively, including the accretion of OID and debt investment origination fees, but excluding investments on non-accrual status, if any.</w:t>
      </w:r>
    </w:p>
    <w:p>
      <w:pPr>
        <w:spacing w:after="0" w:line="158"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2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2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tcPr>
          <w:p>
            <w:pPr>
              <w:jc w:val="center"/>
              <w:ind w:right="288"/>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$ 362.7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$ 366.5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$ 377.4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$ 380.0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Subordinated Debt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Equity</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Royalty Rights</w:t>
            </w:r>
          </w:p>
        </w:tc>
        <w:tc>
          <w:tcPr>
            <w:tcW w:w="1640" w:type="dxa"/>
            <w:vAlign w:val="bottom"/>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$ 670.5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$ 622.7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4"/>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$ 598.8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2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2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tcPr>
          <w:p>
            <w:pPr>
              <w:jc w:val="center"/>
              <w:ind w:right="288"/>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$ 149.2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$ 161.1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$ 134.4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Southeast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West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19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$ 670.5</w:t>
            </w: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$ 643.0</w:t>
            </w: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$ 622.7</w:t>
            </w:r>
          </w:p>
        </w:tc>
        <w:tc>
          <w:tcPr>
            <w:tcW w:w="240" w:type="dxa"/>
            <w:vAlign w:val="bottom"/>
          </w:tcPr>
          <w:p>
            <w:pPr>
              <w:spacing w:after="0"/>
              <w:rPr>
                <w:sz w:val="19"/>
                <w:szCs w:val="19"/>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w w:val="94"/>
              </w:rPr>
              <w:t>100.0%</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$ 598.8</w:t>
            </w:r>
          </w:p>
        </w:tc>
        <w:tc>
          <w:tcPr>
            <w:tcW w:w="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gridSpan w:val="2"/>
          </w:tcPr>
          <w:p>
            <w:pPr>
              <w:jc w:val="right"/>
              <w:ind w:right="236"/>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w w:val="99"/>
              </w:rPr>
              <w:t>March 31,</w:t>
            </w:r>
          </w:p>
        </w:tc>
        <w:tc>
          <w:tcPr>
            <w:tcW w:w="11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March 31,</w:t>
            </w:r>
          </w:p>
        </w:tc>
        <w:tc>
          <w:tcPr>
            <w:tcW w:w="13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Healthcare Services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Oil &amp; Gas Services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Healthcare Products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Utilities: Services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Retail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Consumer Products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 Manufacturing</w:t>
            </w:r>
          </w:p>
        </w:tc>
        <w:tc>
          <w:tcPr>
            <w:tcW w:w="2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Restaurants</w:t>
            </w:r>
          </w:p>
        </w:tc>
        <w:tc>
          <w:tcPr>
            <w:tcW w:w="2160" w:type="dxa"/>
            <w:vAlign w:val="bottom"/>
            <w:gridSpan w:val="3"/>
          </w:tcPr>
          <w:p>
            <w:pPr>
              <w:jc w:val="right"/>
              <w:ind w:right="18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1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60" w:type="dxa"/>
            <w:vAlign w:val="bottom"/>
            <w:vMerge w:val="continue"/>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620" w:right="620" w:hanging="538"/>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6" w:lineRule="exact"/>
        <w:rPr>
          <w:rFonts w:ascii="Arial" w:cs="Arial" w:eastAsia="Arial" w:hAnsi="Arial"/>
          <w:sz w:val="18"/>
          <w:szCs w:val="18"/>
          <w:color w:val="auto"/>
        </w:rPr>
      </w:pPr>
    </w:p>
    <w:p>
      <w:pPr>
        <w:ind w:left="1620" w:right="320" w:hanging="538"/>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1620" w:hanging="538"/>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1620" w:right="300" w:hanging="538"/>
        <w:spacing w:after="0" w:line="308"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620" w:right="860" w:hanging="538"/>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March 31, 2019 and December 31, 2018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3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2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jc w:val="center"/>
              <w:ind w:right="408"/>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100" w:type="dxa"/>
            <w:vAlign w:val="bottom"/>
            <w:gridSpan w:val="3"/>
          </w:tcPr>
          <w:p>
            <w:pPr>
              <w:jc w:val="center"/>
              <w:ind w:right="1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gridSpan w:val="2"/>
            <w:vMerge w:val="continue"/>
          </w:tcPr>
          <w:p>
            <w:pPr>
              <w:spacing w:after="0"/>
              <w:rPr>
                <w:sz w:val="13"/>
                <w:szCs w:val="13"/>
                <w:color w:val="auto"/>
              </w:rPr>
            </w:pPr>
          </w:p>
        </w:tc>
        <w:tc>
          <w:tcPr>
            <w:tcW w:w="446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3740" w:type="dxa"/>
            <w:vAlign w:val="bottom"/>
            <w:gridSpan w:val="2"/>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37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$108.2</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16.2%</w:t>
            </w:r>
          </w:p>
        </w:tc>
        <w:tc>
          <w:tcPr>
            <w:tcW w:w="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$123.8</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19.2%</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8"/>
              <w:spacing w:after="0" w:line="203"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482.6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478.0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74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670.5</w:t>
            </w: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622.7</w:t>
            </w:r>
          </w:p>
        </w:tc>
        <w:tc>
          <w:tcPr>
            <w:tcW w:w="240" w:type="dxa"/>
            <w:vAlign w:val="bottom"/>
          </w:tcPr>
          <w:p>
            <w:pPr>
              <w:spacing w:after="0"/>
              <w:rPr>
                <w:sz w:val="19"/>
                <w:szCs w:val="19"/>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598.8</w:t>
            </w:r>
          </w:p>
        </w:tc>
        <w:tc>
          <w:tcPr>
            <w:tcW w:w="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March 31, 2019 and December 31, 2018 was 2.0 and 2.0, respectively, on a fair value basis and 2.1 and 2.2, respectively, on a cost basis.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As of March 31, 2019 and December 31, 2018, we had debt investments in two portfolio companies on non-accrual status, respectively (dollars in millions):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0"/>
                <w:szCs w:val="10"/>
                <w:color w:val="auto"/>
              </w:rPr>
            </w:pPr>
          </w:p>
        </w:tc>
        <w:tc>
          <w:tcPr>
            <w:tcW w:w="760" w:type="dxa"/>
            <w:vAlign w:val="bottom"/>
            <w:gridSpan w:val="2"/>
          </w:tcPr>
          <w:p>
            <w:pPr>
              <w:jc w:val="right"/>
              <w:ind w:right="363"/>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4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7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8"/>
        </w:trPr>
        <w:tc>
          <w:tcPr>
            <w:tcW w:w="65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323"/>
              <w:spacing w:after="0" w:line="158"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84"/>
              </w:rPr>
              <w:t>$ —</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6"/>
              </w:rPr>
              <w:t>(1)</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w w:val="90"/>
              </w:rPr>
              <w:t>$ —</w:t>
            </w:r>
          </w:p>
        </w:tc>
        <w:tc>
          <w:tcPr>
            <w:tcW w:w="3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6"/>
              </w:rPr>
              <w:t>(1)</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$13.2</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$ 14.3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780" w:type="dxa"/>
            <w:vAlign w:val="bottom"/>
            <w:gridSpan w:val="3"/>
          </w:tcPr>
          <w:p>
            <w:pPr>
              <w:jc w:val="right"/>
              <w:ind w:right="123"/>
              <w:spacing w:after="0"/>
              <w:rPr>
                <w:sz w:val="20"/>
                <w:szCs w:val="20"/>
                <w:color w:val="auto"/>
              </w:rPr>
            </w:pPr>
            <w:r>
              <w:rPr>
                <w:rFonts w:ascii="Arial" w:cs="Arial" w:eastAsia="Arial" w:hAnsi="Arial"/>
                <w:sz w:val="18"/>
                <w:szCs w:val="18"/>
                <w:color w:val="auto"/>
              </w:rPr>
              <w:t>6.4</w:t>
            </w:r>
            <w:r>
              <w:rPr>
                <w:rFonts w:ascii="Arial" w:cs="Arial" w:eastAsia="Arial" w:hAnsi="Arial"/>
                <w:sz w:val="15"/>
                <w:szCs w:val="15"/>
                <w:color w:val="auto"/>
              </w:rPr>
              <w:t>(3)</w:t>
            </w:r>
          </w:p>
        </w:tc>
        <w:tc>
          <w:tcPr>
            <w:tcW w:w="960" w:type="dxa"/>
            <w:vAlign w:val="bottom"/>
            <w:gridSpan w:val="3"/>
          </w:tcPr>
          <w:p>
            <w:pPr>
              <w:jc w:val="right"/>
              <w:ind w:right="103"/>
              <w:spacing w:after="0"/>
              <w:rPr>
                <w:sz w:val="20"/>
                <w:szCs w:val="20"/>
                <w:color w:val="auto"/>
              </w:rPr>
            </w:pPr>
            <w:r>
              <w:rPr>
                <w:rFonts w:ascii="Arial" w:cs="Arial" w:eastAsia="Arial" w:hAnsi="Arial"/>
                <w:sz w:val="18"/>
                <w:szCs w:val="18"/>
                <w:color w:val="auto"/>
              </w:rPr>
              <w:t>8.3</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9" w:lineRule="exact"/>
        <w:rPr>
          <w:rFonts w:ascii="Arial" w:cs="Arial" w:eastAsia="Arial" w:hAnsi="Arial"/>
          <w:sz w:val="18"/>
          <w:szCs w:val="18"/>
          <w:color w:val="auto"/>
        </w:rPr>
      </w:pPr>
    </w:p>
    <w:p>
      <w:pPr>
        <w:ind w:left="640" w:right="560" w:hanging="436"/>
        <w:spacing w:after="0" w:line="26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Portfolio company last-out debt investment was on PIK-only on non-accrual status at period end, meaning we have ceased recognizing PIK interest income on the investment.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three months ended March 31, 2019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Below is a summary of the changes in total investment income for the three months ended March 31, 2019 as compared to the same period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(dollars in millions):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5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2018</w:t>
            </w:r>
          </w:p>
        </w:tc>
        <w:tc>
          <w:tcPr>
            <w:tcW w:w="5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200" w:right="820" w:firstLine="441"/>
        <w:spacing w:after="0" w:line="264" w:lineRule="auto"/>
        <w:rPr>
          <w:sz w:val="20"/>
          <w:szCs w:val="20"/>
          <w:color w:val="auto"/>
        </w:rPr>
      </w:pPr>
      <w:r>
        <w:rPr>
          <w:rFonts w:ascii="Arial" w:cs="Arial" w:eastAsia="Arial" w:hAnsi="Arial"/>
          <w:sz w:val="18"/>
          <w:szCs w:val="18"/>
          <w:color w:val="auto"/>
        </w:rPr>
        <w:t>For the three months ended March 31, 2019, total investment income was $20.3 million, an increase of $2.1 million or 11.5%, from the $18.2 million of total investment income for the three months ended March 31, 2018. As reflected in the table above, the increase is primarily attributable to the following:</w:t>
      </w:r>
    </w:p>
    <w:p>
      <w:pPr>
        <w:spacing w:after="0" w:line="87" w:lineRule="exact"/>
        <w:rPr>
          <w:sz w:val="20"/>
          <w:szCs w:val="20"/>
          <w:color w:val="auto"/>
        </w:rPr>
      </w:pPr>
    </w:p>
    <w:p>
      <w:pPr>
        <w:ind w:left="2060" w:right="80" w:hanging="425"/>
        <w:spacing w:after="0" w:line="264" w:lineRule="auto"/>
        <w:tabs>
          <w:tab w:leader="none" w:pos="2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 million increase in total interest income (including payment-in-kind interest income) resulting from higher average debt investment balances outstanding, partially offset by a small decrease in weighted average debt yield, during 2019 as compared to 2018.</w:t>
      </w:r>
    </w:p>
    <w:p>
      <w:pPr>
        <w:sectPr>
          <w:pgSz w:w="11900" w:h="16838" w:orient="portrait"/>
          <w:cols w:equalWidth="0" w:num="1">
            <w:col w:w="11240"/>
          </w:cols>
          <w:pgMar w:left="240" w:top="459" w:right="419" w:bottom="1440"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240" w:top="459" w:right="4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60" w:right="640" w:hanging="425"/>
        <w:spacing w:after="0" w:line="308" w:lineRule="auto"/>
        <w:tabs>
          <w:tab w:leader="none" w:pos="2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$0.7 million increase in fee income resulting from an increase in structuring fees due to a comparative increase in new investments and an increase in prepayment fee income, during 2019 as compared to 2018.</w:t>
      </w:r>
    </w:p>
    <w:p>
      <w:pPr>
        <w:spacing w:after="0" w:line="51" w:lineRule="exact"/>
        <w:rPr>
          <w:rFonts w:ascii="Arial" w:cs="Arial" w:eastAsia="Arial" w:hAnsi="Arial"/>
          <w:sz w:val="17"/>
          <w:szCs w:val="17"/>
          <w:color w:val="auto"/>
        </w:rPr>
      </w:pPr>
    </w:p>
    <w:p>
      <w:pPr>
        <w:ind w:left="2060" w:hanging="425"/>
        <w:spacing w:after="0" w:line="277" w:lineRule="auto"/>
        <w:tabs>
          <w:tab w:leader="none" w:pos="2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$(0.1) million decrease in dividend income, during 2019 as compared to 2018, due to decreased levels of distributions received from equity.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200" w:right="600" w:firstLine="881"/>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March 31,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Total expenses, including income tax provision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For the three months ended March 31, 2019, total expenses, including income tax provision, were $10.7 million, flat with the three months ended March 31, 2018. As reflected in the table above, changes across periods were primarily attributable to the following:</w:t>
      </w:r>
    </w:p>
    <w:p>
      <w:pPr>
        <w:spacing w:after="0" w:line="76" w:lineRule="exact"/>
        <w:rPr>
          <w:sz w:val="20"/>
          <w:szCs w:val="20"/>
          <w:color w:val="auto"/>
        </w:rPr>
      </w:pPr>
    </w:p>
    <w:p>
      <w:pPr>
        <w:ind w:left="2060" w:right="120" w:hanging="425"/>
        <w:spacing w:after="0" w:line="277" w:lineRule="auto"/>
        <w:tabs>
          <w:tab w:leader="none" w:pos="2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$0.7 million increase in interest and financing expenses due to an increase in average borrowings outstanding and an increase in weighted average interest rate on borrowings during 2019 as compared to 2018.</w:t>
      </w:r>
    </w:p>
    <w:p>
      <w:pPr>
        <w:spacing w:after="0" w:line="75" w:lineRule="exact"/>
        <w:rPr>
          <w:rFonts w:ascii="Arial" w:cs="Arial" w:eastAsia="Arial" w:hAnsi="Arial"/>
          <w:sz w:val="18"/>
          <w:szCs w:val="18"/>
          <w:color w:val="auto"/>
        </w:rPr>
      </w:pPr>
    </w:p>
    <w:p>
      <w:pPr>
        <w:ind w:left="2060" w:right="360" w:hanging="425"/>
        <w:spacing w:after="0" w:line="277" w:lineRule="auto"/>
        <w:tabs>
          <w:tab w:leader="none" w:pos="2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$0.3 million increase in the income incentive fee due to a $1.2 million increase in pre-incentive fee net investment income during 2019, as compared to the same period in 2018.</w:t>
      </w:r>
    </w:p>
    <w:p>
      <w:pPr>
        <w:spacing w:after="0" w:line="75" w:lineRule="exact"/>
        <w:rPr>
          <w:rFonts w:ascii="Arial" w:cs="Arial" w:eastAsia="Arial" w:hAnsi="Arial"/>
          <w:sz w:val="18"/>
          <w:szCs w:val="18"/>
          <w:color w:val="auto"/>
        </w:rPr>
      </w:pPr>
    </w:p>
    <w:p>
      <w:pPr>
        <w:ind w:left="2060" w:hanging="425"/>
        <w:spacing w:after="0"/>
        <w:tabs>
          <w:tab w:leader="none" w:pos="2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$0.2 million increase in base management fee due to higher average total assets during 2019 as compared to 2018.</w:t>
      </w:r>
    </w:p>
    <w:p>
      <w:pPr>
        <w:spacing w:after="0" w:line="142" w:lineRule="exact"/>
        <w:rPr>
          <w:rFonts w:ascii="Arial" w:cs="Arial" w:eastAsia="Arial" w:hAnsi="Arial"/>
          <w:sz w:val="17"/>
          <w:szCs w:val="17"/>
          <w:color w:val="auto"/>
        </w:rPr>
      </w:pPr>
    </w:p>
    <w:p>
      <w:pPr>
        <w:jc w:val="both"/>
        <w:ind w:left="2060" w:right="540" w:hanging="425"/>
        <w:spacing w:after="0" w:line="286" w:lineRule="auto"/>
        <w:tabs>
          <w:tab w:leader="none" w:pos="2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$(1.2) million decrease in the capital gains incentive fee due to a $(5.7) million decrease in net gain on investments (net realized gains (losses), plus net change in unrealized appreciation (depreciation) on investments, plus realized losses on extinguishment of debt) during 2019, as compared to the same period in 2018.</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200" w:right="120" w:firstLine="881"/>
        <w:spacing w:after="0" w:line="342" w:lineRule="auto"/>
        <w:rPr>
          <w:sz w:val="20"/>
          <w:szCs w:val="20"/>
          <w:color w:val="auto"/>
        </w:rPr>
      </w:pPr>
      <w:r>
        <w:rPr>
          <w:rFonts w:ascii="Arial" w:cs="Arial" w:eastAsia="Arial" w:hAnsi="Arial"/>
          <w:sz w:val="16"/>
          <w:szCs w:val="16"/>
          <w:color w:val="auto"/>
        </w:rPr>
        <w:t>Net investment income increased by $2.1 million, or 27.5%, to $9.6 million during the three months ended March 31, 2019 as compared to the same period in 2018, as a result of the $2.1 million increase in total investment income and flat total expenses, including income tax provision.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the three months ended March 31, 2019, the total net realized loss on investments, before income tax provision on realized gains, was $(1.6) million. Income tax (provision) benefit from realized gains on investments was zero for the three months ended March 31, 2019. Significant realized gains (losses) for the three months ended March 31, 2019 are summarized below (dollars in millions):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20" w:type="dxa"/>
            <w:vAlign w:val="bottom"/>
          </w:tcPr>
          <w:p>
            <w:pPr>
              <w:spacing w:after="0"/>
              <w:rPr>
                <w:sz w:val="14"/>
                <w:szCs w:val="14"/>
                <w:color w:val="auto"/>
              </w:rPr>
            </w:pPr>
          </w:p>
        </w:tc>
        <w:tc>
          <w:tcPr>
            <w:tcW w:w="350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3500" w:type="dxa"/>
            <w:vAlign w:val="bottom"/>
            <w:gridSpan w:val="2"/>
            <w:vMerge w:val="continue"/>
          </w:tcPr>
          <w:p>
            <w:pPr>
              <w:spacing w:after="0"/>
              <w:rPr>
                <w:sz w:val="13"/>
                <w:szCs w:val="13"/>
                <w:color w:val="auto"/>
              </w:rPr>
            </w:pPr>
          </w:p>
        </w:tc>
        <w:tc>
          <w:tcPr>
            <w:tcW w:w="102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3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Consolidated Infrastructure Group Holdings,</w:t>
            </w:r>
          </w:p>
        </w:tc>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LP</w:t>
            </w:r>
          </w:p>
        </w:tc>
        <w:tc>
          <w:tcPr>
            <w:tcW w:w="3820" w:type="dxa"/>
            <w:vAlign w:val="bottom"/>
            <w:gridSpan w:val="3"/>
          </w:tcPr>
          <w:p>
            <w:pPr>
              <w:ind w:left="32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Net realized gain (loss) on investments</w:t>
            </w: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gridSpan w:val="6"/>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00" w:hanging="436"/>
        <w:spacing w:after="0" w:line="25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three months ended March 31, 2018, the total net realized gain on investments, before income tax provision on realized gains, was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$7.3 million. Income tax (provision) from realized gains on investments was $(1.7) million for the three months ended March 31, 2018. Significant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realized gains (losses) for the three months ended March 31, 2018 are summarized below (dollars in millions):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520" w:type="dxa"/>
            <w:vAlign w:val="bottom"/>
          </w:tcPr>
          <w:p>
            <w:pPr>
              <w:spacing w:after="0"/>
              <w:rPr>
                <w:sz w:val="14"/>
                <w:szCs w:val="14"/>
                <w:color w:val="auto"/>
              </w:rPr>
            </w:pPr>
          </w:p>
        </w:tc>
        <w:tc>
          <w:tcPr>
            <w:tcW w:w="29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54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Net Realized</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540" w:type="dxa"/>
            <w:vAlign w:val="bottom"/>
            <w:gridSpan w:val="4"/>
          </w:tcPr>
          <w:p>
            <w:pPr>
              <w:jc w:val="center"/>
              <w:ind w:left="336"/>
              <w:spacing w:after="0" w:line="158"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World Wide Packaging, LLC</w:t>
            </w:r>
          </w:p>
        </w:tc>
        <w:tc>
          <w:tcPr>
            <w:tcW w:w="5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Malabar International</w:t>
            </w:r>
          </w:p>
        </w:tc>
        <w:tc>
          <w:tcPr>
            <w:tcW w:w="3500" w:type="dxa"/>
            <w:vAlign w:val="bottom"/>
            <w:gridSpan w:val="2"/>
          </w:tcPr>
          <w:p>
            <w:pPr>
              <w:ind w:left="520"/>
              <w:spacing w:after="0"/>
              <w:rPr>
                <w:sz w:val="20"/>
                <w:szCs w:val="20"/>
                <w:color w:val="auto"/>
              </w:rPr>
            </w:pPr>
            <w:r>
              <w:rPr>
                <w:rFonts w:ascii="Arial" w:cs="Arial" w:eastAsia="Arial" w:hAnsi="Arial"/>
                <w:sz w:val="18"/>
                <w:szCs w:val="18"/>
                <w:color w:val="auto"/>
              </w:rPr>
              <w:t>Escrow distribution</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3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Distributions tax character true-up</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5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5"/>
            <w:vMerge w:val="restart"/>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00" w:hanging="436"/>
        <w:spacing w:after="0" w:line="25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During the three months ended March 31, 2019 and 2018, we recorded a net change in unrealized appreciation (depreciation) on investments attributable to the following (dollars in millions):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Net increase in net assets resulting from operations during the three months ended March 31, 2019 and 2018 was $11.4 million and $15.0 million, respectively, as a result of the events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of March 31, 2019, we had $26.2 million in cash and cash equivalents and our net assets totaled $404.8 million. We believe that our current cash and cash equivalents on hand, our Credit Facility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2019, we repaid $19.8 million of</w:t>
      </w:r>
    </w:p>
    <w:p>
      <w:pPr>
        <w:sectPr>
          <w:pgSz w:w="11900" w:h="16838" w:orient="portrait"/>
          <w:cols w:equalWidth="0" w:num="1">
            <w:col w:w="11160"/>
          </w:cols>
          <w:pgMar w:left="240" w:top="459" w:right="499" w:bottom="528" w:gutter="0" w:footer="0" w:header="0"/>
        </w:sectPr>
      </w:pP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60"/>
          </w:cols>
          <w:pgMar w:left="240" w:top="459" w:right="499" w:bottom="528"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SBA debentures which would have matured during the period September 1, 2021 through March 1, 2025. Our remaining outstanding SBA debentures continue to mature in 2022 and subsequent years through 2028, which will require repayment on or before the respective maturity dates.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three months ended March 31, 2019, we experienced a net decrease in cash and cash equivalents in the amount of $15.8 million. During that period, we used $16.5 million of cash for operating activities, which included the funding of $80.5 million of investments, which were partially offset by proceeds received from sales and repayments of investments of $57.4 million. During the same period, we received proceeds from the issuance of our Public Notes of $69.0 million; which were partially offset by repayments of SBA debentures of $19.8 million, net repayments of $36.5 million of borrowings under our Credit Facility, cash dividends paid to stockholders of $9.5 million, and the payment of deferred financing costs related to our debt financings of $2.5 million.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200" w:right="140" w:firstLine="441"/>
        <w:spacing w:after="0" w:line="284"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2019, Fund I, Fund II and Fund III had</w:t>
      </w:r>
    </w:p>
    <w:p>
      <w:pPr>
        <w:spacing w:after="0" w:line="3"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$21.3 million, $150.0 million and zero of outstanding SBA debentures, respectively. Fund I has commenced a wind-down plan and can no longer issue additional SBA debentures. Subject to SBA regulatory requirements and approval, Fund III may access up to $175.0 million of additional SBA debentures under the SBIC debenture program. For more information on the SBA debentures, please refer to Note 6 to our consolidated financial statements.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June 2014, we entered into the Credit Facility to provide additional funding for our investment and operational activities. On December 29, 2017, we entered into an amendment to the Credit Facility to, among other things, extend the maturity date from June 16, 2018 to June 16, 2019. On June 5, 2018, we entered into an incremental commitment agreement, whereby the amount available for borrowing under the Credit Facility was increased from $50.0 million to $75.0 million. On October 19, 2018, we entered into an incremental commitment agreement, whereby the amount available for borrowing under the Credit Facility was increased from $75.0 million to $90.0 million, with allowance for future increases in the commitments up to $100.0 million. The Credit Facility is secured by substantially all of our assets, excluding the assets of the Funds.</w:t>
      </w:r>
    </w:p>
    <w:p>
      <w:pPr>
        <w:spacing w:after="0" w:line="16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portfolio investments. We are subject to limitations with respect to the investments securing the Credit Facility, including, but not limited to, restrictions on sector concentrations, loan size, transferability, payment frequency and status and collateral interests, as well as restrictions on portfolio company leverage, which may also affect the borrowing base and therefore amounts available to borrow.</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Borrowings under the Credit Facility bear interest, subject to our election, on a per annum basis equal to (i) the alternate base rate plus 2.5% or</w:t>
      </w:r>
    </w:p>
    <w:p>
      <w:pPr>
        <w:spacing w:after="0" w:line="46" w:lineRule="exact"/>
        <w:rPr>
          <w:sz w:val="20"/>
          <w:szCs w:val="20"/>
          <w:color w:val="auto"/>
        </w:rPr>
      </w:pPr>
    </w:p>
    <w:p>
      <w:pPr>
        <w:ind w:left="200" w:firstLine="4"/>
        <w:spacing w:after="0" w:line="255" w:lineRule="auto"/>
        <w:tabs>
          <w:tab w:leader="none" w:pos="4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applicable LIBOR, which varies depending on the period of the borrowing under the Credit Facility, plus 3.5%. The alternate base rate is equal to the greater of (i) prime rate, (ii) the federal funds rate plus 0.5% or (iii) the three-month LIBOR plus 1.0%. We pay a commitment fee ranging from 0.5% to 1.0% per annum based on the size of the unused portion of the Credit Facility.</w:t>
      </w:r>
    </w:p>
    <w:p>
      <w:pPr>
        <w:spacing w:after="0" w:line="19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2019, we were in compliance with all covenants of the Credit Facility and we did not have any borrowings outstanding under the Credit Facility.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71"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March 31, 2019, the outstanding principal balance of the 2023 Notes was $50.0 million.</w:t>
      </w:r>
    </w:p>
    <w:p>
      <w:pPr>
        <w:spacing w:after="0" w:line="187"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On February 8, 2019, we closed the public offering of approximately $60.0 million in aggregate principal amount of our 6.000% notes due 2024, or the “2024 Notes” (and collectively with the 2023 Notes, the “Public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estimated offering expenses of $0.4 million, were approximately $66.5 million.</w:t>
      </w:r>
    </w:p>
    <w:p>
      <w:pPr>
        <w:spacing w:after="0" w:line="188" w:lineRule="exact"/>
        <w:rPr>
          <w:sz w:val="20"/>
          <w:szCs w:val="20"/>
          <w:color w:val="auto"/>
        </w:rPr>
      </w:pPr>
    </w:p>
    <w:p>
      <w:pPr>
        <w:ind w:left="200" w:right="240" w:firstLine="881"/>
        <w:spacing w:after="0" w:line="302" w:lineRule="auto"/>
        <w:rPr>
          <w:sz w:val="20"/>
          <w:szCs w:val="20"/>
          <w:color w:val="auto"/>
        </w:rPr>
      </w:pPr>
      <w:r>
        <w:rPr>
          <w:rFonts w:ascii="Arial" w:cs="Arial" w:eastAsia="Arial" w:hAnsi="Arial"/>
          <w:sz w:val="16"/>
          <w:szCs w:val="16"/>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As of March 31, 2019, the outstanding principal balance of the 2024 Notes was $69.0 million.</w:t>
      </w:r>
    </w:p>
    <w:p>
      <w:pPr>
        <w:spacing w:after="0" w:line="154" w:lineRule="exact"/>
        <w:rPr>
          <w:sz w:val="20"/>
          <w:szCs w:val="20"/>
          <w:color w:val="auto"/>
        </w:rPr>
      </w:pPr>
    </w:p>
    <w:p>
      <w:pPr>
        <w:jc w:val="both"/>
        <w:ind w:left="200" w:right="200" w:firstLine="881"/>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jc w:val="both"/>
        <w:ind w:left="200" w:right="160" w:firstLine="881"/>
        <w:spacing w:after="0" w:line="286" w:lineRule="auto"/>
        <w:rPr>
          <w:sz w:val="20"/>
          <w:szCs w:val="20"/>
          <w:color w:val="auto"/>
        </w:rPr>
      </w:pPr>
      <w:r>
        <w:rPr>
          <w:rFonts w:ascii="Arial" w:cs="Arial" w:eastAsia="Arial" w:hAnsi="Arial"/>
          <w:sz w:val="17"/>
          <w:szCs w:val="17"/>
          <w:color w:val="auto"/>
        </w:rPr>
        <w:t>As of March 31, 2019, the weighted average stated interest rates for our SBA debentures and the Public Notes were 3.369% and 5.947%, respectively. As of March 31, 2019, we had $90.0 million of unutilized commitment under our Credit Facility, and we were subject to a 1.000% fee on such amount. As of March 31, 2019, the weighted average stated interest rate on total debt outstanding was 4.426%.</w:t>
      </w:r>
    </w:p>
    <w:p>
      <w:pPr>
        <w:spacing w:after="0" w:line="166" w:lineRule="exact"/>
        <w:rPr>
          <w:sz w:val="20"/>
          <w:szCs w:val="20"/>
          <w:color w:val="auto"/>
        </w:rPr>
      </w:pPr>
    </w:p>
    <w:p>
      <w:pPr>
        <w:ind w:left="200" w:right="40" w:firstLine="881"/>
        <w:spacing w:after="0" w:line="270" w:lineRule="auto"/>
        <w:rPr>
          <w:sz w:val="20"/>
          <w:szCs w:val="20"/>
          <w:color w:val="auto"/>
        </w:rPr>
      </w:pPr>
      <w:r>
        <w:rPr>
          <w:rFonts w:ascii="Arial" w:cs="Arial" w:eastAsia="Arial" w:hAnsi="Arial"/>
          <w:sz w:val="17"/>
          <w:szCs w:val="17"/>
          <w:color w:val="auto"/>
        </w:rPr>
        <w:t>As a BDC, we are generally required to meet a coverage ratio of total assets to total senior securities, which include borrowings and any preferred stock we may issue in the future, of at least 200.0%.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the one-year anniversary of such approval.</w:t>
      </w:r>
    </w:p>
    <w:p>
      <w:pPr>
        <w:spacing w:after="0" w:line="182"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7, 2018, our stockholders voted to allow us to sell or otherwise issue common stock at a price below net asset value per share for a period of one year ending on the earlier of June 7, 2019 or the date of our 2019 Annual Meeting of Stockholders. We expect to present to our stockholders a similar proposal at our 2019 Annual Meeting of Stockholders. Our stockholders specified that the cumulative number of shares sold in each offering during the one-year period ending on the earlier of June 7, 2019 or the date of our 2019 Annual Meeting of Stockholders may not exceed 25.0% of our outstanding common stock immediately prior to each such sale.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w:t>
      </w:r>
    </w:p>
    <w:p>
      <w:pPr>
        <w:sectPr>
          <w:pgSz w:w="11900" w:h="16838" w:orient="portrait"/>
          <w:cols w:equalWidth="0" w:num="1">
            <w:col w:w="11200"/>
          </w:cols>
          <w:pgMar w:left="240" w:top="459" w:right="459" w:bottom="1440" w:gutter="0" w:footer="0" w:header="0"/>
        </w:sectPr>
      </w:pP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00"/>
          </w:cols>
          <w:pgMar w:left="240" w:top="459" w:right="4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2019. During the three months ended March 31, 2018, we repurchased 44,821 shares of common stock on the open market for $0.6 million. Refer to Note 8 to our consolidated financial statements for additional information concerning stock repurchases.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200" w:right="160" w:firstLine="881"/>
        <w:spacing w:after="0" w:line="255" w:lineRule="auto"/>
        <w:rPr>
          <w:sz w:val="20"/>
          <w:szCs w:val="20"/>
          <w:color w:val="auto"/>
        </w:rPr>
      </w:pPr>
      <w:r>
        <w:rPr>
          <w:rFonts w:ascii="Arial" w:cs="Arial" w:eastAsia="Arial" w:hAnsi="Arial"/>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89"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97" w:lineRule="exact"/>
        <w:rPr>
          <w:sz w:val="20"/>
          <w:szCs w:val="20"/>
          <w:color w:val="auto"/>
        </w:rPr>
      </w:pPr>
    </w:p>
    <w:p>
      <w:pPr>
        <w:ind w:left="1620" w:right="720" w:hanging="53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our investment advisor;</w:t>
      </w:r>
    </w:p>
    <w:p>
      <w:pPr>
        <w:spacing w:after="0" w:line="153" w:lineRule="exact"/>
        <w:rPr>
          <w:rFonts w:ascii="Arial" w:cs="Arial" w:eastAsia="Arial" w:hAnsi="Arial"/>
          <w:sz w:val="16"/>
          <w:szCs w:val="16"/>
          <w:color w:val="auto"/>
        </w:rPr>
      </w:pPr>
    </w:p>
    <w:p>
      <w:pPr>
        <w:ind w:left="1620" w:right="40" w:hanging="538"/>
        <w:spacing w:after="0" w:line="269"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12 and 16 of our portfolio company investments representing 28.3% and 36.0% of the total portfolio investments at fair value (exclusive of new portfolio company investments made during the three months ended March 31, 2019 and December 31, 2018, respectively) as of March 31, 2019 and December 31, 2018, respectively;</w:t>
      </w:r>
    </w:p>
    <w:p>
      <w:pPr>
        <w:spacing w:after="0" w:line="88" w:lineRule="exact"/>
        <w:rPr>
          <w:rFonts w:ascii="Arial" w:cs="Arial" w:eastAsia="Arial" w:hAnsi="Arial"/>
          <w:sz w:val="17"/>
          <w:szCs w:val="17"/>
          <w:color w:val="auto"/>
        </w:rPr>
      </w:pPr>
    </w:p>
    <w:p>
      <w:pPr>
        <w:ind w:left="1620" w:right="240" w:hanging="538"/>
        <w:spacing w:after="0" w:line="308"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620" w:right="120" w:hanging="53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left="200" w:right="340" w:firstLine="88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24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2"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92"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200" w:right="60" w:firstLine="881"/>
        <w:spacing w:after="0" w:line="308" w:lineRule="auto"/>
        <w:rPr>
          <w:sz w:val="20"/>
          <w:szCs w:val="20"/>
          <w:color w:val="auto"/>
        </w:rPr>
      </w:pPr>
      <w:r>
        <w:rPr>
          <w:rFonts w:ascii="Arial" w:cs="Arial" w:eastAsia="Arial" w:hAnsi="Arial"/>
          <w:sz w:val="17"/>
          <w:szCs w:val="17"/>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47" w:lineRule="exact"/>
        <w:rPr>
          <w:sz w:val="20"/>
          <w:szCs w:val="20"/>
          <w:color w:val="auto"/>
        </w:rPr>
      </w:pPr>
    </w:p>
    <w:p>
      <w:pPr>
        <w:ind w:left="200" w:right="300" w:firstLine="881"/>
        <w:spacing w:after="0" w:line="264" w:lineRule="auto"/>
        <w:rPr>
          <w:sz w:val="20"/>
          <w:szCs w:val="20"/>
          <w:color w:val="auto"/>
        </w:rPr>
      </w:pPr>
      <w:r>
        <w:rPr>
          <w:rFonts w:ascii="Arial" w:cs="Arial" w:eastAsia="Arial" w:hAnsi="Arial"/>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93" w:lineRule="exact"/>
        <w:rPr>
          <w:sz w:val="20"/>
          <w:szCs w:val="20"/>
          <w:color w:val="auto"/>
        </w:rPr>
      </w:pPr>
    </w:p>
    <w:p>
      <w:pPr>
        <w:ind w:left="200" w:right="360" w:firstLine="881"/>
        <w:spacing w:after="0" w:line="264" w:lineRule="auto"/>
        <w:rPr>
          <w:sz w:val="20"/>
          <w:szCs w:val="20"/>
          <w:color w:val="auto"/>
        </w:rPr>
      </w:pPr>
      <w:r>
        <w:rPr>
          <w:rFonts w:ascii="Arial" w:cs="Arial" w:eastAsia="Arial" w:hAnsi="Arial"/>
          <w:sz w:val="18"/>
          <w:szCs w:val="18"/>
          <w:i w:val="1"/>
          <w:iCs w:val="1"/>
          <w:color w:val="auto"/>
        </w:rPr>
        <w:t>Interest and dividend income</w:t>
      </w:r>
      <w:r>
        <w:rPr>
          <w:rFonts w:ascii="Arial" w:cs="Arial" w:eastAsia="Arial" w:hAnsi="Arial"/>
          <w:sz w:val="18"/>
          <w:szCs w:val="18"/>
          <w:color w:val="auto"/>
        </w:rPr>
        <w:t>. Interest and dividend income are recorded on the accrual basis to the extent that we expect to collect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24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47"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9"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w:t>
      </w:r>
      <w:r>
        <w:rPr>
          <w:rFonts w:ascii="Arial" w:cs="Arial" w:eastAsia="Arial" w:hAnsi="Arial"/>
          <w:sz w:val="17"/>
          <w:szCs w:val="17"/>
          <w:i w:val="1"/>
          <w:iCs w:val="1"/>
          <w:color w:val="auto"/>
        </w:rPr>
        <w:t xml:space="preserve"> </w:t>
      </w:r>
      <w:r>
        <w:rPr>
          <w:rFonts w:ascii="Arial" w:cs="Arial" w:eastAsia="Arial" w:hAnsi="Arial"/>
          <w:sz w:val="17"/>
          <w:szCs w:val="17"/>
          <w:color w:val="auto"/>
        </w:rPr>
        <w:t>when principal, interest or dividend payments become materially past due, or when there is reasonable doubt that principal, interest or dividends will be collected.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3"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In connection with our debt investments, we will sometimes receive warrants or other equity-related securities (Warrants).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73" w:lineRule="exact"/>
        <w:rPr>
          <w:sz w:val="20"/>
          <w:szCs w:val="20"/>
          <w:color w:val="auto"/>
        </w:rPr>
      </w:pPr>
    </w:p>
    <w:p>
      <w:pPr>
        <w:jc w:val="both"/>
        <w:ind w:left="200" w:right="200" w:firstLine="881"/>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We are currently evaluating the impact this ASU will have on our consolidated financial position or disclosures.</w:t>
      </w:r>
    </w:p>
    <w:p>
      <w:pPr>
        <w:spacing w:after="0" w:line="187"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 xml:space="preserve">In March 2019, the SEC issued Final Rule Release No. 33-10618, </w:t>
      </w:r>
      <w:r>
        <w:rPr>
          <w:rFonts w:ascii="Arial" w:cs="Arial" w:eastAsia="Arial" w:hAnsi="Arial"/>
          <w:sz w:val="17"/>
          <w:szCs w:val="17"/>
          <w:i w:val="1"/>
          <w:iCs w:val="1"/>
          <w:color w:val="auto"/>
        </w:rPr>
        <w:t>FAST Act Modernization and Simplification of Regulation S-K</w:t>
      </w:r>
      <w:r>
        <w:rPr>
          <w:rFonts w:ascii="Arial" w:cs="Arial" w:eastAsia="Arial" w:hAnsi="Arial"/>
          <w:sz w:val="17"/>
          <w:szCs w:val="17"/>
          <w:color w:val="auto"/>
        </w:rPr>
        <w:t>, which amends certain SEC disclosure requirements. The amendments are intended to simplify certain disclosure requirements, improve readability and navigability of disclosure documents, and discourage repetition and disclosure of immaterial information. The amendments are effective for all filings submitted on or after May 2, 2019. We adopted the amendments effective May 2, 2019. As it pertains to us for this Form 10-Q, the amendments include certain presentation changes that are not significant to our consolidated financial position or disclosures. We are still evaluating the impact this amendment will have on our other future periodic filings and registration statements.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undrawn revolving loans, other debt investments and capital commitments totaling $10.2 million and $10.9 million as of March 31, 2019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respectively. Such outstanding commitments are summarized in the following table (dollars in millions):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Total</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91"/>
              </w:rPr>
              <w:t>Unfunded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1"/>
              </w:rPr>
              <w:t>Unfunded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160" w:type="dxa"/>
            <w:vAlign w:val="bottom"/>
            <w:gridSpan w:val="3"/>
            <w:vMerge w:val="continue"/>
          </w:tcPr>
          <w:p>
            <w:pPr>
              <w:spacing w:after="0"/>
              <w:rPr>
                <w:sz w:val="13"/>
                <w:szCs w:val="13"/>
                <w:color w:val="auto"/>
              </w:rPr>
            </w:pPr>
          </w:p>
        </w:tc>
        <w:tc>
          <w:tcPr>
            <w:tcW w:w="1540" w:type="dxa"/>
            <w:vAlign w:val="bottom"/>
            <w:gridSpan w:val="4"/>
          </w:tcPr>
          <w:p>
            <w:pPr>
              <w:ind w:left="280"/>
              <w:spacing w:after="0" w:line="158" w:lineRule="exact"/>
              <w:rPr>
                <w:sz w:val="20"/>
                <w:szCs w:val="20"/>
                <w:color w:val="auto"/>
              </w:rPr>
            </w:pPr>
            <w:r>
              <w:rPr>
                <w:rFonts w:ascii="Arial" w:cs="Arial" w:eastAsia="Arial" w:hAnsi="Arial"/>
                <w:sz w:val="14"/>
                <w:szCs w:val="14"/>
                <w:b w:val="1"/>
                <w:bCs w:val="1"/>
                <w:color w:val="auto"/>
              </w:rPr>
              <w:t>Commitment</w:t>
            </w:r>
          </w:p>
        </w:tc>
        <w:tc>
          <w:tcPr>
            <w:tcW w:w="1560" w:type="dxa"/>
            <w:vAlign w:val="bottom"/>
            <w:gridSpan w:val="4"/>
          </w:tcPr>
          <w:p>
            <w:pPr>
              <w:ind w:left="280"/>
              <w:spacing w:after="0" w:line="158" w:lineRule="exact"/>
              <w:rPr>
                <w:sz w:val="20"/>
                <w:szCs w:val="20"/>
                <w:color w:val="auto"/>
              </w:rPr>
            </w:pPr>
            <w:r>
              <w:rPr>
                <w:rFonts w:ascii="Arial" w:cs="Arial" w:eastAsia="Arial" w:hAnsi="Arial"/>
                <w:sz w:val="14"/>
                <w:szCs w:val="14"/>
                <w:b w:val="1"/>
                <w:bCs w:val="1"/>
                <w:color w:val="auto"/>
              </w:rPr>
              <w:t>Commitment</w:t>
            </w:r>
          </w:p>
        </w:tc>
        <w:tc>
          <w:tcPr>
            <w:tcW w:w="1540" w:type="dxa"/>
            <w:vAlign w:val="bottom"/>
            <w:gridSpan w:val="4"/>
          </w:tcPr>
          <w:p>
            <w:pPr>
              <w:ind w:left="280"/>
              <w:spacing w:after="0" w:line="158" w:lineRule="exact"/>
              <w:rPr>
                <w:sz w:val="20"/>
                <w:szCs w:val="20"/>
                <w:color w:val="auto"/>
              </w:rPr>
            </w:pPr>
            <w:r>
              <w:rPr>
                <w:rFonts w:ascii="Arial" w:cs="Arial" w:eastAsia="Arial" w:hAnsi="Arial"/>
                <w:sz w:val="14"/>
                <w:szCs w:val="14"/>
                <w:b w:val="1"/>
                <w:bCs w:val="1"/>
                <w:color w:val="auto"/>
              </w:rPr>
              <w:t>Commitment</w:t>
            </w:r>
          </w:p>
        </w:tc>
        <w:tc>
          <w:tcPr>
            <w:tcW w:w="1340" w:type="dxa"/>
            <w:vAlign w:val="bottom"/>
            <w:gridSpan w:val="4"/>
          </w:tcPr>
          <w:p>
            <w:pPr>
              <w:ind w:left="28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American AllWaste LLC (dba WasteWater Transport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 Delayed Draw Commitment - 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Loan-B</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Common Equity (Units)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FDS Avionics Corp. (dba Flight Display Systems) -</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w w:val="97"/>
              </w:rPr>
              <w:t>Mesa Line Services, LLC - Delayed Draw Term Loan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Oaktree Medical Centre, P.C. (dba Pain Management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Associates) - Senior Secured Revolving Loan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Rhino Assembly Company, LLC - Delayed Draw</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Safety Products Group, LLC - Common Equity</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UBEO, LLC - Delayed Draw Term Loan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00" w:hanging="436"/>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2060" w:right="200" w:hanging="425"/>
        <w:spacing w:after="0" w:line="279" w:lineRule="auto"/>
        <w:tabs>
          <w:tab w:leader="none" w:pos="2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76" w:lineRule="exact"/>
        <w:rPr>
          <w:rFonts w:ascii="Arial" w:cs="Arial" w:eastAsia="Arial" w:hAnsi="Arial"/>
          <w:sz w:val="17"/>
          <w:szCs w:val="17"/>
          <w:color w:val="auto"/>
        </w:rPr>
      </w:pPr>
    </w:p>
    <w:p>
      <w:pPr>
        <w:ind w:left="2060" w:right="40" w:hanging="425"/>
        <w:spacing w:after="0" w:line="273" w:lineRule="auto"/>
        <w:tabs>
          <w:tab w:leader="none" w:pos="2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83" w:lineRule="exact"/>
        <w:rPr>
          <w:rFonts w:ascii="Arial" w:cs="Arial" w:eastAsia="Arial" w:hAnsi="Arial"/>
          <w:sz w:val="17"/>
          <w:szCs w:val="17"/>
          <w:color w:val="auto"/>
        </w:rPr>
      </w:pPr>
    </w:p>
    <w:p>
      <w:pPr>
        <w:jc w:val="both"/>
        <w:ind w:left="2060" w:right="180" w:hanging="425"/>
        <w:spacing w:after="0" w:line="342" w:lineRule="auto"/>
        <w:tabs>
          <w:tab w:leader="none" w:pos="2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2060" w:right="560" w:hanging="425"/>
        <w:spacing w:after="0" w:line="277" w:lineRule="auto"/>
        <w:tabs>
          <w:tab w:leader="none" w:pos="2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 (2) invest in securities in which the other is or proposes to be an investor; (3) file consolidated reports with the SEC; and (4) be subject to modified consolidated asset coverage requirements for senior securities issued by a BDC and its SBIC subsidiary. Fund II and Fund III have not elected to be treated as BDCs and are not party to this exemptive relief. The fourth exemption described above allows us to exclude any indebtedness guaranteed by the SBA and issued by Fund I from the asset coverage requirements applicable to us. Effective June 30, 2014, pursuant to separate exemptive relief from the SEC, any SBA debentures issued by Fund II and Fund III are not considered senior securities for purposes of the asset coverage requirements.</w:t>
      </w:r>
    </w:p>
    <w:p>
      <w:pPr>
        <w:spacing w:after="0" w:line="19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w:t>
      </w:r>
    </w:p>
    <w:p>
      <w:pPr>
        <w:sectPr>
          <w:pgSz w:w="11900" w:h="16838" w:orient="portrait"/>
          <w:cols w:equalWidth="0" w:num="1">
            <w:col w:w="11200"/>
          </w:cols>
          <w:pgMar w:left="240" w:top="459" w:right="459" w:bottom="690" w:gutter="0" w:footer="0" w:header="0"/>
        </w:sectPr>
      </w:pP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00"/>
          </w:cols>
          <w:pgMar w:left="240" w:top="459" w:right="459" w:bottom="69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204A-1 under the Advisers Act and in accordance with Rule 17j-1(c) under the 1940 Act.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200" w:right="40" w:firstLine="881"/>
        <w:spacing w:after="0" w:line="279" w:lineRule="auto"/>
        <w:rPr>
          <w:sz w:val="20"/>
          <w:szCs w:val="20"/>
          <w:color w:val="auto"/>
        </w:rPr>
      </w:pPr>
      <w:r>
        <w:rPr>
          <w:rFonts w:ascii="Arial" w:cs="Arial" w:eastAsia="Arial" w:hAnsi="Arial"/>
          <w:sz w:val="17"/>
          <w:szCs w:val="17"/>
          <w:color w:val="auto"/>
        </w:rPr>
        <w:t>On April 24, 2019, we executed an amendment and restatement of our Credit Facility, whereby, among other things, the total commitments under the Credit Facility increased from $90 million to $100 million, the final maturity date was extended from June 16, 2019 to April 24, 2023, and the pricing on the Credit Facility was reduced from LIBOR plus 3.50% to LIBOR plus 3.00%. The amendment also includes an expansion of the accordion feature to $250 million to accommodate our further growth, and modifies certain covenants to the Credit Facility.</w:t>
      </w:r>
    </w:p>
    <w:p>
      <w:pPr>
        <w:spacing w:after="0" w:line="171" w:lineRule="exact"/>
        <w:rPr>
          <w:sz w:val="20"/>
          <w:szCs w:val="20"/>
          <w:color w:val="auto"/>
        </w:rPr>
      </w:pPr>
    </w:p>
    <w:p>
      <w:pPr>
        <w:jc w:val="both"/>
        <w:ind w:left="200" w:right="40" w:firstLine="881"/>
        <w:spacing w:after="0" w:line="277" w:lineRule="auto"/>
        <w:rPr>
          <w:sz w:val="20"/>
          <w:szCs w:val="20"/>
          <w:color w:val="auto"/>
        </w:rPr>
      </w:pPr>
      <w:r>
        <w:rPr>
          <w:rFonts w:ascii="Arial" w:cs="Arial" w:eastAsia="Arial" w:hAnsi="Arial"/>
          <w:sz w:val="18"/>
          <w:szCs w:val="18"/>
          <w:color w:val="auto"/>
        </w:rPr>
        <w:t>On April 29, 2019, our Board declared a regular quarterly dividend of $0.39 per share payable on June 21, 2019 to stockholders of record as of June 7, 2019.</w:t>
      </w:r>
    </w:p>
    <w:p>
      <w:pPr>
        <w:spacing w:after="0" w:line="170"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the Company will become subject to the 150% asset coverage ratio effective as of April 29, 2020. See Item IA. Risk Factors –“Recent legislation may allow us to incur additional leverage.”</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March 31, 2019 and December 31, 2018, eight and seven portfolio company’s debt investments, respectively, bore interest at a variable rate, which represented $80.3 million and $75.9 million of our portfolio on a fair value basis, respectively, and the remainder of our debt portfolio was comprised entirely of fixed rate investments. Our pooled SBA debentures and our Public Notes bear interest at fixed rates. Our Credit Facility bears interest, subject to our election, on a per annum basis equal to (i) the alternate base rate plus 2.5% or</w:t>
      </w:r>
    </w:p>
    <w:p>
      <w:pPr>
        <w:spacing w:after="0" w:line="1" w:lineRule="exact"/>
        <w:rPr>
          <w:sz w:val="20"/>
          <w:szCs w:val="20"/>
          <w:color w:val="auto"/>
        </w:rPr>
      </w:pPr>
    </w:p>
    <w:p>
      <w:pPr>
        <w:ind w:left="200" w:firstLine="4"/>
        <w:spacing w:after="0" w:line="261" w:lineRule="auto"/>
        <w:tabs>
          <w:tab w:leader="none" w:pos="4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applicable LIBOR, which varies depending on the period of the borrowing under the Credit Facility, plus 3.5%. The alternate base rate is equal to the greater of (i) prime rate, (ii) the federal funds rate plus 0.5% or (iii) the three-month LIBOR plus 1.0%.</w:t>
      </w:r>
    </w:p>
    <w:p>
      <w:pPr>
        <w:spacing w:after="0" w:line="18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March 31, 2019 (dollars in millions):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2"/>
              </w:rPr>
              <w:t>Interest Income</w:t>
            </w:r>
          </w:p>
        </w:tc>
        <w:tc>
          <w:tcPr>
            <w:tcW w:w="1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0"/>
              </w:rPr>
              <w:t>Interest Expense</w:t>
            </w:r>
          </w:p>
        </w:tc>
        <w:tc>
          <w:tcPr>
            <w:tcW w:w="2440" w:type="dxa"/>
            <w:vAlign w:val="bottom"/>
            <w:gridSpan w:val="4"/>
            <w:vMerge w:val="restart"/>
          </w:tcPr>
          <w:p>
            <w:pPr>
              <w:ind w:left="1060"/>
              <w:spacing w:after="0"/>
              <w:rPr>
                <w:sz w:val="20"/>
                <w:szCs w:val="20"/>
                <w:color w:val="auto"/>
              </w:rPr>
            </w:pPr>
            <w:r>
              <w:rPr>
                <w:rFonts w:ascii="Arial" w:cs="Arial" w:eastAsia="Arial" w:hAnsi="Arial"/>
                <w:sz w:val="14"/>
                <w:szCs w:val="14"/>
                <w:b w:val="1"/>
                <w:bCs w:val="1"/>
                <w:color w:val="auto"/>
              </w:rPr>
              <w:t>Net Increase</w:t>
            </w:r>
          </w:p>
        </w:tc>
        <w:tc>
          <w:tcPr>
            <w:tcW w:w="160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Basis Point Increase (Decrease)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Increase</w:t>
            </w:r>
          </w:p>
        </w:tc>
        <w:tc>
          <w:tcPr>
            <w:tcW w:w="2440" w:type="dxa"/>
            <w:vAlign w:val="bottom"/>
            <w:gridSpan w:val="4"/>
            <w:vMerge w:val="continue"/>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2"/>
                <w:szCs w:val="12"/>
                <w:b w:val="1"/>
                <w:bCs w:val="1"/>
                <w:color w:val="auto"/>
                <w:w w:val="88"/>
              </w:rPr>
              <w:t>(1)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3"/>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(3)</w:t>
            </w:r>
          </w:p>
        </w:tc>
        <w:tc>
          <w:tcPr>
            <w:tcW w:w="1080" w:type="dxa"/>
            <w:vAlign w:val="bottom"/>
          </w:tcPr>
          <w:p>
            <w:pPr>
              <w:spacing w:after="0"/>
              <w:rPr>
                <w:sz w:val="13"/>
                <w:szCs w:val="13"/>
                <w:color w:val="auto"/>
              </w:rPr>
            </w:pPr>
          </w:p>
        </w:tc>
        <w:tc>
          <w:tcPr>
            <w:tcW w:w="136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94"/>
              </w:rPr>
              <w:t>(Decrease)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7"/>
              </w:rPr>
              <w:t xml:space="preserve">Income </w:t>
            </w:r>
            <w:r>
              <w:rPr>
                <w:rFonts w:ascii="Arial" w:cs="Arial" w:eastAsia="Arial" w:hAnsi="Arial"/>
                <w:sz w:val="12"/>
                <w:szCs w:val="12"/>
                <w:b w:val="1"/>
                <w:bCs w:val="1"/>
                <w:color w:val="auto"/>
                <w:w w:val="97"/>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10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0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9"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March 31, 2019, we did not have any borrowings outstanding under our Credit Facility, and our remaining debt obligations all carry fixed interest rates.</w:t>
      </w:r>
    </w:p>
    <w:p>
      <w:pPr>
        <w:spacing w:after="0" w:line="32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Changesin Internal Control over Financial Reporting</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2019 that have materially affected, or are reasonably likely to materially affect, our internal control over financial reporting.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2018 and filed with the SEC on February 28, 2019,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assets). However, the Small Business Credit Availability Act, which was signed into law on March 23, 2018, has modified the 1940 Act by allowing a BDC to increase the maximum amount of leverage it may incur from an asset coverage ratio of 200% to an asset coverage ratio of 150%,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6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As a result of this legislation,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2018, the Board extended the Stock Repurchase Program through December 31, 2019,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During the three months ended March 31, 2019, we did not make any repurchases of common stock under the Stock Repurchase Program. The following table provides information regarding such repurchases of our common stock (dollars in millions, except per share data):</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left="58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660" w:type="dxa"/>
            <w:vAlign w:val="bottom"/>
          </w:tcPr>
          <w:p>
            <w:pPr>
              <w:spacing w:after="0"/>
              <w:rPr>
                <w:sz w:val="12"/>
                <w:szCs w:val="12"/>
                <w:color w:val="auto"/>
              </w:rPr>
            </w:pPr>
          </w:p>
        </w:tc>
        <w:tc>
          <w:tcPr>
            <w:tcW w:w="13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62"/>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3"/>
          </w:tcPr>
          <w:p>
            <w:pPr>
              <w:ind w:left="660"/>
              <w:spacing w:after="0"/>
              <w:rPr>
                <w:sz w:val="20"/>
                <w:szCs w:val="20"/>
                <w:color w:val="auto"/>
              </w:rPr>
            </w:pPr>
            <w:r>
              <w:rPr>
                <w:rFonts w:ascii="Arial" w:cs="Arial" w:eastAsia="Arial" w:hAnsi="Arial"/>
                <w:sz w:val="14"/>
                <w:szCs w:val="14"/>
                <w:b w:val="1"/>
                <w:bCs w:val="1"/>
                <w:color w:val="auto"/>
                <w:w w:val="91"/>
              </w:rPr>
              <w:t>Price Paid</w:t>
            </w: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Under the Stock</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1400" w:type="dxa"/>
            <w:vAlign w:val="bottom"/>
            <w:gridSpan w:val="2"/>
          </w:tcPr>
          <w:p>
            <w:pPr>
              <w:jc w:val="center"/>
              <w:ind w:left="468"/>
              <w:spacing w:after="0" w:line="158"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66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1"/>
              </w:rPr>
              <w:t>Per Share</w:t>
            </w:r>
          </w:p>
        </w:tc>
        <w:tc>
          <w:tcPr>
            <w:tcW w:w="66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Programs</w:t>
            </w:r>
          </w:p>
        </w:tc>
        <w:tc>
          <w:tcPr>
            <w:tcW w:w="2020" w:type="dxa"/>
            <w:vAlign w:val="bottom"/>
            <w:gridSpan w:val="4"/>
          </w:tcPr>
          <w:p>
            <w:pPr>
              <w:jc w:val="center"/>
              <w:ind w:left="528"/>
              <w:spacing w:after="0" w:line="158" w:lineRule="exact"/>
              <w:rPr>
                <w:sz w:val="20"/>
                <w:szCs w:val="20"/>
                <w:color w:val="auto"/>
              </w:rPr>
            </w:pPr>
            <w:r>
              <w:rPr>
                <w:rFonts w:ascii="Arial" w:cs="Arial" w:eastAsia="Arial" w:hAnsi="Arial"/>
                <w:sz w:val="14"/>
                <w:szCs w:val="14"/>
                <w:b w:val="1"/>
                <w:bCs w:val="1"/>
                <w:color w:val="auto"/>
                <w:w w:val="91"/>
              </w:rPr>
              <w:t>Repurchase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January 31, 2019</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February 1, 2019 through February 28, 2019</w:t>
            </w:r>
          </w:p>
        </w:tc>
        <w:tc>
          <w:tcPr>
            <w:tcW w:w="5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2019 through March 31, 2019</w:t>
            </w:r>
          </w:p>
        </w:tc>
        <w:tc>
          <w:tcPr>
            <w:tcW w:w="5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80" w:hanging="436"/>
        <w:spacing w:after="0" w:line="264"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three months ended March 31, 2019, we purchased and reissued shares of common stock to satisfy the DRIP obligation as follows: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5160" w:type="dxa"/>
            <w:vAlign w:val="bottom"/>
            <w:vMerge w:val="restart"/>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Price Paid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8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660" w:type="dxa"/>
            <w:vAlign w:val="bottom"/>
          </w:tcPr>
          <w:p>
            <w:pPr>
              <w:spacing w:after="0"/>
              <w:rPr>
                <w:sz w:val="15"/>
                <w:szCs w:val="15"/>
                <w:color w:val="auto"/>
              </w:rPr>
            </w:pPr>
          </w:p>
        </w:tc>
        <w:tc>
          <w:tcPr>
            <w:tcW w:w="9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2019 through March 31, 2019</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b w:val="1"/>
          <w:bCs w:val="1"/>
          <w:i w:val="1"/>
          <w:i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240" w:top="459" w:right="7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0"/>
              </w:rPr>
              <w:t>Chief Executive Officer Certification Pursuant to Rule 13a-14 of the Securities Exchange Act of 1934, as adopted pursuant to Section 302</w:t>
            </w:r>
          </w:p>
        </w:tc>
      </w:tr>
      <w:tr>
        <w:trPr>
          <w:trHeight w:val="230"/>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of the Sarbanes-Oxley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1"/>
              </w:rPr>
              <w:t>Chief Financial Officer Certification Pursuant to Rule 13a-14 of the Securities Exchange Act of 1934, as adopted pursuant to Section 302</w:t>
            </w:r>
          </w:p>
        </w:tc>
      </w:tr>
      <w:tr>
        <w:trPr>
          <w:trHeight w:val="230"/>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of the Sarbanes-Oxley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Section 1350, Chapter 63 of Title 18, United States Code, as adopted pursuant to Section 906 of the Sarbanes-</w:t>
            </w:r>
          </w:p>
        </w:tc>
      </w:tr>
      <w:tr>
        <w:trPr>
          <w:trHeight w:val="230"/>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Oxley Act of 2002.</w:t>
            </w:r>
          </w:p>
        </w:tc>
      </w:tr>
      <w:tr>
        <w:trPr>
          <w:trHeight w:val="365"/>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ind w:left="470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jc w:val="center"/>
              <w:ind w:right="38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2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302 of the Sarbanes-Oxley Act of 2002.</w:t>
              </w:r>
            </w:hyperlink>
          </w:p>
        </w:tc>
        <w:tc>
          <w:tcPr>
            <w:tcW w:w="7060" w:type="dxa"/>
            <w:vAlign w:val="bottom"/>
            <w:gridSpan w:val="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9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of the Sarbanes-Oxley Act of 2002.</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9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Certification pursuant to Section 1350, Chapter 63 of Title 18, United States Code, as adopted pursuant to Section 906 of the Sarbanes-</w:t>
              </w:r>
            </w:hyperlink>
          </w:p>
        </w:tc>
        <w:tc>
          <w:tcPr>
            <w:tcW w:w="2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Oxley Act of 2002.</w:t>
              </w:r>
            </w:hyperlink>
          </w:p>
        </w:tc>
        <w:tc>
          <w:tcPr>
            <w:tcW w:w="8540" w:type="dxa"/>
            <w:vAlign w:val="bottom"/>
            <w:gridSpan w:val="7"/>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5280" w:type="dxa"/>
            <w:vAlign w:val="bottom"/>
            <w:gridSpan w:val="5"/>
          </w:tcPr>
          <w:p>
            <w:pPr>
              <w:jc w:val="right"/>
              <w:ind w:right="11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80"/>
          </w:cols>
          <w:pgMar w:left="240" w:top="459" w:right="11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March 31, 2019,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860" w:hanging="424"/>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0"/>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9"/>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Roman"/>
      <w:start w:val="2"/>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2019-12-28T13:31:26Z</dcterms:created>
  <dcterms:modified xsi:type="dcterms:W3CDTF">2019-12-28T13:31:26Z</dcterms:modified>
</cp:coreProperties>
</file>