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________________</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8"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500"/>
        <w:spacing w:after="0"/>
        <w:rPr>
          <w:sz w:val="20"/>
          <w:szCs w:val="20"/>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53" w:lineRule="exact"/>
        <w:rPr>
          <w:sz w:val="24"/>
          <w:szCs w:val="24"/>
          <w:color w:val="auto"/>
        </w:rPr>
      </w:pPr>
    </w:p>
    <w:p>
      <w:pPr>
        <w:ind w:left="3580"/>
        <w:spacing w:after="0"/>
        <w:rPr>
          <w:sz w:val="20"/>
          <w:szCs w:val="20"/>
          <w:color w:val="auto"/>
        </w:rPr>
      </w:pPr>
      <w:r>
        <w:rPr>
          <w:rFonts w:ascii="Arial" w:cs="Arial" w:eastAsia="Arial" w:hAnsi="Arial"/>
          <w:sz w:val="22"/>
          <w:szCs w:val="22"/>
          <w:b w:val="1"/>
          <w:bCs w:val="1"/>
          <w:color w:val="auto"/>
        </w:rPr>
        <w:t>For the fiscal year ended December 31, 2021</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500" w:right="240"/>
        <w:spacing w:after="0" w:line="235"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5" w:lineRule="exact"/>
        <w:rPr>
          <w:sz w:val="24"/>
          <w:szCs w:val="24"/>
          <w:color w:val="auto"/>
        </w:rPr>
      </w:pPr>
    </w:p>
    <w:p>
      <w:pPr>
        <w:ind w:left="3460"/>
        <w:spacing w:after="0"/>
        <w:tabs>
          <w:tab w:leader="none" w:pos="69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71"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267970</wp:posOffset>
            </wp:positionV>
            <wp:extent cx="1131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FIDUS INVESTMENT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6" w:lineRule="exact"/>
        <w:rPr>
          <w:sz w:val="24"/>
          <w:szCs w:val="24"/>
          <w:color w:val="auto"/>
        </w:rPr>
      </w:pPr>
    </w:p>
    <w:tbl>
      <w:tblPr>
        <w:tblLayout w:type="fixed"/>
        <w:tblInd w:w="10" w:type="dxa"/>
        <w:tblCellMar>
          <w:top w:w="0" w:type="dxa"/>
          <w:left w:w="0" w:type="dxa"/>
          <w:bottom w:w="0" w:type="dxa"/>
          <w:right w:w="0" w:type="dxa"/>
        </w:tblCellMar>
      </w:tblPr>
      <w:tr>
        <w:trPr>
          <w:trHeight w:val="208"/>
        </w:trPr>
        <w:tc>
          <w:tcPr>
            <w:tcW w:w="4000" w:type="dxa"/>
            <w:vAlign w:val="bottom"/>
            <w:gridSpan w:val="2"/>
          </w:tcPr>
          <w:p>
            <w:pPr>
              <w:jc w:val="center"/>
              <w:ind w:left="1540"/>
              <w:spacing w:after="0"/>
              <w:rPr>
                <w:sz w:val="20"/>
                <w:szCs w:val="20"/>
                <w:color w:val="auto"/>
              </w:rPr>
            </w:pPr>
            <w:r>
              <w:rPr>
                <w:rFonts w:ascii="Arial" w:cs="Arial" w:eastAsia="Arial" w:hAnsi="Arial"/>
                <w:sz w:val="18"/>
                <w:szCs w:val="18"/>
                <w:b w:val="1"/>
                <w:bCs w:val="1"/>
                <w:color w:val="auto"/>
                <w:w w:val="98"/>
              </w:rPr>
              <w:t>Maryland</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60" w:type="dxa"/>
            <w:vAlign w:val="bottom"/>
          </w:tcPr>
          <w:p>
            <w:pPr>
              <w:jc w:val="right"/>
              <w:ind w:right="2182"/>
              <w:spacing w:after="0"/>
              <w:rPr>
                <w:sz w:val="20"/>
                <w:szCs w:val="20"/>
                <w:color w:val="auto"/>
              </w:rPr>
            </w:pPr>
            <w:r>
              <w:rPr>
                <w:rFonts w:ascii="Arial" w:cs="Arial" w:eastAsia="Arial" w:hAnsi="Arial"/>
                <w:sz w:val="18"/>
                <w:szCs w:val="18"/>
                <w:b w:val="1"/>
                <w:bCs w:val="1"/>
                <w:color w:val="auto"/>
              </w:rPr>
              <w:t>27-5017321</w:t>
            </w:r>
          </w:p>
        </w:tc>
        <w:tc>
          <w:tcPr>
            <w:tcW w:w="0" w:type="dxa"/>
            <w:vAlign w:val="bottom"/>
          </w:tcPr>
          <w:p>
            <w:pPr>
              <w:spacing w:after="0"/>
              <w:rPr>
                <w:sz w:val="1"/>
                <w:szCs w:val="1"/>
                <w:color w:val="auto"/>
              </w:rPr>
            </w:pPr>
          </w:p>
        </w:tc>
      </w:tr>
      <w:tr>
        <w:trPr>
          <w:trHeight w:val="135"/>
        </w:trPr>
        <w:tc>
          <w:tcPr>
            <w:tcW w:w="4000" w:type="dxa"/>
            <w:vAlign w:val="bottom"/>
            <w:gridSpan w:val="2"/>
          </w:tcPr>
          <w:p>
            <w:pPr>
              <w:jc w:val="center"/>
              <w:ind w:left="1540"/>
              <w:spacing w:after="0" w:line="135" w:lineRule="exact"/>
              <w:rPr>
                <w:sz w:val="20"/>
                <w:szCs w:val="20"/>
                <w:color w:val="auto"/>
              </w:rPr>
            </w:pPr>
            <w:r>
              <w:rPr>
                <w:rFonts w:ascii="Arial" w:cs="Arial" w:eastAsia="Arial" w:hAnsi="Arial"/>
                <w:sz w:val="13"/>
                <w:szCs w:val="13"/>
                <w:b w:val="1"/>
                <w:bCs w:val="1"/>
                <w:color w:val="auto"/>
                <w:w w:val="94"/>
              </w:rPr>
              <w:t>(State or Other Jurisdiction of</w:t>
            </w:r>
          </w:p>
        </w:tc>
        <w:tc>
          <w:tcPr>
            <w:tcW w:w="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960" w:type="dxa"/>
            <w:vAlign w:val="bottom"/>
          </w:tcPr>
          <w:p>
            <w:pPr>
              <w:jc w:val="center"/>
              <w:ind w:right="1342"/>
              <w:spacing w:after="0" w:line="135"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4000" w:type="dxa"/>
            <w:vAlign w:val="bottom"/>
            <w:gridSpan w:val="2"/>
          </w:tcPr>
          <w:p>
            <w:pPr>
              <w:jc w:val="center"/>
              <w:ind w:left="1540"/>
              <w:spacing w:after="0"/>
              <w:rPr>
                <w:sz w:val="20"/>
                <w:szCs w:val="20"/>
                <w:color w:val="auto"/>
              </w:rPr>
            </w:pPr>
            <w:r>
              <w:rPr>
                <w:rFonts w:ascii="Arial" w:cs="Arial" w:eastAsia="Arial" w:hAnsi="Arial"/>
                <w:sz w:val="13"/>
                <w:szCs w:val="13"/>
                <w:b w:val="1"/>
                <w:bCs w:val="1"/>
                <w:color w:val="auto"/>
                <w:w w:val="96"/>
              </w:rPr>
              <w:t>Incorporation or Organization)</w:t>
            </w:r>
          </w:p>
        </w:tc>
        <w:tc>
          <w:tcPr>
            <w:tcW w:w="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960" w:type="dxa"/>
            <w:vAlign w:val="bottom"/>
          </w:tcPr>
          <w:p>
            <w:pPr>
              <w:jc w:val="center"/>
              <w:ind w:right="1342"/>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298"/>
        </w:trPr>
        <w:tc>
          <w:tcPr>
            <w:tcW w:w="7280" w:type="dxa"/>
            <w:vAlign w:val="bottom"/>
            <w:gridSpan w:val="6"/>
          </w:tcPr>
          <w:p>
            <w:pPr>
              <w:jc w:val="center"/>
              <w:ind w:right="1660"/>
              <w:spacing w:after="0"/>
              <w:rPr>
                <w:sz w:val="20"/>
                <w:szCs w:val="20"/>
                <w:color w:val="auto"/>
              </w:rPr>
            </w:pPr>
            <w:r>
              <w:rPr>
                <w:rFonts w:ascii="Arial" w:cs="Arial" w:eastAsia="Arial" w:hAnsi="Arial"/>
                <w:sz w:val="18"/>
                <w:szCs w:val="18"/>
                <w:b w:val="1"/>
                <w:bCs w:val="1"/>
                <w:color w:val="auto"/>
                <w:w w:val="90"/>
              </w:rPr>
              <w:t>1603 Orrington Avenue, Suite 1005</w:t>
            </w:r>
          </w:p>
        </w:tc>
        <w:tc>
          <w:tcPr>
            <w:tcW w:w="3960" w:type="dxa"/>
            <w:vAlign w:val="bottom"/>
            <w:vMerge w:val="restart"/>
          </w:tcPr>
          <w:p>
            <w:pPr>
              <w:jc w:val="right"/>
              <w:ind w:right="2382"/>
              <w:spacing w:after="0"/>
              <w:rPr>
                <w:sz w:val="20"/>
                <w:szCs w:val="20"/>
                <w:color w:val="auto"/>
              </w:rPr>
            </w:pPr>
            <w:r>
              <w:rPr>
                <w:rFonts w:ascii="Arial" w:cs="Arial" w:eastAsia="Arial" w:hAnsi="Arial"/>
                <w:sz w:val="18"/>
                <w:szCs w:val="18"/>
                <w:b w:val="1"/>
                <w:bCs w:val="1"/>
                <w:color w:val="auto"/>
              </w:rPr>
              <w:t>60201</w:t>
            </w:r>
          </w:p>
        </w:tc>
        <w:tc>
          <w:tcPr>
            <w:tcW w:w="0" w:type="dxa"/>
            <w:vAlign w:val="bottom"/>
          </w:tcPr>
          <w:p>
            <w:pPr>
              <w:spacing w:after="0"/>
              <w:rPr>
                <w:sz w:val="1"/>
                <w:szCs w:val="1"/>
                <w:color w:val="auto"/>
              </w:rPr>
            </w:pPr>
          </w:p>
        </w:tc>
      </w:tr>
      <w:tr>
        <w:trPr>
          <w:trHeight w:val="203"/>
        </w:trPr>
        <w:tc>
          <w:tcPr>
            <w:tcW w:w="4000" w:type="dxa"/>
            <w:vAlign w:val="bottom"/>
            <w:gridSpan w:val="2"/>
          </w:tcPr>
          <w:p>
            <w:pPr>
              <w:jc w:val="center"/>
              <w:ind w:left="1540"/>
              <w:spacing w:after="0" w:line="203" w:lineRule="exact"/>
              <w:rPr>
                <w:sz w:val="20"/>
                <w:szCs w:val="20"/>
                <w:color w:val="auto"/>
              </w:rPr>
            </w:pPr>
            <w:r>
              <w:rPr>
                <w:rFonts w:ascii="Arial" w:cs="Arial" w:eastAsia="Arial" w:hAnsi="Arial"/>
                <w:sz w:val="18"/>
                <w:szCs w:val="18"/>
                <w:b w:val="1"/>
                <w:bCs w:val="1"/>
                <w:color w:val="auto"/>
                <w:w w:val="90"/>
              </w:rPr>
              <w:t>Evanston, Illinois</w:t>
            </w: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00" w:type="dxa"/>
            <w:vAlign w:val="bottom"/>
            <w:gridSpan w:val="2"/>
          </w:tcPr>
          <w:p>
            <w:pPr>
              <w:jc w:val="center"/>
              <w:ind w:left="154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960" w:type="dxa"/>
            <w:vAlign w:val="bottom"/>
          </w:tcPr>
          <w:p>
            <w:pPr>
              <w:jc w:val="center"/>
              <w:ind w:right="1342"/>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271"/>
        </w:trPr>
        <w:tc>
          <w:tcPr>
            <w:tcW w:w="3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20" w:type="dxa"/>
            <w:vAlign w:val="bottom"/>
            <w:gridSpan w:val="3"/>
          </w:tcPr>
          <w:p>
            <w:pPr>
              <w:jc w:val="center"/>
              <w:ind w:left="644"/>
              <w:spacing w:after="0"/>
              <w:rPr>
                <w:sz w:val="20"/>
                <w:szCs w:val="20"/>
                <w:color w:val="auto"/>
              </w:rPr>
            </w:pPr>
            <w:r>
              <w:rPr>
                <w:rFonts w:ascii="Arial" w:cs="Arial" w:eastAsia="Arial" w:hAnsi="Arial"/>
                <w:sz w:val="18"/>
                <w:szCs w:val="18"/>
                <w:b w:val="1"/>
                <w:bCs w:val="1"/>
                <w:color w:val="auto"/>
                <w:w w:val="90"/>
              </w:rPr>
              <w:t>(847) 859-3940</w:t>
            </w:r>
          </w:p>
        </w:tc>
        <w:tc>
          <w:tcPr>
            <w:tcW w:w="7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3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8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396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7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267"/>
        </w:trPr>
        <w:tc>
          <w:tcPr>
            <w:tcW w:w="39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2"/>
          </w:tcPr>
          <w:p>
            <w:pPr>
              <w:spacing w:after="0"/>
              <w:rPr>
                <w:sz w:val="23"/>
                <w:szCs w:val="23"/>
                <w:color w:val="auto"/>
              </w:rPr>
            </w:pPr>
          </w:p>
        </w:tc>
        <w:tc>
          <w:tcPr>
            <w:tcW w:w="1100" w:type="dxa"/>
            <w:vAlign w:val="bottom"/>
            <w:tcBorders>
              <w:bottom w:val="single" w:sz="8" w:color="auto"/>
            </w:tcBorders>
            <w:gridSpan w:val="2"/>
          </w:tcPr>
          <w:p>
            <w:pPr>
              <w:spacing w:after="0"/>
              <w:rPr>
                <w:sz w:val="23"/>
                <w:szCs w:val="23"/>
                <w:color w:val="auto"/>
              </w:rPr>
            </w:pPr>
          </w:p>
        </w:tc>
        <w:tc>
          <w:tcPr>
            <w:tcW w:w="3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100" w:type="dxa"/>
            <w:vAlign w:val="bottom"/>
            <w:tcBorders>
              <w:bottom w:val="single" w:sz="8" w:color="auto"/>
            </w:tcBorders>
            <w:gridSpan w:val="2"/>
          </w:tcPr>
          <w:p>
            <w:pPr>
              <w:spacing w:after="0"/>
              <w:rPr>
                <w:sz w:val="20"/>
                <w:szCs w:val="20"/>
                <w:color w:val="auto"/>
              </w:rPr>
            </w:pPr>
          </w:p>
        </w:tc>
        <w:tc>
          <w:tcPr>
            <w:tcW w:w="3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8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730"/>
              <w:spacing w:after="0"/>
              <w:rPr>
                <w:sz w:val="20"/>
                <w:szCs w:val="20"/>
                <w:color w:val="auto"/>
              </w:rPr>
            </w:pPr>
            <w:r>
              <w:rPr>
                <w:rFonts w:ascii="Arial" w:cs="Arial" w:eastAsia="Arial" w:hAnsi="Arial"/>
                <w:sz w:val="18"/>
                <w:szCs w:val="18"/>
                <w:color w:val="auto"/>
                <w:w w:val="93"/>
              </w:rPr>
              <w:t>FDUS</w:t>
            </w:r>
          </w:p>
        </w:tc>
        <w:tc>
          <w:tcPr>
            <w:tcW w:w="1100" w:type="dxa"/>
            <w:vAlign w:val="bottom"/>
            <w:tcBorders>
              <w:bottom w:val="single" w:sz="8" w:color="auto"/>
            </w:tcBorders>
            <w:gridSpan w:val="2"/>
          </w:tcPr>
          <w:p>
            <w:pPr>
              <w:spacing w:after="0"/>
              <w:rPr>
                <w:sz w:val="24"/>
                <w:szCs w:val="24"/>
                <w:color w:val="auto"/>
              </w:rPr>
            </w:pPr>
          </w:p>
        </w:tc>
        <w:tc>
          <w:tcPr>
            <w:tcW w:w="3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266065</wp:posOffset>
            </wp:positionV>
            <wp:extent cx="11315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8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77" w:lineRule="exact"/>
        <w:rPr>
          <w:sz w:val="24"/>
          <w:szCs w:val="24"/>
          <w:color w:val="auto"/>
        </w:rPr>
      </w:pPr>
    </w:p>
    <w:p>
      <w:pPr>
        <w:ind w:left="540"/>
        <w:spacing w:after="0"/>
        <w:tabs>
          <w:tab w:leader="none" w:pos="12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58" w:lineRule="exact"/>
        <w:rPr>
          <w:sz w:val="24"/>
          <w:szCs w:val="24"/>
          <w:color w:val="auto"/>
        </w:rPr>
      </w:pPr>
    </w:p>
    <w:p>
      <w:pPr>
        <w:ind w:left="48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158" w:lineRule="exact"/>
        <w:rPr>
          <w:sz w:val="24"/>
          <w:szCs w:val="24"/>
          <w:color w:val="auto"/>
        </w:rPr>
      </w:pPr>
    </w:p>
    <w:p>
      <w:pPr>
        <w:ind w:left="580"/>
        <w:spacing w:after="0"/>
        <w:tabs>
          <w:tab w:leader="none" w:pos="1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58" w:lineRule="exact"/>
        <w:rPr>
          <w:sz w:val="24"/>
          <w:szCs w:val="24"/>
          <w:color w:val="auto"/>
        </w:rPr>
      </w:pPr>
    </w:p>
    <w:p>
      <w:pPr>
        <w:ind w:right="60" w:firstLine="478"/>
        <w:spacing w:after="0" w:line="27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2600" w:val="left"/>
          <w:tab w:leader="none" w:pos="3340" w:val="left"/>
        </w:tabs>
        <w:rPr>
          <w:sz w:val="20"/>
          <w:szCs w:val="20"/>
          <w:color w:val="auto"/>
        </w:rPr>
      </w:pPr>
      <w:r>
        <w:rPr>
          <w:rFonts w:ascii="Arial" w:cs="Arial" w:eastAsia="Arial" w:hAnsi="Arial"/>
          <w:sz w:val="18"/>
          <w:szCs w:val="18"/>
          <w:color w:val="auto"/>
        </w:rPr>
        <w:t>requirements for the past 90 days.</w:t>
        <w:tab/>
        <w:t>Yes</w:t>
      </w:r>
      <w:r>
        <w:rPr>
          <w:sz w:val="20"/>
          <w:szCs w:val="20"/>
          <w:color w:val="auto"/>
        </w:rPr>
        <w:tab/>
      </w:r>
      <w:r>
        <w:rPr>
          <w:rFonts w:ascii="Arial" w:cs="Arial" w:eastAsia="Arial" w:hAnsi="Arial"/>
          <w:sz w:val="17"/>
          <w:szCs w:val="17"/>
          <w:color w:val="auto"/>
        </w:rPr>
        <w:t>No</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 w:name="page2"/>
    <w:bookmarkEnd w:id="1"/>
    <w:p>
      <w:pPr>
        <w:ind w:right="80" w:firstLine="478"/>
        <w:spacing w:after="0" w:line="27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0"/>
          <w:szCs w:val="20"/>
          <w:color w:val="auto"/>
        </w:rPr>
      </w:pPr>
    </w:p>
    <w:p>
      <w:pPr>
        <w:spacing w:after="0"/>
        <w:tabs>
          <w:tab w:leader="none" w:pos="580" w:val="left"/>
          <w:tab w:leader="none" w:pos="1320" w:val="left"/>
        </w:tabs>
        <w:rPr>
          <w:sz w:val="20"/>
          <w:szCs w:val="20"/>
          <w:color w:val="auto"/>
        </w:rPr>
      </w:pPr>
      <w:r>
        <w:rPr>
          <w:rFonts w:ascii="Arial" w:cs="Arial" w:eastAsia="Arial" w:hAnsi="Arial"/>
          <w:sz w:val="18"/>
          <w:szCs w:val="18"/>
          <w:color w:val="auto"/>
        </w:rPr>
        <w:t>files).</w:t>
        <w:tab/>
        <w:t>Yes</w:t>
      </w:r>
      <w:r>
        <w:rPr>
          <w:sz w:val="20"/>
          <w:szCs w:val="20"/>
          <w:color w:val="auto"/>
        </w:rPr>
        <w:tab/>
      </w:r>
      <w:r>
        <w:rPr>
          <w:rFonts w:ascii="Arial" w:cs="Arial" w:eastAsia="Arial" w:hAnsi="Arial"/>
          <w:sz w:val="17"/>
          <w:szCs w:val="17"/>
          <w:color w:val="auto"/>
        </w:rPr>
        <w:t>No</w:t>
      </w:r>
    </w:p>
    <w:p>
      <w:pPr>
        <w:spacing w:after="0" w:line="142" w:lineRule="exact"/>
        <w:rPr>
          <w:sz w:val="20"/>
          <w:szCs w:val="20"/>
          <w:color w:val="auto"/>
        </w:rPr>
      </w:pPr>
    </w:p>
    <w:p>
      <w:pPr>
        <w:ind w:right="60" w:firstLine="478"/>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90" w:right="339" w:bottom="1440" w:gutter="0" w:footer="0" w:header="0"/>
        </w:sect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142" w:lineRule="exact"/>
        <w:rPr>
          <w:sz w:val="20"/>
          <w:szCs w:val="20"/>
          <w:color w:val="auto"/>
        </w:rPr>
      </w:pPr>
    </w:p>
    <w:p>
      <w:pPr>
        <w:sectPr>
          <w:pgSz w:w="11900" w:h="16838" w:orient="portrait"/>
          <w:cols w:equalWidth="0" w:num="2">
            <w:col w:w="7260" w:space="720"/>
            <w:col w:w="3260"/>
          </w:cols>
          <w:pgMar w:left="320" w:top="490"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0" w:lineRule="exact"/>
        <w:rPr>
          <w:sz w:val="20"/>
          <w:szCs w:val="20"/>
          <w:color w:val="auto"/>
        </w:rPr>
      </w:pPr>
    </w:p>
    <w:p>
      <w:pPr>
        <w:sectPr>
          <w:pgSz w:w="11900" w:h="16838" w:orient="portrait"/>
          <w:cols w:equalWidth="0" w:num="2">
            <w:col w:w="7260" w:space="720"/>
            <w:col w:w="3260"/>
          </w:cols>
          <w:pgMar w:left="320" w:top="490" w:right="339" w:bottom="1440" w:gutter="0" w:footer="0" w:header="0"/>
          <w:type w:val="continuous"/>
        </w:sectPr>
      </w:pPr>
    </w:p>
    <w:p>
      <w:pPr>
        <w:spacing w:after="0" w:line="21"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Emerging growth company</w:t>
      </w:r>
    </w:p>
    <w:p>
      <w:pPr>
        <w:sectPr>
          <w:pgSz w:w="11900" w:h="16838" w:orient="portrait"/>
          <w:cols w:equalWidth="0" w:num="1">
            <w:col w:w="11240"/>
          </w:cols>
          <w:pgMar w:left="320" w:top="490" w:right="339" w:bottom="1440" w:gutter="0" w:footer="0" w:header="0"/>
          <w:type w:val="continuous"/>
        </w:sectPr>
      </w:pPr>
    </w:p>
    <w:p>
      <w:pPr>
        <w:spacing w:after="0" w:line="181" w:lineRule="exact"/>
        <w:rPr>
          <w:sz w:val="20"/>
          <w:szCs w:val="20"/>
          <w:color w:val="auto"/>
        </w:rPr>
      </w:pPr>
    </w:p>
    <w:p>
      <w:pPr>
        <w:jc w:val="both"/>
        <w:ind w:right="40" w:firstLine="478"/>
        <w:spacing w:after="0" w:line="26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7" w:lineRule="exact"/>
        <w:rPr>
          <w:sz w:val="20"/>
          <w:szCs w:val="20"/>
          <w:color w:val="auto"/>
        </w:rPr>
      </w:pPr>
    </w:p>
    <w:p>
      <w:pPr>
        <w:jc w:val="both"/>
        <w:ind w:right="40" w:firstLine="478"/>
        <w:spacing w:after="0" w:line="219"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5" w:lineRule="exact"/>
        <w:rPr>
          <w:sz w:val="20"/>
          <w:szCs w:val="20"/>
          <w:color w:val="auto"/>
        </w:rPr>
      </w:pPr>
    </w:p>
    <w:p>
      <w:pPr>
        <w:ind w:left="480"/>
        <w:spacing w:after="0"/>
        <w:tabs>
          <w:tab w:leader="none" w:pos="8060" w:val="left"/>
          <w:tab w:leader="none" w:pos="88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158" w:lineRule="exact"/>
        <w:rPr>
          <w:sz w:val="20"/>
          <w:szCs w:val="20"/>
          <w:color w:val="auto"/>
        </w:rPr>
      </w:pPr>
    </w:p>
    <w:p>
      <w:pPr>
        <w:ind w:right="240" w:firstLine="478"/>
        <w:spacing w:after="0" w:line="294" w:lineRule="auto"/>
        <w:rPr>
          <w:sz w:val="20"/>
          <w:szCs w:val="20"/>
          <w:color w:val="auto"/>
        </w:rPr>
      </w:pPr>
      <w:r>
        <w:rPr>
          <w:rFonts w:ascii="Arial" w:cs="Arial" w:eastAsia="Arial" w:hAnsi="Arial"/>
          <w:sz w:val="16"/>
          <w:szCs w:val="16"/>
          <w:color w:val="auto"/>
        </w:rPr>
        <w:t>The aggregate market value of common stock held by non-affiliates of the registrant on June 30, 2021 based on the closing price on that date of $17.00 on the NASDAQ Global Select Market was $409,517,352. For the purpose of calculating this amount only, all directors and executive officers of the registrant have been treated as affiliates. There were 24,437,400 shares of the registrant’s common stock outstanding as of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222885</wp:posOffset>
            </wp:positionV>
            <wp:extent cx="1131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2" w:lineRule="exact"/>
        <w:rPr>
          <w:sz w:val="20"/>
          <w:szCs w:val="20"/>
          <w:color w:val="auto"/>
        </w:rPr>
      </w:pPr>
    </w:p>
    <w:p>
      <w:pPr>
        <w:ind w:right="60" w:firstLine="478"/>
        <w:spacing w:after="0" w:line="243" w:lineRule="auto"/>
        <w:rPr>
          <w:sz w:val="20"/>
          <w:szCs w:val="20"/>
          <w:color w:val="auto"/>
        </w:rPr>
      </w:pPr>
      <w:r>
        <w:rPr>
          <w:rFonts w:ascii="Arial" w:cs="Arial" w:eastAsia="Arial" w:hAnsi="Arial"/>
          <w:sz w:val="18"/>
          <w:szCs w:val="18"/>
          <w:color w:val="auto"/>
        </w:rPr>
        <w:t>Portions of the registrant’s proxy statement to be filed with the U.S. Securities and Exchange Commission pursuant to Regulation 14A in connection with the registrant’s 2022 Annual Meeting of Stockholders, which will be filed subsequent to the date hereof, are incorporated by reference into Part III of this Form 10-K. Such proxy statement will be filed with the U.S. Securities and Exchange Commission not later than 120 days following the end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60" w:type="dxa"/>
            <w:vAlign w:val="bottom"/>
            <w:gridSpan w:val="10"/>
          </w:tcPr>
          <w:p>
            <w:pPr>
              <w:ind w:left="40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8"/>
            <w:vMerge w:val="restart"/>
          </w:tcPr>
          <w:p>
            <w:pPr>
              <w:jc w:val="center"/>
              <w:ind w:right="4600"/>
              <w:spacing w:after="0"/>
              <w:rPr>
                <w:sz w:val="20"/>
                <w:szCs w:val="20"/>
                <w:color w:val="auto"/>
              </w:rPr>
            </w:pPr>
            <w:r>
              <w:rPr>
                <w:rFonts w:ascii="Arial" w:cs="Arial" w:eastAsia="Arial" w:hAnsi="Arial"/>
                <w:sz w:val="16"/>
                <w:szCs w:val="16"/>
                <w:b w:val="1"/>
                <w:bCs w:val="1"/>
                <w:color w:val="auto"/>
                <w:w w:val="99"/>
              </w:rPr>
              <w:t>PART I</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0"/>
        </w:trPr>
        <w:tc>
          <w:tcPr>
            <w:tcW w:w="1360" w:type="dxa"/>
            <w:vAlign w:val="bottom"/>
            <w:vMerge w:val="restart"/>
          </w:tcPr>
          <w:p>
            <w:pPr>
              <w:spacing w:after="0"/>
              <w:rPr>
                <w:sz w:val="20"/>
                <w:szCs w:val="20"/>
                <w:color w:val="auto"/>
              </w:rPr>
            </w:pPr>
            <w:r>
              <w:rPr>
                <w:rFonts w:ascii="Arial" w:cs="Arial" w:eastAsia="Arial" w:hAnsi="Arial"/>
                <w:sz w:val="16"/>
                <w:szCs w:val="16"/>
                <w:color w:val="auto"/>
              </w:rPr>
              <w:t>Item 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0" w:type="dxa"/>
            <w:vAlign w:val="bottom"/>
            <w:gridSpan w:val="8"/>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6"/>
        </w:trPr>
        <w:tc>
          <w:tcPr>
            <w:tcW w:w="1360" w:type="dxa"/>
            <w:vAlign w:val="bottom"/>
            <w:vMerge w:val="continue"/>
          </w:tcPr>
          <w:p>
            <w:pPr>
              <w:spacing w:after="0"/>
              <w:rPr>
                <w:sz w:val="24"/>
                <w:szCs w:val="24"/>
                <w:color w:val="auto"/>
              </w:rPr>
            </w:pPr>
          </w:p>
        </w:tc>
        <w:tc>
          <w:tcPr>
            <w:tcW w:w="9040" w:type="dxa"/>
            <w:vAlign w:val="bottom"/>
            <w:gridSpan w:val="22"/>
            <w:vMerge w:val="restart"/>
          </w:tcPr>
          <w:p>
            <w:pPr>
              <w:spacing w:after="0"/>
              <w:rPr>
                <w:rFonts w:ascii="Arial" w:cs="Arial" w:eastAsia="Arial" w:hAnsi="Arial"/>
                <w:sz w:val="16"/>
                <w:szCs w:val="16"/>
                <w:color w:val="auto"/>
              </w:rPr>
            </w:pPr>
            <w:hyperlink w:anchor="page6">
              <w:r>
                <w:rPr>
                  <w:rFonts w:ascii="Arial" w:cs="Arial" w:eastAsia="Arial" w:hAnsi="Arial"/>
                  <w:sz w:val="16"/>
                  <w:szCs w:val="16"/>
                  <w:color w:val="auto"/>
                </w:rPr>
                <w:t>Business.</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27"/>
        </w:trPr>
        <w:tc>
          <w:tcPr>
            <w:tcW w:w="1360" w:type="dxa"/>
            <w:vAlign w:val="bottom"/>
          </w:tcPr>
          <w:p>
            <w:pPr>
              <w:spacing w:after="0"/>
              <w:rPr>
                <w:sz w:val="11"/>
                <w:szCs w:val="11"/>
                <w:color w:val="auto"/>
              </w:rPr>
            </w:pPr>
          </w:p>
        </w:tc>
        <w:tc>
          <w:tcPr>
            <w:tcW w:w="9040" w:type="dxa"/>
            <w:vAlign w:val="bottom"/>
            <w:gridSpan w:val="2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6"/>
                <w:szCs w:val="16"/>
                <w:color w:val="auto"/>
              </w:rPr>
              <w:t>Item 1A.</w:t>
            </w: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360" w:type="dxa"/>
            <w:vAlign w:val="bottom"/>
            <w:vMerge w:val="continue"/>
          </w:tcPr>
          <w:p>
            <w:pPr>
              <w:spacing w:after="0"/>
              <w:rPr>
                <w:sz w:val="24"/>
                <w:szCs w:val="24"/>
                <w:color w:val="auto"/>
              </w:rPr>
            </w:pPr>
          </w:p>
        </w:tc>
        <w:tc>
          <w:tcPr>
            <w:tcW w:w="9040" w:type="dxa"/>
            <w:vAlign w:val="bottom"/>
            <w:gridSpan w:val="22"/>
            <w:vMerge w:val="restart"/>
          </w:tcPr>
          <w:p>
            <w:pPr>
              <w:spacing w:after="0"/>
              <w:rPr>
                <w:rFonts w:ascii="Arial" w:cs="Arial" w:eastAsia="Arial" w:hAnsi="Arial"/>
                <w:sz w:val="16"/>
                <w:szCs w:val="16"/>
                <w:color w:val="auto"/>
              </w:rPr>
            </w:pPr>
            <w:hyperlink w:anchor="page28">
              <w:r>
                <w:rPr>
                  <w:rFonts w:ascii="Arial" w:cs="Arial" w:eastAsia="Arial" w:hAnsi="Arial"/>
                  <w:sz w:val="16"/>
                  <w:szCs w:val="16"/>
                  <w:color w:val="auto"/>
                </w:rPr>
                <w:t>Risk Factors.</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27"/>
        </w:trPr>
        <w:tc>
          <w:tcPr>
            <w:tcW w:w="1360" w:type="dxa"/>
            <w:vAlign w:val="bottom"/>
          </w:tcPr>
          <w:p>
            <w:pPr>
              <w:spacing w:after="0"/>
              <w:rPr>
                <w:sz w:val="11"/>
                <w:szCs w:val="11"/>
                <w:color w:val="auto"/>
              </w:rPr>
            </w:pPr>
          </w:p>
        </w:tc>
        <w:tc>
          <w:tcPr>
            <w:tcW w:w="9040" w:type="dxa"/>
            <w:vAlign w:val="bottom"/>
            <w:gridSpan w:val="2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6"/>
                <w:szCs w:val="16"/>
                <w:color w:val="auto"/>
              </w:rPr>
              <w:t>Item 1B.</w:t>
            </w: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360" w:type="dxa"/>
            <w:vAlign w:val="bottom"/>
            <w:vMerge w:val="continue"/>
          </w:tcPr>
          <w:p>
            <w:pPr>
              <w:spacing w:after="0"/>
              <w:rPr>
                <w:sz w:val="24"/>
                <w:szCs w:val="24"/>
                <w:color w:val="auto"/>
              </w:rPr>
            </w:pPr>
          </w:p>
        </w:tc>
        <w:tc>
          <w:tcPr>
            <w:tcW w:w="1880" w:type="dxa"/>
            <w:vAlign w:val="bottom"/>
            <w:gridSpan w:val="9"/>
            <w:vMerge w:val="restart"/>
          </w:tcPr>
          <w:p>
            <w:pPr>
              <w:spacing w:after="0"/>
              <w:rPr>
                <w:rFonts w:ascii="Arial" w:cs="Arial" w:eastAsia="Arial" w:hAnsi="Arial"/>
                <w:sz w:val="16"/>
                <w:szCs w:val="16"/>
                <w:color w:val="auto"/>
                <w:w w:val="90"/>
              </w:rPr>
            </w:pPr>
            <w:hyperlink w:anchor="page55">
              <w:r>
                <w:rPr>
                  <w:rFonts w:ascii="Arial" w:cs="Arial" w:eastAsia="Arial" w:hAnsi="Arial"/>
                  <w:sz w:val="16"/>
                  <w:szCs w:val="16"/>
                  <w:color w:val="auto"/>
                  <w:w w:val="90"/>
                </w:rPr>
                <w:t>Unresolved Staff Comments.</w:t>
              </w:r>
            </w:hyperlink>
          </w:p>
        </w:tc>
        <w:tc>
          <w:tcPr>
            <w:tcW w:w="7160" w:type="dxa"/>
            <w:vAlign w:val="bottom"/>
            <w:gridSpan w:val="13"/>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1880" w:type="dxa"/>
            <w:vAlign w:val="bottom"/>
            <w:tcBorders>
              <w:bottom w:val="single" w:sz="8" w:color="auto"/>
            </w:tcBorders>
            <w:gridSpan w:val="9"/>
            <w:vMerge w:val="continue"/>
          </w:tcPr>
          <w:p>
            <w:pPr>
              <w:spacing w:after="0"/>
              <w:rPr>
                <w:sz w:val="11"/>
                <w:szCs w:val="11"/>
                <w:color w:val="auto"/>
              </w:rPr>
            </w:pPr>
          </w:p>
        </w:tc>
        <w:tc>
          <w:tcPr>
            <w:tcW w:w="7160" w:type="dxa"/>
            <w:vAlign w:val="bottom"/>
            <w:gridSpan w:val="1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16"/>
                <w:szCs w:val="16"/>
                <w:color w:val="auto"/>
              </w:rPr>
              <w:t>Item 2.</w:t>
            </w:r>
          </w:p>
        </w:tc>
        <w:tc>
          <w:tcPr>
            <w:tcW w:w="9040" w:type="dxa"/>
            <w:vAlign w:val="bottom"/>
            <w:gridSpan w:val="22"/>
            <w:vMerge w:val="restart"/>
          </w:tcPr>
          <w:p>
            <w:pPr>
              <w:spacing w:after="0"/>
              <w:rPr>
                <w:rFonts w:ascii="Arial" w:cs="Arial" w:eastAsia="Arial" w:hAnsi="Arial"/>
                <w:sz w:val="16"/>
                <w:szCs w:val="16"/>
                <w:color w:val="auto"/>
              </w:rPr>
            </w:pPr>
            <w:hyperlink w:anchor="page55">
              <w:r>
                <w:rPr>
                  <w:rFonts w:ascii="Arial" w:cs="Arial" w:eastAsia="Arial" w:hAnsi="Arial"/>
                  <w:sz w:val="16"/>
                  <w:szCs w:val="16"/>
                  <w:color w:val="auto"/>
                </w:rPr>
                <w:t>Properties.</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9040" w:type="dxa"/>
            <w:vAlign w:val="bottom"/>
            <w:gridSpan w:val="2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6"/>
                <w:szCs w:val="16"/>
                <w:color w:val="auto"/>
              </w:rPr>
              <w:t>Item 3.</w:t>
            </w: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360" w:type="dxa"/>
            <w:vAlign w:val="bottom"/>
            <w:vMerge w:val="continue"/>
          </w:tcPr>
          <w:p>
            <w:pPr>
              <w:spacing w:after="0"/>
              <w:rPr>
                <w:sz w:val="24"/>
                <w:szCs w:val="24"/>
                <w:color w:val="auto"/>
              </w:rPr>
            </w:pPr>
          </w:p>
        </w:tc>
        <w:tc>
          <w:tcPr>
            <w:tcW w:w="1240" w:type="dxa"/>
            <w:vAlign w:val="bottom"/>
            <w:gridSpan w:val="6"/>
            <w:vMerge w:val="restart"/>
          </w:tcPr>
          <w:p>
            <w:pPr>
              <w:spacing w:after="0"/>
              <w:rPr>
                <w:rFonts w:ascii="Arial" w:cs="Arial" w:eastAsia="Arial" w:hAnsi="Arial"/>
                <w:sz w:val="16"/>
                <w:szCs w:val="16"/>
                <w:color w:val="auto"/>
                <w:w w:val="89"/>
              </w:rPr>
            </w:pPr>
            <w:hyperlink w:anchor="page55">
              <w:r>
                <w:rPr>
                  <w:rFonts w:ascii="Arial" w:cs="Arial" w:eastAsia="Arial" w:hAnsi="Arial"/>
                  <w:sz w:val="16"/>
                  <w:szCs w:val="16"/>
                  <w:color w:val="auto"/>
                  <w:w w:val="89"/>
                </w:rPr>
                <w:t>Legal Proceedings.</w:t>
              </w:r>
            </w:hyperlink>
          </w:p>
        </w:tc>
        <w:tc>
          <w:tcPr>
            <w:tcW w:w="7800" w:type="dxa"/>
            <w:vAlign w:val="bottom"/>
            <w:gridSpan w:val="16"/>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1240" w:type="dxa"/>
            <w:vAlign w:val="bottom"/>
            <w:tcBorders>
              <w:bottom w:val="single" w:sz="8" w:color="auto"/>
            </w:tcBorders>
            <w:gridSpan w:val="6"/>
            <w:vMerge w:val="continue"/>
          </w:tcPr>
          <w:p>
            <w:pPr>
              <w:spacing w:after="0"/>
              <w:rPr>
                <w:sz w:val="11"/>
                <w:szCs w:val="11"/>
                <w:color w:val="auto"/>
              </w:rPr>
            </w:pPr>
          </w:p>
        </w:tc>
        <w:tc>
          <w:tcPr>
            <w:tcW w:w="7800" w:type="dxa"/>
            <w:vAlign w:val="bottom"/>
            <w:gridSpan w:val="16"/>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16"/>
                <w:szCs w:val="16"/>
                <w:color w:val="auto"/>
              </w:rPr>
              <w:t>Item 4.</w:t>
            </w:r>
          </w:p>
        </w:tc>
        <w:tc>
          <w:tcPr>
            <w:tcW w:w="9040" w:type="dxa"/>
            <w:vAlign w:val="bottom"/>
            <w:gridSpan w:val="22"/>
            <w:vMerge w:val="restart"/>
          </w:tcPr>
          <w:p>
            <w:pPr>
              <w:spacing w:after="0"/>
              <w:rPr>
                <w:rFonts w:ascii="Arial" w:cs="Arial" w:eastAsia="Arial" w:hAnsi="Arial"/>
                <w:sz w:val="16"/>
                <w:szCs w:val="16"/>
                <w:color w:val="auto"/>
              </w:rPr>
            </w:pPr>
            <w:hyperlink w:anchor="page55">
              <w:r>
                <w:rPr>
                  <w:rFonts w:ascii="Arial" w:cs="Arial" w:eastAsia="Arial" w:hAnsi="Arial"/>
                  <w:sz w:val="16"/>
                  <w:szCs w:val="16"/>
                  <w:color w:val="auto"/>
                </w:rPr>
                <w:t>Mine Safety Disclosures.</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9040" w:type="dxa"/>
            <w:vAlign w:val="bottom"/>
            <w:gridSpan w:val="2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9"/>
        </w:trPr>
        <w:tc>
          <w:tcPr>
            <w:tcW w:w="13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20" w:type="dxa"/>
            <w:vAlign w:val="bottom"/>
            <w:gridSpan w:val="9"/>
          </w:tcPr>
          <w:p>
            <w:pPr>
              <w:jc w:val="center"/>
              <w:ind w:right="4480"/>
              <w:spacing w:after="0"/>
              <w:rPr>
                <w:sz w:val="20"/>
                <w:szCs w:val="20"/>
                <w:color w:val="auto"/>
              </w:rPr>
            </w:pPr>
            <w:r>
              <w:rPr>
                <w:rFonts w:ascii="Arial" w:cs="Arial" w:eastAsia="Arial" w:hAnsi="Arial"/>
                <w:sz w:val="16"/>
                <w:szCs w:val="16"/>
                <w:b w:val="1"/>
                <w:bCs w:val="1"/>
                <w:color w:val="auto"/>
              </w:rPr>
              <w:t>PART 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60" w:type="dxa"/>
            <w:vAlign w:val="bottom"/>
          </w:tcPr>
          <w:p>
            <w:pPr>
              <w:spacing w:after="0"/>
              <w:rPr>
                <w:sz w:val="20"/>
                <w:szCs w:val="20"/>
                <w:color w:val="auto"/>
              </w:rPr>
            </w:pPr>
            <w:r>
              <w:rPr>
                <w:rFonts w:ascii="Arial" w:cs="Arial" w:eastAsia="Arial" w:hAnsi="Arial"/>
                <w:sz w:val="16"/>
                <w:szCs w:val="16"/>
                <w:color w:val="auto"/>
              </w:rPr>
              <w:t>Item 5.</w:t>
            </w:r>
          </w:p>
        </w:tc>
        <w:tc>
          <w:tcPr>
            <w:tcW w:w="9040" w:type="dxa"/>
            <w:vAlign w:val="bottom"/>
            <w:gridSpan w:val="22"/>
            <w:vMerge w:val="restart"/>
          </w:tcPr>
          <w:p>
            <w:pPr>
              <w:spacing w:after="0"/>
              <w:rPr>
                <w:rFonts w:ascii="Arial" w:cs="Arial" w:eastAsia="Arial" w:hAnsi="Arial"/>
                <w:sz w:val="16"/>
                <w:szCs w:val="16"/>
                <w:color w:val="auto"/>
              </w:rPr>
            </w:pPr>
            <w:hyperlink w:anchor="page56">
              <w:r>
                <w:rPr>
                  <w:rFonts w:ascii="Arial" w:cs="Arial" w:eastAsia="Arial" w:hAnsi="Arial"/>
                  <w:sz w:val="16"/>
                  <w:szCs w:val="16"/>
                  <w:color w:val="auto"/>
                </w:rPr>
                <w:t>Market for Registrant’s Common Equity, Related Stockholder Matters and Issuer Purchases of Equity Securities.</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27"/>
        </w:trPr>
        <w:tc>
          <w:tcPr>
            <w:tcW w:w="1360" w:type="dxa"/>
            <w:vAlign w:val="bottom"/>
          </w:tcPr>
          <w:p>
            <w:pPr>
              <w:spacing w:after="0"/>
              <w:rPr>
                <w:sz w:val="11"/>
                <w:szCs w:val="11"/>
                <w:color w:val="auto"/>
              </w:rPr>
            </w:pPr>
          </w:p>
        </w:tc>
        <w:tc>
          <w:tcPr>
            <w:tcW w:w="9040" w:type="dxa"/>
            <w:vAlign w:val="bottom"/>
            <w:gridSpan w:val="2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9"/>
        </w:trPr>
        <w:tc>
          <w:tcPr>
            <w:tcW w:w="1360" w:type="dxa"/>
            <w:vAlign w:val="bottom"/>
          </w:tcPr>
          <w:p>
            <w:pPr>
              <w:spacing w:after="0"/>
              <w:rPr>
                <w:sz w:val="20"/>
                <w:szCs w:val="20"/>
                <w:color w:val="auto"/>
              </w:rPr>
            </w:pPr>
            <w:r>
              <w:rPr>
                <w:rFonts w:ascii="Arial" w:cs="Arial" w:eastAsia="Arial" w:hAnsi="Arial"/>
                <w:sz w:val="16"/>
                <w:szCs w:val="16"/>
                <w:color w:val="auto"/>
              </w:rPr>
              <w:t>Item 6.</w:t>
            </w:r>
          </w:p>
        </w:tc>
        <w:tc>
          <w:tcPr>
            <w:tcW w:w="7300" w:type="dxa"/>
            <w:vAlign w:val="bottom"/>
            <w:tcBorders>
              <w:top w:val="single" w:sz="8" w:color="auto"/>
            </w:tcBorders>
            <w:gridSpan w:val="21"/>
            <w:vMerge w:val="restart"/>
          </w:tcPr>
          <w:p>
            <w:pPr>
              <w:spacing w:after="0"/>
              <w:rPr>
                <w:rFonts w:ascii="Arial" w:cs="Arial" w:eastAsia="Arial" w:hAnsi="Arial"/>
                <w:sz w:val="16"/>
                <w:szCs w:val="16"/>
                <w:color w:val="auto"/>
              </w:rPr>
            </w:pPr>
            <w:hyperlink w:anchor="page59">
              <w:r>
                <w:rPr>
                  <w:rFonts w:ascii="Arial" w:cs="Arial" w:eastAsia="Arial" w:hAnsi="Arial"/>
                  <w:sz w:val="16"/>
                  <w:szCs w:val="16"/>
                  <w:color w:val="auto"/>
                </w:rPr>
                <w:t>Selected Consolidated Financial Data.</w:t>
              </w:r>
            </w:hyperlink>
          </w:p>
        </w:tc>
        <w:tc>
          <w:tcPr>
            <w:tcW w:w="1740" w:type="dxa"/>
            <w:vAlign w:val="bottom"/>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27"/>
        </w:trPr>
        <w:tc>
          <w:tcPr>
            <w:tcW w:w="1360" w:type="dxa"/>
            <w:vAlign w:val="bottom"/>
          </w:tcPr>
          <w:p>
            <w:pPr>
              <w:spacing w:after="0"/>
              <w:rPr>
                <w:sz w:val="11"/>
                <w:szCs w:val="11"/>
                <w:color w:val="auto"/>
              </w:rPr>
            </w:pPr>
          </w:p>
        </w:tc>
        <w:tc>
          <w:tcPr>
            <w:tcW w:w="7300" w:type="dxa"/>
            <w:vAlign w:val="bottom"/>
            <w:gridSpan w:val="21"/>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6"/>
                <w:szCs w:val="16"/>
                <w:color w:val="auto"/>
              </w:rPr>
              <w:t>Item 7.</w:t>
            </w: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360" w:type="dxa"/>
            <w:vAlign w:val="bottom"/>
            <w:vMerge w:val="continue"/>
          </w:tcPr>
          <w:p>
            <w:pPr>
              <w:spacing w:after="0"/>
              <w:rPr>
                <w:sz w:val="24"/>
                <w:szCs w:val="24"/>
                <w:color w:val="auto"/>
              </w:rPr>
            </w:pPr>
          </w:p>
        </w:tc>
        <w:tc>
          <w:tcPr>
            <w:tcW w:w="9040" w:type="dxa"/>
            <w:vAlign w:val="bottom"/>
            <w:gridSpan w:val="22"/>
            <w:vMerge w:val="restart"/>
          </w:tcPr>
          <w:p>
            <w:pPr>
              <w:spacing w:after="0"/>
              <w:rPr>
                <w:rFonts w:ascii="Arial" w:cs="Arial" w:eastAsia="Arial" w:hAnsi="Arial"/>
                <w:sz w:val="16"/>
                <w:szCs w:val="16"/>
                <w:color w:val="auto"/>
              </w:rPr>
            </w:pPr>
            <w:hyperlink w:anchor="page60">
              <w:r>
                <w:rPr>
                  <w:rFonts w:ascii="Arial" w:cs="Arial" w:eastAsia="Arial" w:hAnsi="Arial"/>
                  <w:sz w:val="16"/>
                  <w:szCs w:val="16"/>
                  <w:color w:val="auto"/>
                </w:rPr>
                <w:t>Management’s Discussion and Analysis of Financial Condition and Results of Operations.</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9040" w:type="dxa"/>
            <w:vAlign w:val="bottom"/>
            <w:gridSpan w:val="2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16"/>
                <w:szCs w:val="16"/>
                <w:color w:val="auto"/>
              </w:rPr>
              <w:t>Item 7A.</w:t>
            </w:r>
          </w:p>
        </w:tc>
        <w:tc>
          <w:tcPr>
            <w:tcW w:w="5840" w:type="dxa"/>
            <w:vAlign w:val="bottom"/>
            <w:tcBorders>
              <w:top w:val="single" w:sz="8" w:color="auto"/>
            </w:tcBorders>
            <w:gridSpan w:val="18"/>
            <w:vMerge w:val="restart"/>
          </w:tcPr>
          <w:p>
            <w:pPr>
              <w:spacing w:after="0"/>
              <w:rPr>
                <w:rFonts w:ascii="Arial" w:cs="Arial" w:eastAsia="Arial" w:hAnsi="Arial"/>
                <w:sz w:val="16"/>
                <w:szCs w:val="16"/>
                <w:color w:val="auto"/>
              </w:rPr>
            </w:pPr>
            <w:hyperlink w:anchor="page78">
              <w:r>
                <w:rPr>
                  <w:rFonts w:ascii="Arial" w:cs="Arial" w:eastAsia="Arial" w:hAnsi="Arial"/>
                  <w:sz w:val="16"/>
                  <w:szCs w:val="16"/>
                  <w:color w:val="auto"/>
                </w:rPr>
                <w:t>Quantitative and Qualitative Disclosure about Market Risk.</w:t>
              </w:r>
            </w:hyperlink>
          </w:p>
        </w:tc>
        <w:tc>
          <w:tcPr>
            <w:tcW w:w="3200" w:type="dxa"/>
            <w:vAlign w:val="bottom"/>
            <w:gridSpan w:val="4"/>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5840" w:type="dxa"/>
            <w:vAlign w:val="bottom"/>
            <w:gridSpan w:val="18"/>
            <w:vMerge w:val="continue"/>
          </w:tcPr>
          <w:p>
            <w:pPr>
              <w:spacing w:after="0"/>
              <w:rPr>
                <w:sz w:val="11"/>
                <w:szCs w:val="11"/>
                <w:color w:val="auto"/>
              </w:rPr>
            </w:pPr>
          </w:p>
        </w:tc>
        <w:tc>
          <w:tcPr>
            <w:tcW w:w="3200" w:type="dxa"/>
            <w:vAlign w:val="bottom"/>
            <w:gridSpan w:val="4"/>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6"/>
                <w:szCs w:val="16"/>
                <w:color w:val="auto"/>
              </w:rPr>
              <w:t>Item 8.</w:t>
            </w: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360" w:type="dxa"/>
            <w:vAlign w:val="bottom"/>
            <w:vMerge w:val="continue"/>
          </w:tcPr>
          <w:p>
            <w:pPr>
              <w:spacing w:after="0"/>
              <w:rPr>
                <w:sz w:val="24"/>
                <w:szCs w:val="24"/>
                <w:color w:val="auto"/>
              </w:rPr>
            </w:pPr>
          </w:p>
        </w:tc>
        <w:tc>
          <w:tcPr>
            <w:tcW w:w="9040" w:type="dxa"/>
            <w:vAlign w:val="bottom"/>
            <w:gridSpan w:val="22"/>
            <w:vMerge w:val="restart"/>
          </w:tcPr>
          <w:p>
            <w:pPr>
              <w:spacing w:after="0"/>
              <w:rPr>
                <w:rFonts w:ascii="Arial" w:cs="Arial" w:eastAsia="Arial" w:hAnsi="Arial"/>
                <w:sz w:val="16"/>
                <w:szCs w:val="16"/>
                <w:color w:val="auto"/>
              </w:rPr>
            </w:pPr>
            <w:hyperlink w:anchor="page79">
              <w:r>
                <w:rPr>
                  <w:rFonts w:ascii="Arial" w:cs="Arial" w:eastAsia="Arial" w:hAnsi="Arial"/>
                  <w:sz w:val="16"/>
                  <w:szCs w:val="16"/>
                  <w:color w:val="auto"/>
                </w:rPr>
                <w:t>Consolidated Financial Statements and Supplementary Data.</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9040" w:type="dxa"/>
            <w:vAlign w:val="bottom"/>
            <w:gridSpan w:val="2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6"/>
                <w:szCs w:val="16"/>
                <w:color w:val="auto"/>
              </w:rPr>
              <w:t>Item 9.</w:t>
            </w: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360" w:type="dxa"/>
            <w:vAlign w:val="bottom"/>
            <w:vMerge w:val="continue"/>
          </w:tcPr>
          <w:p>
            <w:pPr>
              <w:spacing w:after="0"/>
              <w:rPr>
                <w:sz w:val="24"/>
                <w:szCs w:val="24"/>
                <w:color w:val="auto"/>
              </w:rPr>
            </w:pPr>
          </w:p>
        </w:tc>
        <w:tc>
          <w:tcPr>
            <w:tcW w:w="9040" w:type="dxa"/>
            <w:vAlign w:val="bottom"/>
            <w:gridSpan w:val="22"/>
            <w:vMerge w:val="restart"/>
          </w:tcPr>
          <w:p>
            <w:pPr>
              <w:spacing w:after="0"/>
              <w:rPr>
                <w:rFonts w:ascii="Arial" w:cs="Arial" w:eastAsia="Arial" w:hAnsi="Arial"/>
                <w:sz w:val="16"/>
                <w:szCs w:val="16"/>
                <w:color w:val="auto"/>
              </w:rPr>
            </w:pPr>
            <w:hyperlink w:anchor="page124">
              <w:r>
                <w:rPr>
                  <w:rFonts w:ascii="Arial" w:cs="Arial" w:eastAsia="Arial" w:hAnsi="Arial"/>
                  <w:sz w:val="16"/>
                  <w:szCs w:val="16"/>
                  <w:color w:val="auto"/>
                </w:rPr>
                <w:t>Changes in and Disagreements with Accountants on Accounting and Financial Disclosure.</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9040" w:type="dxa"/>
            <w:vAlign w:val="bottom"/>
            <w:gridSpan w:val="2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16"/>
                <w:szCs w:val="16"/>
                <w:color w:val="auto"/>
              </w:rPr>
              <w:t>Item 9A.</w:t>
            </w:r>
          </w:p>
        </w:tc>
        <w:tc>
          <w:tcPr>
            <w:tcW w:w="5860" w:type="dxa"/>
            <w:vAlign w:val="bottom"/>
            <w:tcBorders>
              <w:top w:val="single" w:sz="8" w:color="auto"/>
            </w:tcBorders>
            <w:gridSpan w:val="19"/>
            <w:vMerge w:val="restart"/>
          </w:tcPr>
          <w:p>
            <w:pPr>
              <w:spacing w:after="0"/>
              <w:rPr>
                <w:rFonts w:ascii="Arial" w:cs="Arial" w:eastAsia="Arial" w:hAnsi="Arial"/>
                <w:sz w:val="16"/>
                <w:szCs w:val="16"/>
                <w:color w:val="auto"/>
              </w:rPr>
            </w:pPr>
            <w:hyperlink w:anchor="page124">
              <w:r>
                <w:rPr>
                  <w:rFonts w:ascii="Arial" w:cs="Arial" w:eastAsia="Arial" w:hAnsi="Arial"/>
                  <w:sz w:val="16"/>
                  <w:szCs w:val="16"/>
                  <w:color w:val="auto"/>
                </w:rPr>
                <w:t>Controls and Procedures.</w:t>
              </w:r>
            </w:hyperlink>
          </w:p>
        </w:tc>
        <w:tc>
          <w:tcPr>
            <w:tcW w:w="3180" w:type="dxa"/>
            <w:vAlign w:val="bottom"/>
            <w:gridSpan w:val="3"/>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5860" w:type="dxa"/>
            <w:vAlign w:val="bottom"/>
            <w:gridSpan w:val="19"/>
            <w:vMerge w:val="continue"/>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16"/>
                <w:szCs w:val="16"/>
                <w:color w:val="auto"/>
              </w:rPr>
              <w:t>Item 9B.</w:t>
            </w:r>
          </w:p>
        </w:tc>
        <w:tc>
          <w:tcPr>
            <w:tcW w:w="1220" w:type="dxa"/>
            <w:vAlign w:val="bottom"/>
            <w:tcBorders>
              <w:top w:val="single" w:sz="8" w:color="auto"/>
            </w:tcBorders>
            <w:gridSpan w:val="5"/>
            <w:vMerge w:val="restart"/>
          </w:tcPr>
          <w:p>
            <w:pPr>
              <w:spacing w:after="0"/>
              <w:rPr>
                <w:rFonts w:ascii="Arial" w:cs="Arial" w:eastAsia="Arial" w:hAnsi="Arial"/>
                <w:sz w:val="16"/>
                <w:szCs w:val="16"/>
                <w:color w:val="auto"/>
                <w:w w:val="93"/>
              </w:rPr>
            </w:pPr>
            <w:hyperlink w:anchor="page124">
              <w:r>
                <w:rPr>
                  <w:rFonts w:ascii="Arial" w:cs="Arial" w:eastAsia="Arial" w:hAnsi="Arial"/>
                  <w:sz w:val="16"/>
                  <w:szCs w:val="16"/>
                  <w:color w:val="auto"/>
                  <w:w w:val="93"/>
                </w:rPr>
                <w:t>Other Information.</w:t>
              </w:r>
            </w:hyperlink>
          </w:p>
        </w:tc>
        <w:tc>
          <w:tcPr>
            <w:tcW w:w="400" w:type="dxa"/>
            <w:vAlign w:val="bottom"/>
            <w:tcBorders>
              <w:top w:val="single" w:sz="8" w:color="auto"/>
            </w:tcBorders>
            <w:gridSpan w:val="2"/>
            <w:vMerge w:val="restart"/>
          </w:tcPr>
          <w:p>
            <w:pPr>
              <w:spacing w:after="0"/>
              <w:rPr>
                <w:sz w:val="24"/>
                <w:szCs w:val="24"/>
                <w:color w:val="auto"/>
              </w:rPr>
            </w:pPr>
          </w:p>
        </w:tc>
        <w:tc>
          <w:tcPr>
            <w:tcW w:w="7420" w:type="dxa"/>
            <w:vAlign w:val="bottom"/>
            <w:gridSpan w:val="15"/>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1220" w:type="dxa"/>
            <w:vAlign w:val="bottom"/>
            <w:tcBorders>
              <w:bottom w:val="single" w:sz="8" w:color="auto"/>
            </w:tcBorders>
            <w:gridSpan w:val="5"/>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7420" w:type="dxa"/>
            <w:vAlign w:val="bottom"/>
            <w:gridSpan w:val="15"/>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1360" w:type="dxa"/>
            <w:vAlign w:val="bottom"/>
          </w:tcPr>
          <w:p>
            <w:pPr>
              <w:spacing w:after="0"/>
              <w:rPr>
                <w:sz w:val="20"/>
                <w:szCs w:val="20"/>
                <w:color w:val="auto"/>
              </w:rPr>
            </w:pPr>
            <w:r>
              <w:rPr>
                <w:rFonts w:ascii="Arial" w:cs="Arial" w:eastAsia="Arial" w:hAnsi="Arial"/>
                <w:sz w:val="16"/>
                <w:szCs w:val="16"/>
                <w:color w:val="auto"/>
              </w:rPr>
              <w:t>Item 9C.</w:t>
            </w:r>
          </w:p>
        </w:tc>
        <w:tc>
          <w:tcPr>
            <w:tcW w:w="9040" w:type="dxa"/>
            <w:vAlign w:val="bottom"/>
            <w:gridSpan w:val="22"/>
          </w:tcPr>
          <w:p>
            <w:pPr>
              <w:spacing w:after="0"/>
              <w:rPr>
                <w:rFonts w:ascii="Arial" w:cs="Arial" w:eastAsia="Arial" w:hAnsi="Arial"/>
                <w:sz w:val="16"/>
                <w:szCs w:val="16"/>
                <w:color w:val="auto"/>
              </w:rPr>
            </w:pPr>
            <w:hyperlink w:anchor="page124">
              <w:r>
                <w:rPr>
                  <w:rFonts w:ascii="Arial" w:cs="Arial" w:eastAsia="Arial" w:hAnsi="Arial"/>
                  <w:sz w:val="16"/>
                  <w:szCs w:val="16"/>
                  <w:color w:val="auto"/>
                </w:rPr>
                <w:t>Disclosure Regarding Foreign Jurisdictions that Prevent Inspections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20" w:type="dxa"/>
            <w:vAlign w:val="bottom"/>
            <w:gridSpan w:val="9"/>
          </w:tcPr>
          <w:p>
            <w:pPr>
              <w:jc w:val="center"/>
              <w:ind w:right="4480"/>
              <w:spacing w:after="0"/>
              <w:rPr>
                <w:sz w:val="20"/>
                <w:szCs w:val="20"/>
                <w:color w:val="auto"/>
              </w:rPr>
            </w:pPr>
            <w:r>
              <w:rPr>
                <w:rFonts w:ascii="Arial" w:cs="Arial" w:eastAsia="Arial" w:hAnsi="Arial"/>
                <w:sz w:val="16"/>
                <w:szCs w:val="16"/>
                <w:b w:val="1"/>
                <w:bCs w:val="1"/>
                <w:color w:val="auto"/>
              </w:rPr>
              <w:t>PART III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60" w:type="dxa"/>
            <w:vAlign w:val="bottom"/>
          </w:tcPr>
          <w:p>
            <w:pPr>
              <w:spacing w:after="0"/>
              <w:rPr>
                <w:sz w:val="20"/>
                <w:szCs w:val="20"/>
                <w:color w:val="auto"/>
              </w:rPr>
            </w:pPr>
            <w:r>
              <w:rPr>
                <w:rFonts w:ascii="Arial" w:cs="Arial" w:eastAsia="Arial" w:hAnsi="Arial"/>
                <w:sz w:val="16"/>
                <w:szCs w:val="16"/>
                <w:color w:val="auto"/>
              </w:rPr>
              <w:t>Item 10.</w:t>
            </w:r>
          </w:p>
        </w:tc>
        <w:tc>
          <w:tcPr>
            <w:tcW w:w="3720" w:type="dxa"/>
            <w:vAlign w:val="bottom"/>
            <w:gridSpan w:val="13"/>
            <w:vMerge w:val="restart"/>
          </w:tcPr>
          <w:p>
            <w:pPr>
              <w:spacing w:after="0"/>
              <w:rPr>
                <w:rFonts w:ascii="Arial" w:cs="Arial" w:eastAsia="Arial" w:hAnsi="Arial"/>
                <w:sz w:val="16"/>
                <w:szCs w:val="16"/>
                <w:color w:val="auto"/>
                <w:w w:val="91"/>
              </w:rPr>
            </w:pPr>
            <w:hyperlink w:anchor="page125">
              <w:r>
                <w:rPr>
                  <w:rFonts w:ascii="Arial" w:cs="Arial" w:eastAsia="Arial" w:hAnsi="Arial"/>
                  <w:sz w:val="16"/>
                  <w:szCs w:val="16"/>
                  <w:color w:val="auto"/>
                  <w:w w:val="91"/>
                </w:rPr>
                <w:t>Directors, Executive Officers and Corporate Governance.</w:t>
              </w:r>
            </w:hyperlink>
          </w:p>
        </w:tc>
        <w:tc>
          <w:tcPr>
            <w:tcW w:w="5320" w:type="dxa"/>
            <w:vAlign w:val="bottom"/>
            <w:gridSpan w:val="9"/>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3720" w:type="dxa"/>
            <w:vAlign w:val="bottom"/>
            <w:tcBorders>
              <w:bottom w:val="single" w:sz="8" w:color="auto"/>
            </w:tcBorders>
            <w:gridSpan w:val="13"/>
            <w:vMerge w:val="continue"/>
          </w:tcPr>
          <w:p>
            <w:pPr>
              <w:spacing w:after="0"/>
              <w:rPr>
                <w:sz w:val="11"/>
                <w:szCs w:val="11"/>
                <w:color w:val="auto"/>
              </w:rPr>
            </w:pPr>
          </w:p>
        </w:tc>
        <w:tc>
          <w:tcPr>
            <w:tcW w:w="5320" w:type="dxa"/>
            <w:vAlign w:val="bottom"/>
            <w:gridSpan w:val="9"/>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16"/>
                <w:szCs w:val="16"/>
                <w:color w:val="auto"/>
              </w:rPr>
              <w:t>Item 11.</w:t>
            </w:r>
          </w:p>
        </w:tc>
        <w:tc>
          <w:tcPr>
            <w:tcW w:w="1660" w:type="dxa"/>
            <w:vAlign w:val="bottom"/>
            <w:gridSpan w:val="8"/>
            <w:vMerge w:val="restart"/>
          </w:tcPr>
          <w:p>
            <w:pPr>
              <w:spacing w:after="0"/>
              <w:rPr>
                <w:rFonts w:ascii="Arial" w:cs="Arial" w:eastAsia="Arial" w:hAnsi="Arial"/>
                <w:sz w:val="16"/>
                <w:szCs w:val="16"/>
                <w:color w:val="auto"/>
                <w:w w:val="90"/>
              </w:rPr>
            </w:pPr>
            <w:hyperlink w:anchor="page125">
              <w:r>
                <w:rPr>
                  <w:rFonts w:ascii="Arial" w:cs="Arial" w:eastAsia="Arial" w:hAnsi="Arial"/>
                  <w:sz w:val="16"/>
                  <w:szCs w:val="16"/>
                  <w:color w:val="auto"/>
                  <w:w w:val="90"/>
                </w:rPr>
                <w:t>Executive Compensation.</w:t>
              </w:r>
            </w:hyperlink>
          </w:p>
        </w:tc>
        <w:tc>
          <w:tcPr>
            <w:tcW w:w="7380" w:type="dxa"/>
            <w:vAlign w:val="bottom"/>
            <w:gridSpan w:val="14"/>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1660" w:type="dxa"/>
            <w:vAlign w:val="bottom"/>
            <w:tcBorders>
              <w:bottom w:val="single" w:sz="8" w:color="auto"/>
            </w:tcBorders>
            <w:gridSpan w:val="8"/>
            <w:vMerge w:val="continue"/>
          </w:tcPr>
          <w:p>
            <w:pPr>
              <w:spacing w:after="0"/>
              <w:rPr>
                <w:sz w:val="11"/>
                <w:szCs w:val="11"/>
                <w:color w:val="auto"/>
              </w:rPr>
            </w:pPr>
          </w:p>
        </w:tc>
        <w:tc>
          <w:tcPr>
            <w:tcW w:w="7380" w:type="dxa"/>
            <w:vAlign w:val="bottom"/>
            <w:gridSpan w:val="14"/>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16"/>
                <w:szCs w:val="16"/>
                <w:color w:val="auto"/>
              </w:rPr>
              <w:t>Item 12.</w:t>
            </w:r>
          </w:p>
        </w:tc>
        <w:tc>
          <w:tcPr>
            <w:tcW w:w="6600" w:type="dxa"/>
            <w:vAlign w:val="bottom"/>
            <w:gridSpan w:val="20"/>
            <w:vMerge w:val="restart"/>
          </w:tcPr>
          <w:p>
            <w:pPr>
              <w:spacing w:after="0"/>
              <w:rPr>
                <w:rFonts w:ascii="Arial" w:cs="Arial" w:eastAsia="Arial" w:hAnsi="Arial"/>
                <w:sz w:val="16"/>
                <w:szCs w:val="16"/>
                <w:color w:val="auto"/>
                <w:w w:val="91"/>
              </w:rPr>
            </w:pPr>
            <w:hyperlink w:anchor="page125">
              <w:r>
                <w:rPr>
                  <w:rFonts w:ascii="Arial" w:cs="Arial" w:eastAsia="Arial" w:hAnsi="Arial"/>
                  <w:sz w:val="16"/>
                  <w:szCs w:val="16"/>
                  <w:color w:val="auto"/>
                  <w:w w:val="91"/>
                </w:rPr>
                <w:t>Security Ownership of Certain Beneficial Owners and Management and Related Stockholder Matters.</w:t>
              </w:r>
            </w:hyperlink>
          </w:p>
        </w:tc>
        <w:tc>
          <w:tcPr>
            <w:tcW w:w="2440" w:type="dxa"/>
            <w:vAlign w:val="bottom"/>
            <w:gridSpan w:val="2"/>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6600" w:type="dxa"/>
            <w:vAlign w:val="bottom"/>
            <w:tcBorders>
              <w:bottom w:val="single" w:sz="8" w:color="auto"/>
            </w:tcBorders>
            <w:gridSpan w:val="20"/>
            <w:vMerge w:val="continue"/>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16"/>
                <w:szCs w:val="16"/>
                <w:color w:val="auto"/>
              </w:rPr>
              <w:t>Item 13.</w:t>
            </w:r>
          </w:p>
        </w:tc>
        <w:tc>
          <w:tcPr>
            <w:tcW w:w="4940" w:type="dxa"/>
            <w:vAlign w:val="bottom"/>
            <w:gridSpan w:val="17"/>
            <w:vMerge w:val="restart"/>
          </w:tcPr>
          <w:p>
            <w:pPr>
              <w:spacing w:after="0"/>
              <w:rPr>
                <w:rFonts w:ascii="Arial" w:cs="Arial" w:eastAsia="Arial" w:hAnsi="Arial"/>
                <w:sz w:val="16"/>
                <w:szCs w:val="16"/>
                <w:color w:val="auto"/>
                <w:w w:val="90"/>
              </w:rPr>
            </w:pPr>
            <w:hyperlink w:anchor="page125">
              <w:r>
                <w:rPr>
                  <w:rFonts w:ascii="Arial" w:cs="Arial" w:eastAsia="Arial" w:hAnsi="Arial"/>
                  <w:sz w:val="16"/>
                  <w:szCs w:val="16"/>
                  <w:color w:val="auto"/>
                  <w:w w:val="90"/>
                </w:rPr>
                <w:t>Certain Relationships and Related Transactions, and Director Independence.</w:t>
              </w:r>
            </w:hyperlink>
          </w:p>
        </w:tc>
        <w:tc>
          <w:tcPr>
            <w:tcW w:w="4100" w:type="dxa"/>
            <w:vAlign w:val="bottom"/>
            <w:gridSpan w:val="5"/>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4940" w:type="dxa"/>
            <w:vAlign w:val="bottom"/>
            <w:tcBorders>
              <w:bottom w:val="single" w:sz="8" w:color="auto"/>
            </w:tcBorders>
            <w:gridSpan w:val="17"/>
            <w:vMerge w:val="continue"/>
          </w:tcPr>
          <w:p>
            <w:pPr>
              <w:spacing w:after="0"/>
              <w:rPr>
                <w:sz w:val="11"/>
                <w:szCs w:val="11"/>
                <w:color w:val="auto"/>
              </w:rPr>
            </w:pPr>
          </w:p>
        </w:tc>
        <w:tc>
          <w:tcPr>
            <w:tcW w:w="4100" w:type="dxa"/>
            <w:vAlign w:val="bottom"/>
            <w:gridSpan w:val="5"/>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16"/>
                <w:szCs w:val="16"/>
                <w:color w:val="auto"/>
              </w:rPr>
              <w:t>Item 14.</w:t>
            </w:r>
          </w:p>
        </w:tc>
        <w:tc>
          <w:tcPr>
            <w:tcW w:w="9040" w:type="dxa"/>
            <w:vAlign w:val="bottom"/>
            <w:gridSpan w:val="22"/>
            <w:vMerge w:val="restart"/>
          </w:tcPr>
          <w:p>
            <w:pPr>
              <w:spacing w:after="0"/>
              <w:rPr>
                <w:rFonts w:ascii="Arial" w:cs="Arial" w:eastAsia="Arial" w:hAnsi="Arial"/>
                <w:sz w:val="16"/>
                <w:szCs w:val="16"/>
                <w:color w:val="auto"/>
              </w:rPr>
            </w:pPr>
            <w:hyperlink w:anchor="page125">
              <w:r>
                <w:rPr>
                  <w:rFonts w:ascii="Arial" w:cs="Arial" w:eastAsia="Arial" w:hAnsi="Arial"/>
                  <w:sz w:val="16"/>
                  <w:szCs w:val="16"/>
                  <w:color w:val="auto"/>
                </w:rPr>
                <w:t>Principal Accountant Fees and Services.</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9040" w:type="dxa"/>
            <w:vAlign w:val="bottom"/>
            <w:gridSpan w:val="2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20" w:type="dxa"/>
            <w:vAlign w:val="bottom"/>
            <w:gridSpan w:val="9"/>
          </w:tcPr>
          <w:p>
            <w:pPr>
              <w:jc w:val="center"/>
              <w:ind w:right="4480"/>
              <w:spacing w:after="0"/>
              <w:rPr>
                <w:sz w:val="20"/>
                <w:szCs w:val="20"/>
                <w:color w:val="auto"/>
              </w:rPr>
            </w:pPr>
            <w:r>
              <w:rPr>
                <w:rFonts w:ascii="Arial" w:cs="Arial" w:eastAsia="Arial" w:hAnsi="Arial"/>
                <w:sz w:val="16"/>
                <w:szCs w:val="16"/>
                <w:b w:val="1"/>
                <w:bCs w:val="1"/>
                <w:color w:val="auto"/>
              </w:rPr>
              <w:t>PART IV</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60" w:type="dxa"/>
            <w:vAlign w:val="bottom"/>
          </w:tcPr>
          <w:p>
            <w:pPr>
              <w:spacing w:after="0"/>
              <w:rPr>
                <w:sz w:val="20"/>
                <w:szCs w:val="20"/>
                <w:color w:val="auto"/>
              </w:rPr>
            </w:pPr>
            <w:r>
              <w:rPr>
                <w:rFonts w:ascii="Arial" w:cs="Arial" w:eastAsia="Arial" w:hAnsi="Arial"/>
                <w:sz w:val="16"/>
                <w:szCs w:val="16"/>
                <w:color w:val="auto"/>
              </w:rPr>
              <w:t>Item 15.</w:t>
            </w:r>
          </w:p>
        </w:tc>
        <w:tc>
          <w:tcPr>
            <w:tcW w:w="2880" w:type="dxa"/>
            <w:vAlign w:val="bottom"/>
            <w:gridSpan w:val="12"/>
            <w:vMerge w:val="restart"/>
          </w:tcPr>
          <w:p>
            <w:pPr>
              <w:spacing w:after="0"/>
              <w:rPr>
                <w:rFonts w:ascii="Arial" w:cs="Arial" w:eastAsia="Arial" w:hAnsi="Arial"/>
                <w:sz w:val="16"/>
                <w:szCs w:val="16"/>
                <w:color w:val="auto"/>
                <w:w w:val="90"/>
              </w:rPr>
            </w:pPr>
            <w:hyperlink w:anchor="page126">
              <w:r>
                <w:rPr>
                  <w:rFonts w:ascii="Arial" w:cs="Arial" w:eastAsia="Arial" w:hAnsi="Arial"/>
                  <w:sz w:val="16"/>
                  <w:szCs w:val="16"/>
                  <w:color w:val="auto"/>
                  <w:w w:val="90"/>
                </w:rPr>
                <w:t>Exhibits and Financial Statement Schedules.</w:t>
              </w:r>
            </w:hyperlink>
          </w:p>
        </w:tc>
        <w:tc>
          <w:tcPr>
            <w:tcW w:w="6160" w:type="dxa"/>
            <w:vAlign w:val="bottom"/>
            <w:gridSpan w:val="10"/>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2880" w:type="dxa"/>
            <w:vAlign w:val="bottom"/>
            <w:tcBorders>
              <w:bottom w:val="single" w:sz="8" w:color="auto"/>
            </w:tcBorders>
            <w:gridSpan w:val="12"/>
            <w:vMerge w:val="continue"/>
          </w:tcPr>
          <w:p>
            <w:pPr>
              <w:spacing w:after="0"/>
              <w:rPr>
                <w:sz w:val="11"/>
                <w:szCs w:val="11"/>
                <w:color w:val="auto"/>
              </w:rPr>
            </w:pPr>
          </w:p>
        </w:tc>
        <w:tc>
          <w:tcPr>
            <w:tcW w:w="6160" w:type="dxa"/>
            <w:vAlign w:val="bottom"/>
            <w:gridSpan w:val="10"/>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6"/>
        </w:trPr>
        <w:tc>
          <w:tcPr>
            <w:tcW w:w="1360" w:type="dxa"/>
            <w:vAlign w:val="bottom"/>
          </w:tcPr>
          <w:p>
            <w:pPr>
              <w:spacing w:after="0"/>
              <w:rPr>
                <w:sz w:val="24"/>
                <w:szCs w:val="24"/>
                <w:color w:val="auto"/>
              </w:rPr>
            </w:pPr>
          </w:p>
        </w:tc>
        <w:tc>
          <w:tcPr>
            <w:tcW w:w="9040" w:type="dxa"/>
            <w:vAlign w:val="bottom"/>
            <w:gridSpan w:val="22"/>
          </w:tcPr>
          <w:p>
            <w:pPr>
              <w:spacing w:after="0"/>
              <w:rPr>
                <w:rFonts w:ascii="Arial" w:cs="Arial" w:eastAsia="Arial" w:hAnsi="Arial"/>
                <w:sz w:val="16"/>
                <w:szCs w:val="16"/>
                <w:color w:val="auto"/>
              </w:rPr>
            </w:pPr>
            <w:hyperlink w:anchor="page128">
              <w:r>
                <w:rPr>
                  <w:rFonts w:ascii="Arial" w:cs="Arial" w:eastAsia="Arial" w:hAnsi="Arial"/>
                  <w:sz w:val="16"/>
                  <w:szCs w:val="16"/>
                  <w:color w:val="auto"/>
                </w:rPr>
                <w:t>SIGNATURES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This Annual Report on Form 10-K (“Annual Report”)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Annual Report on Form 10-K involve risks and uncertainties, including statements as to:</w:t>
      </w:r>
    </w:p>
    <w:p>
      <w:pPr>
        <w:spacing w:after="0" w:line="67" w:lineRule="exact"/>
        <w:rPr>
          <w:sz w:val="20"/>
          <w:szCs w:val="20"/>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results and the uncertainties associated with the continued impact of the COVID-19 pandemic thereon;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financial and lending markets;</w:t>
      </w:r>
    </w:p>
    <w:p>
      <w:pPr>
        <w:spacing w:after="0" w:line="103"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 and the impact of the COVID-19 pandemic thereon;</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the Investment Advisor to locate suitable investments for us and to monitor and administer our investments and the impacts of the COVID-19 pandemic thereon;</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investment advisor to attract and retain highly talented professionals;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operate as a BDC and a RIC and each of the Funds to operate as an SBIC;</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interest rate volatility, including the decommissioning of LIBOR, and inflation on our business;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valuation of any investments in portfolio companies, particularly those having no liquid trading market;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15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4" w:lineRule="exact"/>
        <w:rPr>
          <w:sz w:val="20"/>
          <w:szCs w:val="20"/>
          <w:color w:val="auto"/>
        </w:rPr>
      </w:pPr>
    </w:p>
    <w:p>
      <w:pPr>
        <w:ind w:left="760" w:right="20" w:hanging="378"/>
        <w:spacing w:after="0" w:line="26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current COVID-19 pandemic, could impair our portfolio companies’ ability to continue to operate, which could lead to the loss of some or all of our investments in such portfolio companies;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including as a result of the COVID-19 pandemic, could impair our lending and investment activities;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because we use leverage as part of our investment strategy; and</w:t>
      </w:r>
    </w:p>
    <w:p>
      <w:pPr>
        <w:spacing w:after="0" w:line="115" w:lineRule="exact"/>
        <w:rPr>
          <w:rFonts w:ascii="Arial" w:cs="Arial" w:eastAsia="Arial" w:hAnsi="Arial"/>
          <w:sz w:val="17"/>
          <w:szCs w:val="17"/>
          <w:color w:val="auto"/>
        </w:rPr>
      </w:pPr>
    </w:p>
    <w:p>
      <w:pPr>
        <w:ind w:left="760" w:hanging="378"/>
        <w:spacing w:after="0" w:line="26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Item 1A. – Risk Factors contained in our Annual Report on Form 10-K for the year ended December 31, 2021 and in our other filings with the SEC.</w:t>
      </w:r>
    </w:p>
    <w:p>
      <w:pPr>
        <w:spacing w:after="0" w:line="117" w:lineRule="exact"/>
        <w:rPr>
          <w:sz w:val="20"/>
          <w:szCs w:val="20"/>
          <w:color w:val="auto"/>
        </w:rPr>
      </w:pPr>
    </w:p>
    <w:p>
      <w:pPr>
        <w:jc w:val="both"/>
        <w:ind w:firstLine="469"/>
        <w:spacing w:after="0" w:line="239"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7"/>
          <w:szCs w:val="17"/>
          <w:color w:val="auto"/>
        </w:rPr>
        <w:t>in this Annual Report should not be regarded as a representation by us that our plans and objectives will be achieved. These risks and uncertainties include those described or identified in Item 1A entitled “Risk Factors” in Part 1 and elsewhere in this Annual Report. You should not place undue reliance on these forward-looking statements as a prediction of actual results, which apply only as of the date of this Annual Report.</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pacing w:after="0" w:line="162" w:lineRule="exact"/>
        <w:rPr>
          <w:sz w:val="20"/>
          <w:szCs w:val="20"/>
          <w:color w:val="auto"/>
        </w:rPr>
      </w:pPr>
    </w:p>
    <w:p>
      <w:pPr>
        <w:jc w:val="both"/>
        <w:ind w:firstLine="656"/>
        <w:spacing w:after="0" w:line="241"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 Some of the statements in this Annual Report constitute forward-looking statements, which apply to us and relate to future events, future performance or financial conditions. The forward-looking statements involve risks and uncertainties for us and our portfolio companies and actual results could differ materially from those projected in the forward-looking statements for any reason, including those factors discussed in Item 1A. entitled “Risk Factors” and elsewhere in this report.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firstLine="656"/>
        <w:spacing w:after="0" w:line="262" w:lineRule="auto"/>
        <w:rPr>
          <w:sz w:val="20"/>
          <w:szCs w:val="20"/>
          <w:color w:val="auto"/>
        </w:rPr>
      </w:pPr>
      <w:r>
        <w:rPr>
          <w:rFonts w:ascii="Arial" w:cs="Arial" w:eastAsia="Arial" w:hAnsi="Arial"/>
          <w:sz w:val="17"/>
          <w:szCs w:val="17"/>
          <w:color w:val="auto"/>
        </w:rPr>
        <w:t>Fidus Investment Corporation, a Maryland Corporation, operates as an externally managed business development company (“BDC”) under the Investment Company Act of 1940 (“1940 Act”). FIC completed its initial public offering, or IPO, in June 2011. In addition, FIC has elected, and intends to qualify annually, to be treated as a regulated investment company (“RIC”) under Subchapter M of the Internal Revenue Code of 1986, as amended (the “Code”). As of December 31, 2021, our shares were listed on the NASDAQ Global Select Market under the symbol “FDUS.”</w:t>
      </w:r>
    </w:p>
    <w:p>
      <w:pPr>
        <w:spacing w:after="0" w:line="118" w:lineRule="exact"/>
        <w:rPr>
          <w:sz w:val="20"/>
          <w:szCs w:val="20"/>
          <w:color w:val="auto"/>
        </w:rPr>
      </w:pPr>
    </w:p>
    <w:p>
      <w:pPr>
        <w:jc w:val="both"/>
        <w:ind w:firstLine="656"/>
        <w:spacing w:after="0" w:line="271" w:lineRule="auto"/>
        <w:rPr>
          <w:sz w:val="20"/>
          <w:szCs w:val="20"/>
          <w:color w:val="auto"/>
        </w:rPr>
      </w:pPr>
      <w:r>
        <w:rPr>
          <w:rFonts w:ascii="Arial" w:cs="Arial" w:eastAsia="Arial" w:hAnsi="Arial"/>
          <w:sz w:val="16"/>
          <w:szCs w:val="16"/>
          <w:color w:val="auto"/>
        </w:rPr>
        <w:t>FIC may make investments directly or through its two wholly-owned investment company subsidiaries, Fidus Mezzanine Capital II, L.P. (“Fund II”) and Fidus Mezzanine Capital III, L.P. (“Fund III”) (collectively Fund II and Fund III are referred to as the “Funds”). Fidus Investment GP, LLC, the general partner of the Funds, is also a wholly owned subsidiary of FIC. The Funds are licensed by the U.S. Small Business Administration (the “SBA”) to operate as small business investment companies (“SBICs”). The Funds utilize the proceeds of the issuance of SBA-guaranteed debentures to enhance returns to our stockholders. As of September 9, 2019, Fidus Mezzanine Capital, L.P. (“Fund I”) completed a wind-down plan, relinquished its SBIC license, and can no longer issue additional SBA-guaranteed debentures. 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during the investment period until the Funds reach their borrowing limit under the program. For two or more SBICs under common control, the maximum amount of outstanding SBA debentures cannot exceed $350.0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right="160" w:firstLine="663"/>
        <w:spacing w:after="0" w:line="238" w:lineRule="auto"/>
        <w:rPr>
          <w:sz w:val="20"/>
          <w:szCs w:val="20"/>
          <w:color w:val="auto"/>
        </w:rPr>
      </w:pPr>
      <w:r>
        <w:rPr>
          <w:rFonts w:ascii="Arial" w:cs="Arial" w:eastAsia="Arial" w:hAnsi="Arial"/>
          <w:sz w:val="18"/>
          <w:szCs w:val="18"/>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w:t>
      </w:r>
    </w:p>
    <w:p>
      <w:pPr>
        <w:spacing w:after="0" w:line="140" w:lineRule="exact"/>
        <w:rPr>
          <w:sz w:val="20"/>
          <w:szCs w:val="20"/>
          <w:color w:val="auto"/>
        </w:rPr>
      </w:pPr>
    </w:p>
    <w:p>
      <w:pPr>
        <w:jc w:val="both"/>
        <w:ind w:right="160" w:firstLine="663"/>
        <w:spacing w:after="0" w:line="241" w:lineRule="auto"/>
        <w:rPr>
          <w:sz w:val="20"/>
          <w:szCs w:val="20"/>
          <w:color w:val="auto"/>
        </w:rPr>
      </w:pPr>
      <w:r>
        <w:rPr>
          <w:rFonts w:ascii="Arial" w:cs="Arial" w:eastAsia="Arial" w:hAnsi="Arial"/>
          <w:sz w:val="18"/>
          <w:szCs w:val="18"/>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w:t>
      </w:r>
    </w:p>
    <w:p>
      <w:pPr>
        <w:spacing w:after="0" w:line="135" w:lineRule="exact"/>
        <w:rPr>
          <w:sz w:val="20"/>
          <w:szCs w:val="20"/>
          <w:color w:val="auto"/>
        </w:rPr>
      </w:pPr>
    </w:p>
    <w:p>
      <w:pPr>
        <w:jc w:val="both"/>
        <w:ind w:right="160" w:firstLine="663"/>
        <w:spacing w:after="0" w:line="252" w:lineRule="auto"/>
        <w:rPr>
          <w:sz w:val="20"/>
          <w:szCs w:val="20"/>
          <w:color w:val="auto"/>
        </w:rPr>
      </w:pPr>
      <w:r>
        <w:rPr>
          <w:rFonts w:ascii="Arial" w:cs="Arial" w:eastAsia="Arial" w:hAnsi="Arial"/>
          <w:sz w:val="17"/>
          <w:szCs w:val="17"/>
          <w:color w:val="auto"/>
        </w:rPr>
        <w:t>As of December 31, 2021, we had debt and equity investments in 70 portfolio companies with an aggregate fair value of $719.1 million. The weighted average yield on our debt investments as of December 31, 2021 was 12.3%. The weighted average yield of our debt investments is not the same as a return on investment for our stockholders but, rather, relates to a portion of our investment portfolio and is calculated before the payment of all of our fees and expenses. The weighted average yield was computed using the effective interest rates for debt investments at cost as of December 31, 2021, including accretion of original issue discount (“OID”) and loan origination fees, but excluding investments on non-accrual status, if any. There can be no assurance that the weighted average yield will remain at its current level. For the year ended December 31, 2021, our total return based on net asset value (“NAV”) per share was 28.3% and our total return based on market value was 53.9%. For the year ended December 31, 2020, our total return based on NAV was 7.6% and our total return based on market value was 1.0%. 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 Total return based on market value equals the change in the market value of our common stock per</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both"/>
        <w:ind w:right="160"/>
        <w:spacing w:after="0" w:line="248" w:lineRule="auto"/>
        <w:rPr>
          <w:sz w:val="20"/>
          <w:szCs w:val="20"/>
          <w:color w:val="auto"/>
        </w:rPr>
      </w:pPr>
      <w:r>
        <w:rPr>
          <w:rFonts w:ascii="Arial" w:cs="Arial" w:eastAsia="Arial" w:hAnsi="Arial"/>
          <w:sz w:val="18"/>
          <w:szCs w:val="18"/>
          <w:color w:val="auto"/>
        </w:rPr>
        <w:t>share during the period divided by the market value per share at the beginning of the period, and assumes reinvestment of dividends at prices obtained by our dividend reinvestment plan during the period. While these two figures reflect fund expenses, they do not reflect any sales load that may be paid by investors.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2" w:lineRule="exact"/>
        <w:rPr>
          <w:sz w:val="20"/>
          <w:szCs w:val="20"/>
          <w:color w:val="auto"/>
        </w:rPr>
      </w:pPr>
    </w:p>
    <w:p>
      <w:pPr>
        <w:jc w:val="both"/>
        <w:ind w:firstLine="656"/>
        <w:spacing w:after="0" w:line="255" w:lineRule="auto"/>
        <w:rPr>
          <w:sz w:val="20"/>
          <w:szCs w:val="20"/>
          <w:color w:val="auto"/>
        </w:rPr>
      </w:pPr>
      <w:r>
        <w:rPr>
          <w:rFonts w:ascii="Arial" w:cs="Arial" w:eastAsia="Arial" w:hAnsi="Arial"/>
          <w:sz w:val="17"/>
          <w:szCs w:val="17"/>
          <w:color w:val="auto"/>
        </w:rPr>
        <w:t xml:space="preserve">Our headquarters are in Evanston, Illinois, and our internet address is </w:t>
      </w:r>
      <w:r>
        <w:rPr>
          <w:rFonts w:ascii="Arial" w:cs="Arial" w:eastAsia="Arial" w:hAnsi="Arial"/>
          <w:sz w:val="17"/>
          <w:szCs w:val="17"/>
          <w:i w:val="1"/>
          <w:iCs w:val="1"/>
          <w:color w:val="auto"/>
        </w:rPr>
        <w:t>www.fdus.com</w:t>
      </w:r>
      <w:r>
        <w:rPr>
          <w:rFonts w:ascii="Arial" w:cs="Arial" w:eastAsia="Arial" w:hAnsi="Arial"/>
          <w:sz w:val="17"/>
          <w:szCs w:val="17"/>
          <w:color w:val="auto"/>
        </w:rPr>
        <w:t xml:space="preserve">. We are not including the information contained on our website as a part of, or incorporating it by reference into, this Annual Report. We make available free of charge through our website our proxy statement, annual reports on Form 10-K, quarterly reports on Form 10-Q, current reports on Form 8-K and amendments to those reports, as soon as reasonably practicable after we electronically file such material with, or furnish such material to, the U.S. Securities and Exchange Commission (the “SEC”). The SEC maintains an internet 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regarding issuers, like us, that file electronically with the SEC. Copies of this Annual Report and other reports are also available without charge by contacting us in writing at 1603 Orrington Avenue, Suite 1005, Evanston, Illinois 60201, Attention: Investor Relations.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w:t>
      </w:r>
    </w:p>
    <w:p>
      <w:pPr>
        <w:spacing w:after="0" w:line="162" w:lineRule="exact"/>
        <w:rPr>
          <w:sz w:val="20"/>
          <w:szCs w:val="20"/>
          <w:color w:val="auto"/>
        </w:rPr>
      </w:pPr>
    </w:p>
    <w:p>
      <w:pPr>
        <w:jc w:val="both"/>
        <w:ind w:right="160" w:firstLine="663"/>
        <w:spacing w:after="0" w:line="238" w:lineRule="auto"/>
        <w:rPr>
          <w:sz w:val="20"/>
          <w:szCs w:val="20"/>
          <w:color w:val="auto"/>
        </w:rPr>
      </w:pPr>
      <w:r>
        <w:rPr>
          <w:rFonts w:ascii="Arial" w:cs="Arial" w:eastAsia="Arial" w:hAnsi="Arial"/>
          <w:sz w:val="18"/>
          <w:szCs w:val="18"/>
          <w:color w:val="auto"/>
        </w:rPr>
        <w:t>Our investment activities are managed by Fidus Investment Advisors, LLC, our investment advisor, and supervised by our board of directors, a majority of whom are not “interested persons” of FIC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w:t>
      </w:r>
    </w:p>
    <w:p>
      <w:pPr>
        <w:spacing w:after="0" w:line="134" w:lineRule="exact"/>
        <w:rPr>
          <w:sz w:val="20"/>
          <w:szCs w:val="20"/>
          <w:color w:val="auto"/>
        </w:rPr>
      </w:pPr>
    </w:p>
    <w:p>
      <w:pPr>
        <w:jc w:val="both"/>
        <w:ind w:right="160" w:firstLine="663"/>
        <w:spacing w:after="0" w:line="270" w:lineRule="auto"/>
        <w:rPr>
          <w:sz w:val="20"/>
          <w:szCs w:val="20"/>
          <w:color w:val="auto"/>
        </w:rPr>
      </w:pPr>
      <w:r>
        <w:rPr>
          <w:rFonts w:ascii="Arial" w:cs="Arial" w:eastAsia="Arial" w:hAnsi="Arial"/>
          <w:sz w:val="16"/>
          <w:szCs w:val="16"/>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For more information about how we compensate our investment advisor, see “Management and Other Agreements—Investment Advisory Agreement.”</w:t>
      </w:r>
    </w:p>
    <w:p>
      <w:pPr>
        <w:spacing w:after="0" w:line="117" w:lineRule="exact"/>
        <w:rPr>
          <w:sz w:val="20"/>
          <w:szCs w:val="20"/>
          <w:color w:val="auto"/>
        </w:rPr>
      </w:pPr>
    </w:p>
    <w:p>
      <w:pPr>
        <w:jc w:val="both"/>
        <w:ind w:right="160" w:firstLine="663"/>
        <w:spacing w:after="0" w:line="274" w:lineRule="auto"/>
        <w:rPr>
          <w:sz w:val="20"/>
          <w:szCs w:val="20"/>
          <w:color w:val="auto"/>
        </w:rPr>
      </w:pPr>
      <w:r>
        <w:rPr>
          <w:rFonts w:ascii="Arial" w:cs="Arial" w:eastAsia="Arial" w:hAnsi="Arial"/>
          <w:sz w:val="16"/>
          <w:szCs w:val="16"/>
          <w:color w:val="auto"/>
        </w:rPr>
        <w:t>Among other things, our board of directors is charged with protecting our interests by monitoring how our investment advisor addresses conflicts of interest associated with its management services and compensation.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spacing w:after="0" w:line="109" w:lineRule="exact"/>
        <w:rPr>
          <w:sz w:val="20"/>
          <w:szCs w:val="20"/>
          <w:color w:val="auto"/>
        </w:rPr>
      </w:pPr>
    </w:p>
    <w:p>
      <w:pPr>
        <w:jc w:val="both"/>
        <w:ind w:right="160" w:firstLine="663"/>
        <w:spacing w:after="0" w:line="243" w:lineRule="auto"/>
        <w:rPr>
          <w:sz w:val="20"/>
          <w:szCs w:val="20"/>
          <w:color w:val="auto"/>
        </w:rPr>
      </w:pPr>
      <w:r>
        <w:rPr>
          <w:rFonts w:ascii="Arial" w:cs="Arial" w:eastAsia="Arial" w:hAnsi="Arial"/>
          <w:sz w:val="18"/>
          <w:szCs w:val="18"/>
          <w:color w:val="auto"/>
        </w:rPr>
        <w:t>Fidus Investment Advisors, LLC is a Delaware limited liability company that is registered as an investment advisor under the Investment Advisers Act of 1940, as amended, or the Advisers Act. In addition, Fidus Investment Advisors, LLC serves as our administrator and provides us with office space, equipment and clerical, book-keeping and record-keeping services pursuant to an administration agreement, which we refer to as the Administration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ind w:right="20" w:firstLine="656"/>
        <w:spacing w:after="0" w:line="261" w:lineRule="auto"/>
        <w:rPr>
          <w:sz w:val="20"/>
          <w:szCs w:val="20"/>
          <w:color w:val="auto"/>
        </w:rPr>
      </w:pPr>
      <w:r>
        <w:rPr>
          <w:rFonts w:ascii="Arial" w:cs="Arial" w:eastAsia="Arial" w:hAnsi="Arial"/>
          <w:sz w:val="18"/>
          <w:szCs w:val="18"/>
          <w:color w:val="auto"/>
        </w:rPr>
        <w:t>We intend to accomplish our goal of becoming one of the premier providers of capital to and value-added partner of lower middle-market companies by: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jc w:val="both"/>
        <w:ind w:firstLine="656"/>
        <w:spacing w:after="0" w:line="276" w:lineRule="auto"/>
        <w:rPr>
          <w:sz w:val="20"/>
          <w:szCs w:val="20"/>
          <w:color w:val="auto"/>
        </w:rPr>
      </w:pPr>
      <w:r>
        <w:rPr>
          <w:rFonts w:ascii="Arial" w:cs="Arial" w:eastAsia="Arial" w:hAnsi="Arial"/>
          <w:sz w:val="16"/>
          <w:szCs w:val="16"/>
          <w:i w:val="1"/>
          <w:iCs w:val="1"/>
          <w:color w:val="auto"/>
        </w:rPr>
        <w:t>Leveraging the Experience of Our Investment Advisor</w:t>
      </w:r>
      <w:r>
        <w:rPr>
          <w:rFonts w:ascii="Arial" w:cs="Arial" w:eastAsia="Arial" w:hAnsi="Arial"/>
          <w:sz w:val="16"/>
          <w:szCs w:val="16"/>
          <w:color w:val="auto"/>
        </w:rPr>
        <w:t>. Our investment advisor’s investment professionals have significant experience investing in,</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to and advising companies across multiple industries and changing market cycles. These professionals have diverse backgrounds with prior experience in senior management positions at investment banks, specialty finance companies, commercial banks and privately and publicly held companies and have extensive experience investing across all levels of the capital structure of lower middle-market companies. We believe these professionals possess an in-depth understanding of the strategic, financial and operational challenges and opportunities of lower middle-market companies, enabling our investment advisor to effectively identify, assess, structure and monitor our investments.</w:t>
      </w:r>
    </w:p>
    <w:p>
      <w:pPr>
        <w:spacing w:after="0" w:line="108" w:lineRule="exact"/>
        <w:rPr>
          <w:sz w:val="20"/>
          <w:szCs w:val="20"/>
          <w:color w:val="auto"/>
        </w:rPr>
      </w:pPr>
    </w:p>
    <w:p>
      <w:pPr>
        <w:jc w:val="both"/>
        <w:ind w:firstLine="656"/>
        <w:spacing w:after="0" w:line="262" w:lineRule="auto"/>
        <w:rPr>
          <w:sz w:val="20"/>
          <w:szCs w:val="20"/>
          <w:color w:val="auto"/>
        </w:rPr>
      </w:pPr>
      <w:r>
        <w:rPr>
          <w:rFonts w:ascii="Arial" w:cs="Arial" w:eastAsia="Arial" w:hAnsi="Arial"/>
          <w:sz w:val="17"/>
          <w:szCs w:val="17"/>
          <w:i w:val="1"/>
          <w:iCs w:val="1"/>
          <w:color w:val="auto"/>
        </w:rPr>
        <w:t>Capitalizing on Our Strong Transaction Sourcing Network</w:t>
      </w:r>
      <w:r>
        <w:rPr>
          <w:rFonts w:ascii="Arial" w:cs="Arial" w:eastAsia="Arial" w:hAnsi="Arial"/>
          <w:sz w:val="17"/>
          <w:szCs w:val="17"/>
          <w:color w:val="auto"/>
        </w:rPr>
        <w:t>. Our investment advisor’s investment professionals possess an extensive network of</w:t>
      </w:r>
      <w:r>
        <w:rPr>
          <w:rFonts w:ascii="Arial" w:cs="Arial" w:eastAsia="Arial" w:hAnsi="Arial"/>
          <w:sz w:val="17"/>
          <w:szCs w:val="17"/>
          <w:i w:val="1"/>
          <w:iCs w:val="1"/>
          <w:color w:val="auto"/>
        </w:rPr>
        <w:t xml:space="preserve"> </w:t>
      </w:r>
      <w:r>
        <w:rPr>
          <w:rFonts w:ascii="Arial" w:cs="Arial" w:eastAsia="Arial" w:hAnsi="Arial"/>
          <w:sz w:val="17"/>
          <w:szCs w:val="17"/>
          <w:color w:val="auto"/>
        </w:rPr>
        <w:t>long-standing relationships with private equity firms, middle-market senior lenders, junior capital partners, financial intermediaries and management teams of privately owned businesses. We believe that the combination of our investment advisor’s relationships and our reputation as a reliable, responsive and value-added financing partner helps us generate a steady stream of new investment opportunities and proprietary deal flow.</w:t>
      </w:r>
    </w:p>
    <w:p>
      <w:pPr>
        <w:spacing w:after="0" w:line="118" w:lineRule="exact"/>
        <w:rPr>
          <w:sz w:val="20"/>
          <w:szCs w:val="20"/>
          <w:color w:val="auto"/>
        </w:rPr>
      </w:pPr>
    </w:p>
    <w:p>
      <w:pPr>
        <w:jc w:val="both"/>
        <w:ind w:firstLine="656"/>
        <w:spacing w:after="0" w:line="253" w:lineRule="auto"/>
        <w:rPr>
          <w:sz w:val="20"/>
          <w:szCs w:val="20"/>
          <w:color w:val="auto"/>
        </w:rPr>
      </w:pPr>
      <w:r>
        <w:rPr>
          <w:rFonts w:ascii="Arial" w:cs="Arial" w:eastAsia="Arial" w:hAnsi="Arial"/>
          <w:sz w:val="17"/>
          <w:szCs w:val="17"/>
          <w:i w:val="1"/>
          <w:iCs w:val="1"/>
          <w:color w:val="auto"/>
        </w:rPr>
        <w:t>Serving as a Value-Added Partner with Customized Financing Solutions</w:t>
      </w:r>
      <w:r>
        <w:rPr>
          <w:rFonts w:ascii="Arial" w:cs="Arial" w:eastAsia="Arial" w:hAnsi="Arial"/>
          <w:sz w:val="17"/>
          <w:szCs w:val="17"/>
          <w:color w:val="auto"/>
        </w:rPr>
        <w:t>. We follow a partnership-oriented investment approach and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where we believe we can add value to a portfolio company. We primarily concentrate on industries or market niches in which the investment professionals of our investment advisor have prior experience. These professionals also have expertise in structuring securities at all levels of the capital structure, which we believe positions us well to meet the unique financing needs of our portfolio companies. We invest primarily in unitranche or first lien senior secured loans, typically coupled with an equity interest; however, on a selective basis we may invest in second lien and subordinated debt securities. Further, as a publicly-traded BDC, we have a longer investment horizon without the capital return requirements of traditional private investment vehicles. We believe this flexibility enables us to generate attractive risk-adjusted returns on invested capital and enables us to be a better long-term partner for our portfolio companies. We believe that by leveraging the industry and structuring expertise of our investment advisor coupled with our long-term investment horizon, we are well positioned to be a value-added partner for our portfolio companies.</w:t>
      </w:r>
    </w:p>
    <w:p>
      <w:pPr>
        <w:spacing w:after="0" w:line="130" w:lineRule="exact"/>
        <w:rPr>
          <w:sz w:val="20"/>
          <w:szCs w:val="20"/>
          <w:color w:val="auto"/>
        </w:rPr>
      </w:pPr>
    </w:p>
    <w:p>
      <w:pPr>
        <w:jc w:val="both"/>
        <w:ind w:firstLine="656"/>
        <w:spacing w:after="0" w:line="268" w:lineRule="auto"/>
        <w:rPr>
          <w:sz w:val="20"/>
          <w:szCs w:val="20"/>
          <w:color w:val="auto"/>
        </w:rPr>
      </w:pPr>
      <w:r>
        <w:rPr>
          <w:rFonts w:ascii="Arial" w:cs="Arial" w:eastAsia="Arial" w:hAnsi="Arial"/>
          <w:sz w:val="16"/>
          <w:szCs w:val="16"/>
          <w:i w:val="1"/>
          <w:iCs w:val="1"/>
          <w:color w:val="auto"/>
        </w:rPr>
        <w:t>Employing Rigorous Due Diligence and Underwriting Processes Focused on Capital Preservation</w:t>
      </w:r>
      <w:r>
        <w:rPr>
          <w:rFonts w:ascii="Arial" w:cs="Arial" w:eastAsia="Arial" w:hAnsi="Arial"/>
          <w:sz w:val="16"/>
          <w:szCs w:val="16"/>
          <w:color w:val="auto"/>
        </w:rPr>
        <w:t>. Our investment advisor follows a disciplined</w:t>
      </w:r>
      <w:r>
        <w:rPr>
          <w:rFonts w:ascii="Arial" w:cs="Arial" w:eastAsia="Arial" w:hAnsi="Arial"/>
          <w:sz w:val="16"/>
          <w:szCs w:val="16"/>
          <w:i w:val="1"/>
          <w:iCs w:val="1"/>
          <w:color w:val="auto"/>
        </w:rPr>
        <w:t xml:space="preserve"> </w:t>
      </w:r>
      <w:r>
        <w:rPr>
          <w:rFonts w:ascii="Arial" w:cs="Arial" w:eastAsia="Arial" w:hAnsi="Arial"/>
          <w:sz w:val="16"/>
          <w:szCs w:val="16"/>
          <w:color w:val="auto"/>
        </w:rPr>
        <w:t>and credit-oriented approach to evaluating and investing in companies. We focus on companies with proven business models, significant free cash flow, defensible market positions and significant enterprise value cushion for our debt investments. In making investment decisions, we seek to minimize the risk of capital loss without foregoing the opportunity for capital appreciation. Our investment advisor’s investment professionals have developed extensive due diligence and underwriting processes designed to better assess a portfolio company’s prospects and to determine the appropriate investment structure. Our investment advisor thoroughly analyzes each potential portfolio company’s competitive position, financial performance, management team, growth potential and industry attractiveness. As part of this process, our investment advisor also participates in meetings with management, tours of facilities, discussions with industry professionals and third-party reviews. We believe this approach enables us to build and maintain an attractive investment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portfolio that meets our return and value criteria over the long term.</w:t>
      </w:r>
    </w:p>
    <w:p>
      <w:pPr>
        <w:spacing w:after="0" w:line="170" w:lineRule="exact"/>
        <w:rPr>
          <w:sz w:val="20"/>
          <w:szCs w:val="20"/>
          <w:color w:val="auto"/>
        </w:rPr>
      </w:pPr>
    </w:p>
    <w:p>
      <w:pPr>
        <w:jc w:val="both"/>
        <w:ind w:firstLine="656"/>
        <w:spacing w:after="0"/>
        <w:rPr>
          <w:sz w:val="20"/>
          <w:szCs w:val="20"/>
          <w:color w:val="auto"/>
        </w:rPr>
      </w:pPr>
      <w:r>
        <w:rPr>
          <w:rFonts w:ascii="Arial" w:cs="Arial" w:eastAsia="Arial" w:hAnsi="Arial"/>
          <w:sz w:val="18"/>
          <w:szCs w:val="18"/>
          <w:i w:val="1"/>
          <w:iCs w:val="1"/>
          <w:color w:val="auto"/>
        </w:rPr>
        <w:t>Actively Managing our Portfolio</w:t>
      </w:r>
      <w:r>
        <w:rPr>
          <w:rFonts w:ascii="Arial" w:cs="Arial" w:eastAsia="Arial" w:hAnsi="Arial"/>
          <w:sz w:val="18"/>
          <w:szCs w:val="18"/>
          <w:color w:val="auto"/>
        </w:rPr>
        <w:t>. We believe that our investment advisor’s initial and ongoing portfolio review process allows us to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monitor the performance and prospects of our portfolio companies. We seek to obtain board observation rights or board seats with respect to our portfolio companies, and we conduct monthly financial reviews and have regular discussions with portfolio company management. We structure our investments with a comprehensive set of financial maintenance covenants, including affirmative and negative covenants. We believe that active monitoring of our portfolio companies’ compliance with covenants provides us with an early warning of any financial difficulty and enhances our ability to protect our invested capital.</w:t>
      </w:r>
    </w:p>
    <w:p>
      <w:pPr>
        <w:spacing w:after="0" w:line="135" w:lineRule="exact"/>
        <w:rPr>
          <w:sz w:val="20"/>
          <w:szCs w:val="20"/>
          <w:color w:val="auto"/>
        </w:rPr>
      </w:pPr>
    </w:p>
    <w:p>
      <w:pPr>
        <w:jc w:val="both"/>
        <w:ind w:firstLine="656"/>
        <w:spacing w:after="0" w:line="279" w:lineRule="auto"/>
        <w:rPr>
          <w:sz w:val="20"/>
          <w:szCs w:val="20"/>
          <w:color w:val="auto"/>
        </w:rPr>
      </w:pPr>
      <w:r>
        <w:rPr>
          <w:rFonts w:ascii="Arial" w:cs="Arial" w:eastAsia="Arial" w:hAnsi="Arial"/>
          <w:sz w:val="16"/>
          <w:szCs w:val="16"/>
          <w:i w:val="1"/>
          <w:iCs w:val="1"/>
          <w:color w:val="auto"/>
        </w:rPr>
        <w:t>Maintaining Portfolio Diversification</w:t>
      </w:r>
      <w:r>
        <w:rPr>
          <w:rFonts w:ascii="Arial" w:cs="Arial" w:eastAsia="Arial" w:hAnsi="Arial"/>
          <w:sz w:val="16"/>
          <w:szCs w:val="16"/>
          <w:color w:val="auto"/>
        </w:rPr>
        <w:t>. We seek to maintain a portfolio of investments that is appropriately diversified among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geographic regions and end markets. We have made investments in portfolio companies in the following industries: business services, industrial products and services, value-added distribution, healthcare products and services, consumer products and services (including retail, food and beverage), energy services, aerospace, and defense manufacturing, transportation services, information technology services and niche manufacturing. We believe that investing across various industries helps mitigate the potential effects of negative economic events for particular companies, regions and industries.</w:t>
      </w:r>
    </w:p>
    <w:p>
      <w:pPr>
        <w:spacing w:after="0" w:line="105"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i w:val="1"/>
          <w:iCs w:val="1"/>
          <w:color w:val="auto"/>
        </w:rPr>
        <w:t>Benefiting from Lower Cost of Capital</w:t>
      </w:r>
      <w:r>
        <w:rPr>
          <w:rFonts w:ascii="Arial" w:cs="Arial" w:eastAsia="Arial" w:hAnsi="Arial"/>
          <w:sz w:val="18"/>
          <w:szCs w:val="18"/>
          <w:color w:val="auto"/>
        </w:rPr>
        <w:t>. The Funds’ SBIC licenses allow us to issue SBA-guaranteed debentures. These SBA debentures carry</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fixed rates that are generally lower than rates on comparable bank and public debt. Because lower-cost SBA leverage is a significant part of our funding strategy, our relative cost of debt capital should be lower than many of our competitors. For two or more SBICs under common control, the maximum amount of outstanding SBA debentures cannot exceed $350.0 million.</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Investments</w:t>
      </w:r>
    </w:p>
    <w:p>
      <w:pPr>
        <w:spacing w:after="0" w:line="162"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jc w:val="both"/>
        <w:spacing w:after="0" w:line="261" w:lineRule="auto"/>
        <w:rPr>
          <w:sz w:val="20"/>
          <w:szCs w:val="20"/>
          <w:color w:val="auto"/>
        </w:rPr>
      </w:pPr>
      <w:r>
        <w:rPr>
          <w:rFonts w:ascii="Arial" w:cs="Arial" w:eastAsia="Arial" w:hAnsi="Arial"/>
          <w:sz w:val="18"/>
          <w:szCs w:val="18"/>
          <w:color w:val="auto"/>
        </w:rPr>
        <w:t>in the equity securities of our portfolio companies, such as preferred stock, common stock, warrants and other equity interests, either directly or in conjunction with our debt investments.</w:t>
      </w:r>
    </w:p>
    <w:p>
      <w:pPr>
        <w:spacing w:after="0" w:line="117" w:lineRule="exact"/>
        <w:rPr>
          <w:sz w:val="20"/>
          <w:szCs w:val="20"/>
          <w:color w:val="auto"/>
        </w:rPr>
      </w:pPr>
    </w:p>
    <w:p>
      <w:pPr>
        <w:jc w:val="both"/>
        <w:ind w:firstLine="656"/>
        <w:spacing w:after="0" w:line="269" w:lineRule="auto"/>
        <w:rPr>
          <w:sz w:val="20"/>
          <w:szCs w:val="20"/>
          <w:color w:val="auto"/>
        </w:rPr>
      </w:pPr>
      <w:r>
        <w:rPr>
          <w:rFonts w:ascii="Arial" w:cs="Arial" w:eastAsia="Arial" w:hAnsi="Arial"/>
          <w:sz w:val="16"/>
          <w:szCs w:val="16"/>
          <w:i w:val="1"/>
          <w:iCs w:val="1"/>
          <w:color w:val="auto"/>
        </w:rPr>
        <w:t>First Lien Debt</w:t>
      </w:r>
      <w:r>
        <w:rPr>
          <w:rFonts w:ascii="Arial" w:cs="Arial" w:eastAsia="Arial" w:hAnsi="Arial"/>
          <w:sz w:val="16"/>
          <w:szCs w:val="16"/>
          <w:color w:val="auto"/>
        </w:rPr>
        <w:t>. We structure some of our investments as senior secured or first lien debt investments. First lien debt investments are secured by a</w:t>
      </w:r>
      <w:r>
        <w:rPr>
          <w:rFonts w:ascii="Arial" w:cs="Arial" w:eastAsia="Arial" w:hAnsi="Arial"/>
          <w:sz w:val="16"/>
          <w:szCs w:val="16"/>
          <w:i w:val="1"/>
          <w:iCs w:val="1"/>
          <w:color w:val="auto"/>
        </w:rPr>
        <w:t xml:space="preserve"> </w:t>
      </w:r>
      <w:r>
        <w:rPr>
          <w:rFonts w:ascii="Arial" w:cs="Arial" w:eastAsia="Arial" w:hAnsi="Arial"/>
          <w:sz w:val="16"/>
          <w:szCs w:val="16"/>
          <w:color w:val="auto"/>
        </w:rPr>
        <w:t>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58" w:lineRule="exact"/>
        <w:rPr>
          <w:sz w:val="20"/>
          <w:szCs w:val="20"/>
          <w:color w:val="auto"/>
        </w:rPr>
      </w:pPr>
    </w:p>
    <w:p>
      <w:pPr>
        <w:jc w:val="both"/>
        <w:ind w:firstLine="1016"/>
        <w:spacing w:after="0" w:line="294" w:lineRule="auto"/>
        <w:rPr>
          <w:sz w:val="20"/>
          <w:szCs w:val="20"/>
          <w:color w:val="auto"/>
        </w:rPr>
      </w:pPr>
      <w:r>
        <w:rPr>
          <w:rFonts w:ascii="Arial" w:cs="Arial" w:eastAsia="Arial" w:hAnsi="Arial"/>
          <w:sz w:val="16"/>
          <w:szCs w:val="16"/>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LIBOR floor.</w:t>
      </w:r>
    </w:p>
    <w:p>
      <w:pPr>
        <w:spacing w:after="0" w:line="93" w:lineRule="exact"/>
        <w:rPr>
          <w:sz w:val="20"/>
          <w:szCs w:val="20"/>
          <w:color w:val="auto"/>
        </w:rPr>
      </w:pPr>
    </w:p>
    <w:p>
      <w:pPr>
        <w:jc w:val="both"/>
        <w:ind w:firstLine="656"/>
        <w:spacing w:after="0" w:line="274" w:lineRule="auto"/>
        <w:rPr>
          <w:sz w:val="20"/>
          <w:szCs w:val="20"/>
          <w:color w:val="auto"/>
        </w:rPr>
      </w:pPr>
      <w:r>
        <w:rPr>
          <w:rFonts w:ascii="Arial" w:cs="Arial" w:eastAsia="Arial" w:hAnsi="Arial"/>
          <w:sz w:val="16"/>
          <w:szCs w:val="16"/>
          <w:i w:val="1"/>
          <w:iCs w:val="1"/>
          <w:color w:val="auto"/>
        </w:rPr>
        <w:t xml:space="preserve">Second Lien Debt. </w:t>
      </w:r>
      <w:r>
        <w:rPr>
          <w:rFonts w:ascii="Arial" w:cs="Arial" w:eastAsia="Arial" w:hAnsi="Arial"/>
          <w:sz w:val="16"/>
          <w:szCs w:val="16"/>
          <w:color w:val="auto"/>
        </w:rPr>
        <w:t>Some of our debt investments take the form of second lien debt, which includes senior subordinated notes. Second lien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09" w:lineRule="exact"/>
        <w:rPr>
          <w:sz w:val="20"/>
          <w:szCs w:val="20"/>
          <w:color w:val="auto"/>
        </w:rPr>
      </w:pPr>
    </w:p>
    <w:p>
      <w:pPr>
        <w:jc w:val="both"/>
        <w:ind w:firstLine="656"/>
        <w:spacing w:after="0" w:line="272"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These investments are typically structured as unsecured, subordinated notes. Structurally, subordinated debt usually ranks</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14" w:lineRule="exact"/>
        <w:rPr>
          <w:sz w:val="20"/>
          <w:szCs w:val="20"/>
          <w:color w:val="auto"/>
        </w:rPr>
      </w:pPr>
    </w:p>
    <w:p>
      <w:pPr>
        <w:jc w:val="both"/>
        <w:ind w:firstLine="656"/>
        <w:spacing w:after="0" w:line="253"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162"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We generally seek to invest in companies from the broad range of industries in which our investment advisor has direct experience. The following is a representative list of the broad industry segments in which we have invested; however, we may invest in other industries if we are presented with attractive opportunities.</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tbl>
      <w:tblPr>
        <w:tblLayout w:type="fixed"/>
        <w:tblInd w:w="48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140"/>
              <w:spacing w:after="0"/>
              <w:rPr>
                <w:sz w:val="20"/>
                <w:szCs w:val="20"/>
                <w:color w:val="auto"/>
              </w:rPr>
            </w:pPr>
            <w:r>
              <w:rPr>
                <w:rFonts w:ascii="Arial" w:cs="Arial" w:eastAsia="Arial" w:hAnsi="Arial"/>
                <w:sz w:val="18"/>
                <w:szCs w:val="18"/>
                <w:color w:val="auto"/>
              </w:rPr>
              <w:t>aerospace &amp; defense;</w:t>
            </w:r>
          </w:p>
        </w:tc>
        <w:tc>
          <w:tcPr>
            <w:tcW w:w="2160" w:type="dxa"/>
            <w:vAlign w:val="bottom"/>
          </w:tcPr>
          <w:p>
            <w:pPr>
              <w:ind w:left="1960"/>
              <w:spacing w:after="0"/>
              <w:rPr>
                <w:sz w:val="20"/>
                <w:szCs w:val="20"/>
                <w:color w:val="auto"/>
              </w:rPr>
            </w:pPr>
            <w:r>
              <w:rPr>
                <w:rFonts w:ascii="Arial" w:cs="Arial" w:eastAsia="Arial" w:hAnsi="Arial"/>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infrastructure;</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2160" w:type="dxa"/>
            <w:vAlign w:val="bottom"/>
          </w:tcPr>
          <w:p>
            <w:pPr>
              <w:ind w:left="1960"/>
              <w:spacing w:after="0"/>
              <w:rPr>
                <w:sz w:val="20"/>
                <w:szCs w:val="20"/>
                <w:color w:val="auto"/>
              </w:rPr>
            </w:pPr>
            <w:r>
              <w:rPr>
                <w:rFonts w:ascii="Arial" w:cs="Arial" w:eastAsia="Arial" w:hAnsi="Arial"/>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logistics &amp; transportation;</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140"/>
              <w:spacing w:after="0"/>
              <w:rPr>
                <w:sz w:val="20"/>
                <w:szCs w:val="20"/>
                <w:color w:val="auto"/>
              </w:rPr>
            </w:pPr>
            <w:r>
              <w:rPr>
                <w:rFonts w:ascii="Arial" w:cs="Arial" w:eastAsia="Arial" w:hAnsi="Arial"/>
                <w:sz w:val="18"/>
                <w:szCs w:val="18"/>
                <w:color w:val="auto"/>
              </w:rPr>
              <w:t>consumer products / multi-unit;</w:t>
            </w:r>
          </w:p>
        </w:tc>
        <w:tc>
          <w:tcPr>
            <w:tcW w:w="2160" w:type="dxa"/>
            <w:vAlign w:val="bottom"/>
          </w:tcPr>
          <w:p>
            <w:pPr>
              <w:ind w:left="1960"/>
              <w:spacing w:after="0"/>
              <w:rPr>
                <w:sz w:val="20"/>
                <w:szCs w:val="20"/>
                <w:color w:val="auto"/>
              </w:rPr>
            </w:pPr>
            <w:r>
              <w:rPr>
                <w:rFonts w:ascii="Arial" w:cs="Arial" w:eastAsia="Arial" w:hAnsi="Arial"/>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niche manufacturing;</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140"/>
              <w:spacing w:after="0"/>
              <w:rPr>
                <w:sz w:val="20"/>
                <w:szCs w:val="20"/>
                <w:color w:val="auto"/>
              </w:rPr>
            </w:pPr>
            <w:r>
              <w:rPr>
                <w:rFonts w:ascii="Arial" w:cs="Arial" w:eastAsia="Arial" w:hAnsi="Arial"/>
                <w:sz w:val="18"/>
                <w:szCs w:val="18"/>
                <w:color w:val="auto"/>
              </w:rPr>
              <w:t>energy services;</w:t>
            </w:r>
          </w:p>
        </w:tc>
        <w:tc>
          <w:tcPr>
            <w:tcW w:w="2160" w:type="dxa"/>
            <w:vAlign w:val="bottom"/>
          </w:tcPr>
          <w:p>
            <w:pPr>
              <w:ind w:left="1960"/>
              <w:spacing w:after="0"/>
              <w:rPr>
                <w:sz w:val="20"/>
                <w:szCs w:val="20"/>
                <w:color w:val="auto"/>
              </w:rPr>
            </w:pPr>
            <w:r>
              <w:rPr>
                <w:rFonts w:ascii="Arial" w:cs="Arial" w:eastAsia="Arial" w:hAnsi="Arial"/>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w w:val="89"/>
              </w:rPr>
              <w:t>software &amp; tech-enabled services; and</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140"/>
              <w:spacing w:after="0"/>
              <w:rPr>
                <w:sz w:val="20"/>
                <w:szCs w:val="20"/>
                <w:color w:val="auto"/>
              </w:rPr>
            </w:pPr>
            <w:r>
              <w:rPr>
                <w:rFonts w:ascii="Arial" w:cs="Arial" w:eastAsia="Arial" w:hAnsi="Arial"/>
                <w:sz w:val="18"/>
                <w:szCs w:val="18"/>
                <w:color w:val="auto"/>
              </w:rPr>
              <w:t>healthcare products;</w:t>
            </w:r>
          </w:p>
        </w:tc>
        <w:tc>
          <w:tcPr>
            <w:tcW w:w="2160" w:type="dxa"/>
            <w:vAlign w:val="bottom"/>
          </w:tcPr>
          <w:p>
            <w:pPr>
              <w:ind w:left="1960"/>
              <w:spacing w:after="0"/>
              <w:rPr>
                <w:sz w:val="20"/>
                <w:szCs w:val="20"/>
                <w:color w:val="auto"/>
              </w:rPr>
            </w:pPr>
            <w:r>
              <w:rPr>
                <w:rFonts w:ascii="Arial" w:cs="Arial" w:eastAsia="Arial" w:hAnsi="Arial"/>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value-added distribution.</w:t>
            </w:r>
          </w:p>
        </w:tc>
      </w:tr>
    </w:tbl>
    <w:p>
      <w:pPr>
        <w:spacing w:after="0" w:line="256" w:lineRule="exact"/>
        <w:rPr>
          <w:sz w:val="20"/>
          <w:szCs w:val="20"/>
          <w:color w:val="auto"/>
        </w:rPr>
      </w:pPr>
    </w:p>
    <w:p>
      <w:pPr>
        <w:ind w:left="800" w:hanging="329"/>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239" w:lineRule="exact"/>
        <w:rPr>
          <w:sz w:val="20"/>
          <w:szCs w:val="20"/>
          <w:color w:val="auto"/>
        </w:rPr>
      </w:pPr>
    </w:p>
    <w:p>
      <w:pPr>
        <w:jc w:val="both"/>
        <w:ind w:firstLine="656"/>
        <w:spacing w:after="0" w:line="261" w:lineRule="auto"/>
        <w:rPr>
          <w:sz w:val="20"/>
          <w:szCs w:val="20"/>
          <w:color w:val="auto"/>
        </w:rPr>
      </w:pPr>
      <w:r>
        <w:rPr>
          <w:rFonts w:ascii="Arial" w:cs="Arial" w:eastAsia="Arial" w:hAnsi="Arial"/>
          <w:sz w:val="18"/>
          <w:szCs w:val="18"/>
          <w:color w:val="auto"/>
        </w:rPr>
        <w:t>As of December 31, 2021, we had investments in 78 portfolio companies with an aggregate fair value of $719.1 million. As of December 31, 2020, we had investments in 69 portfolio companies with an aggregate fair value of $742.9 million.</w:t>
      </w:r>
    </w:p>
    <w:p>
      <w:pPr>
        <w:spacing w:after="0" w:line="117"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The following table shows the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Cost</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178"/>
        </w:trPr>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3"/>
          </w:tcPr>
          <w:p>
            <w:pPr>
              <w:jc w:val="center"/>
              <w:ind w:left="1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gridSpan w:val="4"/>
          </w:tcPr>
          <w:p>
            <w:pPr>
              <w:jc w:val="center"/>
              <w:spacing w:after="0" w:line="177" w:lineRule="exact"/>
              <w:rPr>
                <w:sz w:val="20"/>
                <w:szCs w:val="20"/>
                <w:color w:val="auto"/>
              </w:rPr>
            </w:pPr>
            <w:r>
              <w:rPr>
                <w:rFonts w:ascii="Arial" w:cs="Arial" w:eastAsia="Arial" w:hAnsi="Arial"/>
                <w:sz w:val="18"/>
                <w:szCs w:val="18"/>
                <w:b w:val="1"/>
                <w:bCs w:val="1"/>
                <w:color w:val="auto"/>
                <w:w w:val="90"/>
              </w:rPr>
              <w:t>December 31,</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6"/>
          </w:tcPr>
          <w:p>
            <w:pPr>
              <w:jc w:val="right"/>
              <w:ind w:right="650"/>
              <w:spacing w:after="0" w:line="177"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4"/>
          </w:tcPr>
          <w:p>
            <w:pPr>
              <w:jc w:val="center"/>
              <w:ind w:right="24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5"/>
                <w:szCs w:val="15"/>
                <w:color w:val="auto"/>
              </w:rPr>
            </w:pPr>
          </w:p>
        </w:tc>
      </w:tr>
      <w:tr>
        <w:trPr>
          <w:trHeight w:val="221"/>
        </w:trPr>
        <w:tc>
          <w:tcPr>
            <w:tcW w:w="1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196"/>
        </w:trPr>
        <w:tc>
          <w:tcPr>
            <w:tcW w:w="1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157.2</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89.9</w:t>
            </w:r>
          </w:p>
        </w:tc>
        <w:tc>
          <w:tcPr>
            <w:tcW w:w="1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14.5</w:t>
            </w:r>
          </w:p>
        </w:tc>
        <w:tc>
          <w:tcPr>
            <w:tcW w:w="3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center"/>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189.6</w:t>
            </w:r>
          </w:p>
        </w:tc>
        <w:tc>
          <w:tcPr>
            <w:tcW w:w="2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27.6</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Southeast</w:t>
            </w:r>
          </w:p>
        </w:tc>
        <w:tc>
          <w:tcPr>
            <w:tcW w:w="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220.0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197.4</w:t>
            </w:r>
          </w:p>
        </w:tc>
        <w:tc>
          <w:tcPr>
            <w:tcW w:w="1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2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18.9</w:t>
            </w:r>
          </w:p>
        </w:tc>
        <w:tc>
          <w:tcPr>
            <w:tcW w:w="300" w:type="dxa"/>
            <w:vAlign w:val="bottom"/>
          </w:tcPr>
          <w:p>
            <w:pPr>
              <w:spacing w:after="0"/>
              <w:rPr>
                <w:sz w:val="17"/>
                <w:szCs w:val="17"/>
                <w:color w:val="auto"/>
              </w:rPr>
            </w:pPr>
          </w:p>
        </w:tc>
      </w:tr>
      <w:tr>
        <w:trPr>
          <w:trHeight w:val="203"/>
        </w:trPr>
        <w:tc>
          <w:tcPr>
            <w:tcW w:w="1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Northeast</w:t>
            </w:r>
          </w:p>
        </w:tc>
        <w:tc>
          <w:tcPr>
            <w:tcW w:w="3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126.6</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127.8</w:t>
            </w:r>
          </w:p>
        </w:tc>
        <w:tc>
          <w:tcPr>
            <w:tcW w:w="1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20.6</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127.8</w:t>
            </w:r>
          </w:p>
        </w:tc>
        <w:tc>
          <w:tcPr>
            <w:tcW w:w="2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18.6</w:t>
            </w:r>
          </w:p>
        </w:tc>
        <w:tc>
          <w:tcPr>
            <w:tcW w:w="300" w:type="dxa"/>
            <w:vAlign w:val="bottom"/>
            <w:shd w:val="clear" w:color="auto" w:fill="CFF0FC"/>
          </w:tcPr>
          <w:p>
            <w:pPr>
              <w:spacing w:after="0"/>
              <w:rPr>
                <w:sz w:val="17"/>
                <w:szCs w:val="17"/>
                <w:color w:val="auto"/>
              </w:rPr>
            </w:pP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West</w:t>
            </w:r>
          </w:p>
        </w:tc>
        <w:tc>
          <w:tcPr>
            <w:tcW w:w="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105.9</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108.7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100.1</w:t>
            </w:r>
          </w:p>
        </w:tc>
        <w:tc>
          <w:tcPr>
            <w:tcW w:w="1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2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15.9</w:t>
            </w:r>
          </w:p>
        </w:tc>
        <w:tc>
          <w:tcPr>
            <w:tcW w:w="300" w:type="dxa"/>
            <w:vAlign w:val="bottom"/>
          </w:tcPr>
          <w:p>
            <w:pPr>
              <w:spacing w:after="0"/>
              <w:rPr>
                <w:sz w:val="17"/>
                <w:szCs w:val="17"/>
                <w:color w:val="auto"/>
              </w:rPr>
            </w:pPr>
          </w:p>
        </w:tc>
      </w:tr>
      <w:tr>
        <w:trPr>
          <w:trHeight w:val="203"/>
        </w:trPr>
        <w:tc>
          <w:tcPr>
            <w:tcW w:w="1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Southwest</w:t>
            </w:r>
          </w:p>
        </w:tc>
        <w:tc>
          <w:tcPr>
            <w:tcW w:w="3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109.4</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131.9</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106.6</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17.1</w:t>
            </w:r>
          </w:p>
        </w:tc>
        <w:tc>
          <w:tcPr>
            <w:tcW w:w="3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130.4</w:t>
            </w: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19.0</w:t>
            </w:r>
          </w:p>
        </w:tc>
        <w:tc>
          <w:tcPr>
            <w:tcW w:w="300" w:type="dxa"/>
            <w:vAlign w:val="bottom"/>
            <w:tcBorders>
              <w:bottom w:val="single" w:sz="8" w:color="CFF0FC"/>
            </w:tcBorders>
            <w:shd w:val="clear" w:color="auto" w:fill="CFF0FC"/>
          </w:tcPr>
          <w:p>
            <w:pPr>
              <w:spacing w:after="0"/>
              <w:rPr>
                <w:sz w:val="17"/>
                <w:szCs w:val="17"/>
                <w:color w:val="auto"/>
              </w:rPr>
            </w:pPr>
          </w:p>
        </w:tc>
      </w:tr>
      <w:tr>
        <w:trPr>
          <w:trHeight w:val="196"/>
        </w:trPr>
        <w:tc>
          <w:tcPr>
            <w:tcW w:w="174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38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719.1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3"/>
                <w:szCs w:val="13"/>
                <w:color w:val="auto"/>
              </w:rPr>
              <w:t xml:space="preserve">100.0 </w:t>
            </w:r>
            <w:r>
              <w:rPr>
                <w:rFonts w:ascii="Arial" w:cs="Arial" w:eastAsia="Arial" w:hAnsi="Arial"/>
                <w:sz w:val="21"/>
                <w:szCs w:val="21"/>
                <w:color w:val="auto"/>
                <w:vertAlign w:val="subscript"/>
              </w:rPr>
              <w:t>%</w:t>
            </w:r>
          </w:p>
        </w:tc>
        <w:tc>
          <w:tcPr>
            <w:tcW w:w="740" w:type="dxa"/>
            <w:vAlign w:val="bottom"/>
            <w:gridSpan w:val="2"/>
          </w:tcPr>
          <w:p>
            <w:pPr>
              <w:jc w:val="right"/>
              <w:ind w:right="270"/>
              <w:spacing w:after="0" w:line="18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742.9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spacing w:after="0" w:line="183" w:lineRule="exact"/>
              <w:rPr>
                <w:sz w:val="20"/>
                <w:szCs w:val="20"/>
                <w:color w:val="auto"/>
              </w:rPr>
            </w:pPr>
            <w:r>
              <w:rPr>
                <w:rFonts w:ascii="Arial" w:cs="Arial" w:eastAsia="Arial" w:hAnsi="Arial"/>
                <w:sz w:val="13"/>
                <w:szCs w:val="13"/>
                <w:color w:val="auto"/>
              </w:rPr>
              <w:t xml:space="preserve">100.0 </w:t>
            </w:r>
            <w:r>
              <w:rPr>
                <w:rFonts w:ascii="Arial" w:cs="Arial" w:eastAsia="Arial" w:hAnsi="Arial"/>
                <w:sz w:val="21"/>
                <w:szCs w:val="21"/>
                <w:color w:val="auto"/>
                <w:vertAlign w:val="subscript"/>
              </w:rPr>
              <w:t>%</w:t>
            </w:r>
          </w:p>
        </w:tc>
        <w:tc>
          <w:tcPr>
            <w:tcW w:w="50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621.8</w:t>
            </w:r>
          </w:p>
        </w:tc>
        <w:tc>
          <w:tcPr>
            <w:tcW w:w="140" w:type="dxa"/>
            <w:vAlign w:val="bottom"/>
          </w:tcPr>
          <w:p>
            <w:pPr>
              <w:spacing w:after="0"/>
              <w:rPr>
                <w:sz w:val="17"/>
                <w:szCs w:val="17"/>
                <w:color w:val="auto"/>
              </w:rPr>
            </w:pPr>
          </w:p>
        </w:tc>
        <w:tc>
          <w:tcPr>
            <w:tcW w:w="1000" w:type="dxa"/>
            <w:vAlign w:val="bottom"/>
            <w:gridSpan w:val="3"/>
          </w:tcPr>
          <w:p>
            <w:pPr>
              <w:jc w:val="right"/>
              <w:ind w:right="50"/>
              <w:spacing w:after="0" w:line="183" w:lineRule="exact"/>
              <w:rPr>
                <w:sz w:val="20"/>
                <w:szCs w:val="20"/>
                <w:color w:val="auto"/>
              </w:rPr>
            </w:pPr>
            <w:r>
              <w:rPr>
                <w:rFonts w:ascii="Arial" w:cs="Arial" w:eastAsia="Arial" w:hAnsi="Arial"/>
                <w:sz w:val="13"/>
                <w:szCs w:val="13"/>
                <w:color w:val="auto"/>
              </w:rPr>
              <w:t xml:space="preserve">100.0 </w:t>
            </w:r>
            <w:r>
              <w:rPr>
                <w:rFonts w:ascii="Arial" w:cs="Arial" w:eastAsia="Arial" w:hAnsi="Arial"/>
                <w:sz w:val="21"/>
                <w:szCs w:val="21"/>
                <w:color w:val="auto"/>
                <w:vertAlign w:val="subscript"/>
              </w:rPr>
              <w:t>%</w:t>
            </w:r>
          </w:p>
        </w:tc>
        <w:tc>
          <w:tcPr>
            <w:tcW w:w="3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687.0</w:t>
            </w:r>
          </w:p>
        </w:tc>
        <w:tc>
          <w:tcPr>
            <w:tcW w:w="220" w:type="dxa"/>
            <w:vAlign w:val="bottom"/>
          </w:tcPr>
          <w:p>
            <w:pPr>
              <w:spacing w:after="0"/>
              <w:rPr>
                <w:sz w:val="17"/>
                <w:szCs w:val="17"/>
                <w:color w:val="auto"/>
              </w:rPr>
            </w:pPr>
          </w:p>
        </w:tc>
        <w:tc>
          <w:tcPr>
            <w:tcW w:w="880" w:type="dxa"/>
            <w:vAlign w:val="bottom"/>
            <w:gridSpan w:val="3"/>
          </w:tcPr>
          <w:p>
            <w:pPr>
              <w:jc w:val="right"/>
              <w:spacing w:after="0" w:line="183" w:lineRule="exact"/>
              <w:rPr>
                <w:sz w:val="20"/>
                <w:szCs w:val="20"/>
                <w:color w:val="auto"/>
              </w:rPr>
            </w:pPr>
            <w:r>
              <w:rPr>
                <w:rFonts w:ascii="Arial" w:cs="Arial" w:eastAsia="Arial" w:hAnsi="Arial"/>
                <w:sz w:val="13"/>
                <w:szCs w:val="13"/>
                <w:color w:val="auto"/>
              </w:rPr>
              <w:t xml:space="preserve">100.0 </w:t>
            </w:r>
            <w:r>
              <w:rPr>
                <w:rFonts w:ascii="Arial" w:cs="Arial" w:eastAsia="Arial" w:hAnsi="Arial"/>
                <w:sz w:val="21"/>
                <w:szCs w:val="21"/>
                <w:color w:val="auto"/>
                <w:vertAlign w:val="subscript"/>
              </w:rPr>
              <w:t>%</w:t>
            </w:r>
          </w:p>
        </w:tc>
      </w:tr>
      <w:tr>
        <w:trPr>
          <w:trHeight w:val="20"/>
        </w:trPr>
        <w:tc>
          <w:tcPr>
            <w:tcW w:w="1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29"/>
        </w:trPr>
        <w:tc>
          <w:tcPr>
            <w:tcW w:w="11240" w:type="dxa"/>
            <w:vAlign w:val="bottom"/>
            <w:gridSpan w:val="30"/>
          </w:tcPr>
          <w:p>
            <w:pPr>
              <w:ind w:left="660"/>
              <w:spacing w:after="0"/>
              <w:rPr>
                <w:sz w:val="20"/>
                <w:szCs w:val="20"/>
                <w:color w:val="auto"/>
              </w:rPr>
            </w:pPr>
            <w:r>
              <w:rPr>
                <w:rFonts w:ascii="Arial" w:cs="Arial" w:eastAsia="Arial" w:hAnsi="Arial"/>
                <w:sz w:val="18"/>
                <w:szCs w:val="18"/>
                <w:color w:val="auto"/>
                <w:w w:val="92"/>
              </w:rPr>
              <w:t>The following table shows the detailed industry segment composition of our portfolio at fair value and cost as a percentage of total investments.</w:t>
            </w:r>
          </w:p>
        </w:tc>
      </w:tr>
      <w:tr>
        <w:trPr>
          <w:trHeight w:val="221"/>
        </w:trPr>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w w:val="92"/>
              </w:rPr>
              <w:t>Fair Value</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Cost</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78"/>
        </w:trPr>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150"/>
              <w:spacing w:after="0" w:line="177" w:lineRule="exact"/>
              <w:rPr>
                <w:sz w:val="20"/>
                <w:szCs w:val="20"/>
                <w:color w:val="auto"/>
              </w:rPr>
            </w:pPr>
            <w:r>
              <w:rPr>
                <w:rFonts w:ascii="Arial" w:cs="Arial" w:eastAsia="Arial" w:hAnsi="Arial"/>
                <w:sz w:val="18"/>
                <w:szCs w:val="18"/>
                <w:b w:val="1"/>
                <w:bCs w:val="1"/>
                <w:color w:val="auto"/>
                <w:w w:val="87"/>
              </w:rPr>
              <w:t>December 31,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tcPr>
          <w:p>
            <w:pPr>
              <w:jc w:val="right"/>
              <w:ind w:right="130"/>
              <w:spacing w:after="0" w:line="177" w:lineRule="exact"/>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5"/>
                <w:szCs w:val="15"/>
                <w:color w:val="auto"/>
              </w:rPr>
            </w:pPr>
          </w:p>
        </w:tc>
        <w:tc>
          <w:tcPr>
            <w:tcW w:w="1500" w:type="dxa"/>
            <w:vAlign w:val="bottom"/>
            <w:gridSpan w:val="5"/>
          </w:tcPr>
          <w:p>
            <w:pPr>
              <w:jc w:val="right"/>
              <w:ind w:right="130"/>
              <w:spacing w:after="0" w:line="177"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spacing w:after="0" w:line="177" w:lineRule="exact"/>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21"/>
        </w:trPr>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6"/>
        </w:trPr>
        <w:tc>
          <w:tcPr>
            <w:tcW w:w="3360" w:type="dxa"/>
            <w:vAlign w:val="bottom"/>
            <w:gridSpan w:val="5"/>
            <w:shd w:val="clear" w:color="auto" w:fill="CCEEFF"/>
          </w:tcPr>
          <w:p>
            <w:pPr>
              <w:ind w:left="20"/>
              <w:spacing w:after="0" w:line="196" w:lineRule="exact"/>
              <w:rPr>
                <w:sz w:val="20"/>
                <w:szCs w:val="20"/>
                <w:color w:val="auto"/>
              </w:rPr>
            </w:pPr>
            <w:r>
              <w:rPr>
                <w:rFonts w:ascii="Arial" w:cs="Arial" w:eastAsia="Arial" w:hAnsi="Arial"/>
                <w:sz w:val="18"/>
                <w:szCs w:val="18"/>
                <w:color w:val="auto"/>
              </w:rPr>
              <w:t>Information Technology Services</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27.0</w:t>
            </w:r>
          </w:p>
        </w:tc>
        <w:tc>
          <w:tcPr>
            <w:tcW w:w="3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30.6</w:t>
            </w:r>
          </w:p>
        </w:tc>
        <w:tc>
          <w:tcPr>
            <w:tcW w:w="34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Business Services</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Healthcare Products</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Specialty Distribution</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15.8</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33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Aerospace &amp; Defense Manufacturing</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3"/>
        </w:trPr>
        <w:tc>
          <w:tcPr>
            <w:tcW w:w="21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8"/>
              </w:rPr>
              <w:t>Component Manufacturing</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33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 Products Manufacturing</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Healthcare Services</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8"/>
              </w:rPr>
              <w:t>Promotional Products</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3"/>
        </w:trPr>
        <w:tc>
          <w:tcPr>
            <w:tcW w:w="2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Environmental Industries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Oil &amp; Gas Services</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w w:val="89"/>
              </w:rPr>
              <w:t>Transportation Services</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Consumer Products</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Utilities: Services</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Retail</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2"/>
        </w:trPr>
        <w:tc>
          <w:tcPr>
            <w:tcW w:w="336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Industrial Cleaning &amp; Coatings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33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Utility Equipment Manufacturing</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3"/>
        </w:trPr>
        <w:tc>
          <w:tcPr>
            <w:tcW w:w="336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Vending Equipment Manufacturing</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Restaurants</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81"/>
              </w:rPr>
              <w:t>(1)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w w:val="98"/>
              </w:rPr>
              <w:t>Oil &amp; Gas Distribution</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Specialty Chemicals</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(1)</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2"/>
                <w:szCs w:val="12"/>
                <w:color w:val="auto"/>
              </w:rPr>
              <w:t>(1)</w:t>
            </w: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Packaging</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174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100.0</w:t>
            </w:r>
          </w:p>
        </w:tc>
        <w:tc>
          <w:tcPr>
            <w:tcW w:w="60" w:type="dxa"/>
            <w:vAlign w:val="bottom"/>
          </w:tcPr>
          <w:p>
            <w:pPr>
              <w:spacing w:after="0"/>
              <w:rPr>
                <w:sz w:val="17"/>
                <w:szCs w:val="17"/>
                <w:color w:val="auto"/>
              </w:rPr>
            </w:pPr>
          </w:p>
        </w:tc>
        <w:tc>
          <w:tcPr>
            <w:tcW w:w="300" w:type="dxa"/>
            <w:vAlign w:val="bottom"/>
          </w:tcPr>
          <w:p>
            <w:pPr>
              <w:ind w:left="40"/>
              <w:spacing w:after="0" w:line="18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-3896995</wp:posOffset>
            </wp:positionV>
            <wp:extent cx="431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-3896995</wp:posOffset>
            </wp:positionV>
            <wp:extent cx="431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-3896995</wp:posOffset>
            </wp:positionV>
            <wp:extent cx="431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-3896995</wp:posOffset>
            </wp:positionV>
            <wp:extent cx="431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-3896995</wp:posOffset>
            </wp:positionV>
            <wp:extent cx="342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-3896995</wp:posOffset>
            </wp:positionV>
            <wp:extent cx="3429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-3896995</wp:posOffset>
            </wp:positionV>
            <wp:extent cx="3429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-3896995</wp:posOffset>
            </wp:positionV>
            <wp:extent cx="342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Percentage is less than 0.1% of respective total.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 w:name="page11"/>
    <w:bookmarkEnd w:id="10"/>
    <w:p>
      <w:pPr>
        <w:jc w:val="both"/>
        <w:ind w:firstLine="656"/>
        <w:spacing w:after="0" w:line="261" w:lineRule="auto"/>
        <w:rPr>
          <w:sz w:val="20"/>
          <w:szCs w:val="20"/>
          <w:color w:val="auto"/>
        </w:rPr>
      </w:pPr>
      <w:r>
        <w:rPr>
          <w:rFonts w:ascii="Arial" w:cs="Arial" w:eastAsia="Arial" w:hAnsi="Arial"/>
          <w:sz w:val="18"/>
          <w:szCs w:val="18"/>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17" w:lineRule="exact"/>
        <w:rPr>
          <w:sz w:val="20"/>
          <w:szCs w:val="20"/>
          <w:color w:val="auto"/>
        </w:rPr>
      </w:pPr>
    </w:p>
    <w:p>
      <w:pPr>
        <w:jc w:val="both"/>
        <w:ind w:firstLine="656"/>
        <w:spacing w:after="0" w:line="262" w:lineRule="auto"/>
        <w:rPr>
          <w:sz w:val="20"/>
          <w:szCs w:val="20"/>
          <w:color w:val="auto"/>
        </w:rPr>
      </w:pPr>
      <w:r>
        <w:rPr>
          <w:rFonts w:ascii="Arial" w:cs="Arial" w:eastAsia="Arial" w:hAnsi="Arial"/>
          <w:sz w:val="17"/>
          <w:szCs w:val="17"/>
          <w:i w:val="1"/>
          <w:iCs w:val="1"/>
          <w:color w:val="auto"/>
        </w:rPr>
        <w:t xml:space="preserve">Value Orientation / Positive Cash Flow. </w:t>
      </w:r>
      <w:r>
        <w:rPr>
          <w:rFonts w:ascii="Arial" w:cs="Arial" w:eastAsia="Arial" w:hAnsi="Arial"/>
          <w:sz w:val="17"/>
          <w:szCs w:val="17"/>
          <w:color w:val="auto"/>
        </w:rPr>
        <w:t>Our investment advisor places a premium on analysis of business fundamentals from an investor’s</w:t>
      </w:r>
      <w:r>
        <w:rPr>
          <w:rFonts w:ascii="Arial" w:cs="Arial" w:eastAsia="Arial" w:hAnsi="Arial"/>
          <w:sz w:val="17"/>
          <w:szCs w:val="17"/>
          <w:i w:val="1"/>
          <w:iCs w:val="1"/>
          <w:color w:val="auto"/>
        </w:rPr>
        <w:t xml:space="preserve"> </w:t>
      </w:r>
      <w:r>
        <w:rPr>
          <w:rFonts w:ascii="Arial" w:cs="Arial" w:eastAsia="Arial" w:hAnsi="Arial"/>
          <w:sz w:val="17"/>
          <w:szCs w:val="17"/>
          <w:color w:val="auto"/>
        </w:rPr>
        <w:t>perspective and has a distinct value orientation. We focus on companies with proven business models in which we can invest at relatively low multiples of operating cash flow. We also typically invest in portfolio companies with a history of profitability and minimum trailing twelve month EBITDA of $5.0 million. We do not invest in start-up companies, “turn-around” situations or companies that we believe have unproven business plans.</w:t>
      </w:r>
    </w:p>
    <w:p>
      <w:pPr>
        <w:spacing w:after="0" w:line="118"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i w:val="1"/>
          <w:iCs w:val="1"/>
          <w:color w:val="auto"/>
        </w:rPr>
        <w:t>Experienced Management Teams with Meaningful Equity Ownership</w:t>
      </w:r>
      <w:r>
        <w:rPr>
          <w:rFonts w:ascii="Arial" w:cs="Arial" w:eastAsia="Arial" w:hAnsi="Arial"/>
          <w:sz w:val="17"/>
          <w:szCs w:val="17"/>
          <w:color w:val="auto"/>
        </w:rPr>
        <w:t>. We target portfolio companies that have management teams with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and/or relevant industry experience coupled with meaningful equity ownership. We believe management teams with these attributes are more likely to manage the companies in a manner that protects our debt investment and enhances the value of our equity investment.</w:t>
      </w:r>
    </w:p>
    <w:p>
      <w:pPr>
        <w:spacing w:after="0" w:line="110"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i w:val="1"/>
          <w:iCs w:val="1"/>
          <w:color w:val="auto"/>
        </w:rPr>
        <w:t>Niche Market Leaders with Defensible Market Positions</w:t>
      </w:r>
      <w:r>
        <w:rPr>
          <w:rFonts w:ascii="Arial" w:cs="Arial" w:eastAsia="Arial" w:hAnsi="Arial"/>
          <w:sz w:val="18"/>
          <w:szCs w:val="18"/>
          <w:color w:val="auto"/>
        </w:rPr>
        <w:t>. We seek to invest in portfolio companies that have developed defensible and/or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within their respective markets or market niches and are well positioned to capitalize on growth opportunities. We favor companies that demonstrate significant competitive advantages, which we believe helps to protect their market position and profitability.</w:t>
      </w:r>
    </w:p>
    <w:p>
      <w:pPr>
        <w:spacing w:after="0" w:line="128"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i w:val="1"/>
          <w:iCs w:val="1"/>
          <w:color w:val="auto"/>
        </w:rPr>
        <w:t xml:space="preserve">Diversified Customer and Supplier Base. </w:t>
      </w:r>
      <w:r>
        <w:rPr>
          <w:rFonts w:ascii="Arial" w:cs="Arial" w:eastAsia="Arial" w:hAnsi="Arial"/>
          <w:sz w:val="18"/>
          <w:szCs w:val="18"/>
          <w:color w:val="auto"/>
        </w:rPr>
        <w:t>We prefer to invest in portfolio companies that have a diversified customer and supplier base.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diversified customer and supplier base are generally better able to endure economic downturns, industry consolidation and shifting customer preferences.</w:t>
      </w:r>
    </w:p>
    <w:p>
      <w:pPr>
        <w:spacing w:after="0" w:line="128"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i w:val="1"/>
          <w:iCs w:val="1"/>
          <w:color w:val="auto"/>
        </w:rPr>
        <w:t>Significant Equity Value</w:t>
      </w:r>
      <w:r>
        <w:rPr>
          <w:rFonts w:ascii="Arial" w:cs="Arial" w:eastAsia="Arial" w:hAnsi="Arial"/>
          <w:sz w:val="17"/>
          <w:szCs w:val="17"/>
          <w:color w:val="auto"/>
        </w:rPr>
        <w:t>. We believe the existence of significant underlying equity value provides important support to our debt investments.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our debt investments, we look for portfolio companies where management/sponsors have provided significant equity funding and where we believe aggregate enterprise value significantly exceeds aggregate indebtedness, after consideration of our investment.</w:t>
      </w:r>
    </w:p>
    <w:p>
      <w:pPr>
        <w:spacing w:after="0" w:line="110" w:lineRule="exact"/>
        <w:rPr>
          <w:sz w:val="20"/>
          <w:szCs w:val="20"/>
          <w:color w:val="auto"/>
        </w:rPr>
      </w:pPr>
    </w:p>
    <w:p>
      <w:pPr>
        <w:jc w:val="both"/>
        <w:ind w:firstLine="478"/>
        <w:spacing w:after="0" w:line="274" w:lineRule="auto"/>
        <w:rPr>
          <w:sz w:val="20"/>
          <w:szCs w:val="20"/>
          <w:color w:val="auto"/>
        </w:rPr>
      </w:pPr>
      <w:r>
        <w:rPr>
          <w:rFonts w:ascii="Arial" w:cs="Arial" w:eastAsia="Arial" w:hAnsi="Arial"/>
          <w:sz w:val="16"/>
          <w:szCs w:val="16"/>
          <w:i w:val="1"/>
          <w:iCs w:val="1"/>
          <w:color w:val="auto"/>
        </w:rPr>
        <w:t xml:space="preserve">Viable Exit Strategy. </w:t>
      </w:r>
      <w:r>
        <w:rPr>
          <w:rFonts w:ascii="Arial" w:cs="Arial" w:eastAsia="Arial" w:hAnsi="Arial"/>
          <w:sz w:val="16"/>
          <w:szCs w:val="16"/>
          <w:color w:val="auto"/>
        </w:rPr>
        <w:t>We invest in portfolio companies that we believe will provide steady cash flows to service our debt, ultimately repay our loans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provide working capital for their respective businesses. In addition, we seek to invest in portfolio companies whose business models and expected future cash flows offer attractive exit possibilities for our portfolio equity investments. We expect to exit our investments typically through one of three scenarios: (a) the sale of the portfolio company resulting in repayment of all outstanding debt and monetization of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Committee</w:t>
      </w:r>
    </w:p>
    <w:p>
      <w:pPr>
        <w:spacing w:after="0" w:line="162" w:lineRule="exact"/>
        <w:rPr>
          <w:sz w:val="20"/>
          <w:szCs w:val="20"/>
          <w:color w:val="auto"/>
        </w:rPr>
      </w:pPr>
    </w:p>
    <w:p>
      <w:pPr>
        <w:jc w:val="both"/>
        <w:ind w:firstLine="478"/>
        <w:spacing w:after="0" w:line="262" w:lineRule="auto"/>
        <w:rPr>
          <w:sz w:val="20"/>
          <w:szCs w:val="20"/>
          <w:color w:val="auto"/>
        </w:rPr>
      </w:pPr>
      <w:r>
        <w:rPr>
          <w:rFonts w:ascii="Arial" w:cs="Arial" w:eastAsia="Arial" w:hAnsi="Arial"/>
          <w:sz w:val="17"/>
          <w:szCs w:val="17"/>
          <w:color w:val="auto"/>
        </w:rPr>
        <w:t>Our investment advisor has formed an investment committee to evaluate and approve all of our investments. The investment committee process is intended to bring the diverse experience and perspectives of the committee’s members to the analysis and consideration of each investment. The investment committee also serves to provide investment consistency and adherence to our investment advisor’s core investment philosophy and policies. The investment committee also determines appropriate investment sizing and suggests ongoing monitoring requirements.</w:t>
      </w:r>
    </w:p>
    <w:p>
      <w:pPr>
        <w:spacing w:after="0" w:line="118"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The members of the investment committee that evaluate and approve all of our investments are Edward H. Ross, Thomas C. Lauer, John H. Grigg, Robert G. Lesley, Jr., John J. Ross, II, Thomas J. Steiglehner, and W. Andrew Worth.</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81"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Our investment advisor has developed the following investment process based on the experience of its investment professionals to identify investment opportunities and to structure investments quickly and effectively. Furthermore, our investment advisor seeks to identify those companies exhibiting superior fundamental risk-reward profiles and strong defensible business franchises while focusing on the relative value of the security in the portfolio company’s capital structure. The investment process consists of five distinct phases:</w:t>
      </w:r>
    </w:p>
    <w:p>
      <w:pPr>
        <w:spacing w:after="0" w:line="174" w:lineRule="exact"/>
        <w:rPr>
          <w:sz w:val="20"/>
          <w:szCs w:val="20"/>
          <w:color w:val="auto"/>
        </w:rPr>
      </w:pPr>
    </w:p>
    <w:p>
      <w:pPr>
        <w:ind w:left="1060" w:hanging="40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Generation/Origination;</w:t>
      </w:r>
    </w:p>
    <w:p>
      <w:pPr>
        <w:spacing w:after="0" w:line="11" w:lineRule="exact"/>
        <w:rPr>
          <w:rFonts w:ascii="Arial" w:cs="Arial" w:eastAsia="Arial" w:hAnsi="Arial"/>
          <w:sz w:val="18"/>
          <w:szCs w:val="18"/>
          <w:color w:val="auto"/>
        </w:rPr>
      </w:pPr>
    </w:p>
    <w:p>
      <w:pPr>
        <w:ind w:left="1060" w:hanging="404"/>
        <w:spacing w:after="0" w:line="23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 Evaluation;</w:t>
      </w:r>
    </w:p>
    <w:p>
      <w:pPr>
        <w:ind w:left="1060" w:hanging="404"/>
        <w:spacing w:after="0" w:line="23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Diligence and Underwriting;</w:t>
      </w:r>
    </w:p>
    <w:p>
      <w:pPr>
        <w:ind w:left="1060" w:hanging="404"/>
        <w:spacing w:after="0" w:line="23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Documentation and Closing; and</w:t>
      </w:r>
    </w:p>
    <w:p>
      <w:pPr>
        <w:ind w:left="1060" w:hanging="40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Active Portfolio Management.</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Each of the phases is described in more detail below.</w:t>
      </w:r>
    </w:p>
    <w:p>
      <w:pPr>
        <w:spacing w:after="0" w:line="1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 w:name="page12"/>
    <w:bookmarkEnd w:id="11"/>
    <w:p>
      <w:pPr>
        <w:jc w:val="both"/>
        <w:ind w:firstLine="656"/>
        <w:spacing w:after="0" w:line="241" w:lineRule="auto"/>
        <w:rPr>
          <w:sz w:val="20"/>
          <w:szCs w:val="20"/>
          <w:color w:val="auto"/>
        </w:rPr>
      </w:pPr>
      <w:r>
        <w:rPr>
          <w:rFonts w:ascii="Arial" w:cs="Arial" w:eastAsia="Arial" w:hAnsi="Arial"/>
          <w:sz w:val="18"/>
          <w:szCs w:val="18"/>
          <w:i w:val="1"/>
          <w:iCs w:val="1"/>
          <w:color w:val="auto"/>
        </w:rPr>
        <w:t xml:space="preserve">Investment Generation/Origination. </w:t>
      </w:r>
      <w:r>
        <w:rPr>
          <w:rFonts w:ascii="Arial" w:cs="Arial" w:eastAsia="Arial" w:hAnsi="Arial"/>
          <w:sz w:val="18"/>
          <w:szCs w:val="18"/>
          <w:color w:val="auto"/>
        </w:rPr>
        <w:t>Our investment origination efforts are focused on leveraging our investment advisor’s extensive network of</w:t>
      </w:r>
      <w:r>
        <w:rPr>
          <w:rFonts w:ascii="Arial" w:cs="Arial" w:eastAsia="Arial" w:hAnsi="Arial"/>
          <w:sz w:val="18"/>
          <w:szCs w:val="18"/>
          <w:i w:val="1"/>
          <w:iCs w:val="1"/>
          <w:color w:val="auto"/>
        </w:rPr>
        <w:t xml:space="preserve"> </w:t>
      </w:r>
      <w:r>
        <w:rPr>
          <w:rFonts w:ascii="Arial" w:cs="Arial" w:eastAsia="Arial" w:hAnsi="Arial"/>
          <w:sz w:val="18"/>
          <w:szCs w:val="18"/>
          <w:color w:val="auto"/>
        </w:rPr>
        <w:t>long-standing relationships with private equity firms, middle-market senior lenders, junior-capital partners, financial intermediaries, service providers and management teams of privately owned businesses. We believe that our investment advisor’s investment professionals have reputations as reliable, responsive and value-added partners for lower middle-market companies. Our investment advisor’s focus and reputation as a value-added partner generates a balanced mix of proprietary deal flow and a steady stream of new deal opportunities.</w:t>
      </w:r>
    </w:p>
    <w:p>
      <w:pPr>
        <w:spacing w:after="0" w:line="135" w:lineRule="exact"/>
        <w:rPr>
          <w:sz w:val="20"/>
          <w:szCs w:val="20"/>
          <w:color w:val="auto"/>
        </w:rPr>
      </w:pPr>
    </w:p>
    <w:p>
      <w:pPr>
        <w:jc w:val="both"/>
        <w:ind w:firstLine="656"/>
        <w:spacing w:after="0" w:line="261" w:lineRule="auto"/>
        <w:rPr>
          <w:sz w:val="20"/>
          <w:szCs w:val="20"/>
          <w:color w:val="auto"/>
        </w:rPr>
      </w:pPr>
      <w:r>
        <w:rPr>
          <w:rFonts w:ascii="Arial" w:cs="Arial" w:eastAsia="Arial" w:hAnsi="Arial"/>
          <w:sz w:val="18"/>
          <w:szCs w:val="18"/>
          <w:i w:val="1"/>
          <w:iCs w:val="1"/>
          <w:color w:val="auto"/>
        </w:rPr>
        <w:t xml:space="preserve">Initial Evaluation. </w:t>
      </w:r>
      <w:r>
        <w:rPr>
          <w:rFonts w:ascii="Arial" w:cs="Arial" w:eastAsia="Arial" w:hAnsi="Arial"/>
          <w:sz w:val="18"/>
          <w:szCs w:val="18"/>
          <w:color w:val="auto"/>
        </w:rPr>
        <w:t>After a potential transaction is received by our investment advisor, it will conduct an initial review of the transaction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whether it meets our investment criteria and complies with SBA and other regulatory compliance requirements.</w:t>
      </w:r>
    </w:p>
    <w:p>
      <w:pPr>
        <w:spacing w:after="0" w:line="117" w:lineRule="exact"/>
        <w:rPr>
          <w:sz w:val="20"/>
          <w:szCs w:val="20"/>
          <w:color w:val="auto"/>
        </w:rPr>
      </w:pPr>
    </w:p>
    <w:p>
      <w:pPr>
        <w:jc w:val="both"/>
        <w:ind w:firstLine="656"/>
        <w:spacing w:after="0" w:line="261" w:lineRule="auto"/>
        <w:rPr>
          <w:sz w:val="20"/>
          <w:szCs w:val="20"/>
          <w:color w:val="auto"/>
        </w:rPr>
      </w:pPr>
      <w:r>
        <w:rPr>
          <w:rFonts w:ascii="Arial" w:cs="Arial" w:eastAsia="Arial" w:hAnsi="Arial"/>
          <w:sz w:val="18"/>
          <w:szCs w:val="18"/>
          <w:color w:val="auto"/>
        </w:rPr>
        <w:t>If the potential transaction initially meets our investment criteria, at least two members of the investment committee, referred to as the deal team, will conduct a preliminary due diligence review, taking into consideration some or all of the following factors:</w:t>
      </w:r>
    </w:p>
    <w:p>
      <w:pPr>
        <w:spacing w:after="0" w:line="157" w:lineRule="exact"/>
        <w:rPr>
          <w:sz w:val="20"/>
          <w:szCs w:val="20"/>
          <w:color w:val="auto"/>
        </w:rPr>
      </w:pPr>
    </w:p>
    <w:p>
      <w:pPr>
        <w:ind w:left="1060" w:right="160" w:hanging="404"/>
        <w:spacing w:after="0" w:line="22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financial model based on quantitative analysis of historical financial performance, projections and pro forma adjustments to determine a range of estimated internal rates of return.</w:t>
      </w:r>
    </w:p>
    <w:p>
      <w:pPr>
        <w:ind w:left="1060" w:hanging="404"/>
        <w:spacing w:after="0" w:line="23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initial call or meeting with the portfolio company management team, owner, private equity sponsor or other deal partner.</w:t>
      </w:r>
    </w:p>
    <w:p>
      <w:pPr>
        <w:ind w:left="1060" w:hanging="40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brief industry and market analysis, leveraging direct industry expertise from other investment professionals of our investment advisor.</w:t>
      </w:r>
    </w:p>
    <w:p>
      <w:pPr>
        <w:spacing w:after="0" w:line="7" w:lineRule="exact"/>
        <w:rPr>
          <w:rFonts w:ascii="Arial" w:cs="Arial" w:eastAsia="Arial" w:hAnsi="Arial"/>
          <w:sz w:val="17"/>
          <w:szCs w:val="17"/>
          <w:color w:val="auto"/>
        </w:rPr>
      </w:pPr>
    </w:p>
    <w:p>
      <w:pPr>
        <w:ind w:left="1060" w:hanging="404"/>
        <w:spacing w:after="0" w:line="23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qualitative analysis of the portfolio company management team’s competencies and backgrounds.</w:t>
      </w:r>
    </w:p>
    <w:p>
      <w:pPr>
        <w:ind w:left="1060" w:hanging="40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investment structures and pricing terms.</w:t>
      </w:r>
    </w:p>
    <w:p>
      <w:pPr>
        <w:spacing w:after="0" w:line="142" w:lineRule="exact"/>
        <w:rPr>
          <w:sz w:val="20"/>
          <w:szCs w:val="20"/>
          <w:color w:val="auto"/>
        </w:rPr>
      </w:pPr>
    </w:p>
    <w:p>
      <w:pPr>
        <w:jc w:val="both"/>
        <w:ind w:firstLine="656"/>
        <w:spacing w:after="0" w:line="259" w:lineRule="auto"/>
        <w:rPr>
          <w:sz w:val="20"/>
          <w:szCs w:val="20"/>
          <w:color w:val="auto"/>
        </w:rPr>
      </w:pPr>
      <w:r>
        <w:rPr>
          <w:rFonts w:ascii="Arial" w:cs="Arial" w:eastAsia="Arial" w:hAnsi="Arial"/>
          <w:sz w:val="17"/>
          <w:szCs w:val="17"/>
          <w:color w:val="auto"/>
        </w:rPr>
        <w:t>Upon successful completion of the screening process, the deal team prepares a screening memorandum and makes a recommendation to the investment committee. At this time, the investment committee will also consider whether the investment would be made by FIC or through the Funds. If the investment committee supports the deal team’s recommendation, the deal team issues a non-binding term sheet to the potential portfolio company. Such a term sheet will typically include the key economic terms based on our analysis conducted during the screening process. Upon agreement on a term sheet with the potential portfolio company, our investment advisor will begin a formal diligence and underwriting process.</w:t>
      </w:r>
    </w:p>
    <w:p>
      <w:pPr>
        <w:spacing w:after="0" w:line="120"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i w:val="1"/>
          <w:iCs w:val="1"/>
          <w:color w:val="auto"/>
        </w:rPr>
        <w:t xml:space="preserve">Due Diligence and Underwriting. </w:t>
      </w:r>
      <w:r>
        <w:rPr>
          <w:rFonts w:ascii="Arial" w:cs="Arial" w:eastAsia="Arial" w:hAnsi="Arial"/>
          <w:sz w:val="18"/>
          <w:szCs w:val="18"/>
          <w:color w:val="auto"/>
        </w:rPr>
        <w:t>Our investment advisor has developed a rigorous and disciplined due diligence process that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understanding of a borrower’s industry, market, operational, financial, organizational and legal positions and prospects. The due diligence review will take into account information that the deal team deems necessary to make an informed decision about the creditworthiness of the borrower and the risks of the investment, which includes some or all of the following:</w:t>
      </w:r>
    </w:p>
    <w:p>
      <w:pPr>
        <w:spacing w:after="0" w:line="174" w:lineRule="exact"/>
        <w:rPr>
          <w:sz w:val="20"/>
          <w:szCs w:val="20"/>
          <w:color w:val="auto"/>
        </w:rPr>
      </w:pPr>
    </w:p>
    <w:p>
      <w:pPr>
        <w:ind w:left="960" w:hanging="35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Initial or additional site visits and facility tours with management and key personnel.</w:t>
      </w:r>
    </w:p>
    <w:p>
      <w:pPr>
        <w:spacing w:after="0" w:line="11" w:lineRule="exact"/>
        <w:rPr>
          <w:rFonts w:ascii="Arial" w:cs="Arial" w:eastAsia="Arial" w:hAnsi="Arial"/>
          <w:sz w:val="18"/>
          <w:szCs w:val="18"/>
          <w:color w:val="auto"/>
        </w:rPr>
      </w:pPr>
    </w:p>
    <w:p>
      <w:pPr>
        <w:ind w:left="960" w:hanging="358"/>
        <w:spacing w:after="0" w:line="23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of the business history, operations and strategy.</w:t>
      </w:r>
    </w:p>
    <w:p>
      <w:pPr>
        <w:ind w:left="960" w:hanging="358"/>
        <w:spacing w:after="0" w:line="23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depth review of industry and competition.</w:t>
      </w:r>
    </w:p>
    <w:p>
      <w:pPr>
        <w:ind w:left="960" w:hanging="358"/>
        <w:spacing w:after="0" w:line="23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Analysis of key customers and suppliers, including review of any concentrations and key contracts.</w:t>
      </w:r>
    </w:p>
    <w:p>
      <w:pPr>
        <w:ind w:left="960" w:right="160" w:hanging="358"/>
        <w:spacing w:after="0" w:line="239"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Detailed review of historical and projected financial statements, including a review of at least three years of performance (annual and monthly), key financial ratios, revenue, expenses and profitability drivers and sensitivities to management’s financial projections.</w:t>
      </w:r>
    </w:p>
    <w:p>
      <w:pPr>
        <w:spacing w:after="0" w:line="188" w:lineRule="exact"/>
        <w:rPr>
          <w:rFonts w:ascii="Arial" w:cs="Arial" w:eastAsia="Arial" w:hAnsi="Arial"/>
          <w:sz w:val="17"/>
          <w:szCs w:val="17"/>
          <w:color w:val="auto"/>
        </w:rPr>
      </w:pPr>
    </w:p>
    <w:p>
      <w:pPr>
        <w:ind w:left="960" w:hanging="35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Detailed evaluation of company management, including background checks.</w:t>
      </w:r>
    </w:p>
    <w:p>
      <w:pPr>
        <w:spacing w:after="0" w:line="11" w:lineRule="exact"/>
        <w:rPr>
          <w:rFonts w:ascii="Arial" w:cs="Arial" w:eastAsia="Arial" w:hAnsi="Arial"/>
          <w:sz w:val="18"/>
          <w:szCs w:val="18"/>
          <w:color w:val="auto"/>
        </w:rPr>
      </w:pPr>
    </w:p>
    <w:p>
      <w:pPr>
        <w:ind w:left="960" w:right="160" w:hanging="358"/>
        <w:spacing w:after="0" w:line="22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 party reviews of accounting, environmental, legal, insurance, material contracts, competition, industry and market studies and interviews with customers and suppliers, (each as appropriate).</w:t>
      </w:r>
    </w:p>
    <w:p>
      <w:pPr>
        <w:ind w:left="960" w:hanging="35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sponsor diligence, if applicable, including portfolio company and other reference checks.</w:t>
      </w:r>
    </w:p>
    <w:p>
      <w:pPr>
        <w:spacing w:after="0" w:line="143" w:lineRule="exact"/>
        <w:rPr>
          <w:sz w:val="20"/>
          <w:szCs w:val="20"/>
          <w:color w:val="auto"/>
        </w:rPr>
      </w:pPr>
    </w:p>
    <w:p>
      <w:pPr>
        <w:jc w:val="both"/>
        <w:ind w:firstLine="1376"/>
        <w:spacing w:after="0" w:line="243" w:lineRule="auto"/>
        <w:rPr>
          <w:sz w:val="20"/>
          <w:szCs w:val="20"/>
          <w:color w:val="auto"/>
        </w:rPr>
      </w:pPr>
      <w:r>
        <w:rPr>
          <w:rFonts w:ascii="Arial" w:cs="Arial" w:eastAsia="Arial" w:hAnsi="Arial"/>
          <w:sz w:val="18"/>
          <w:szCs w:val="18"/>
          <w:color w:val="auto"/>
        </w:rPr>
        <w:t>During the due diligence process, significant attention is given to sensitivity analyses and how the portfolio company might be expected to perform given various scenarios, including downside, “base case” and upside. Upon satisfactory completion of the due diligence review process, the deal team will present their findings and a recommendation to the investment committee. If the investment committee supports the deal team’s recommendation, the deal team will proceed with negotiating and documenting the investment.</w:t>
      </w:r>
    </w:p>
    <w:p>
      <w:pPr>
        <w:spacing w:after="0" w:line="134"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i w:val="1"/>
          <w:iCs w:val="1"/>
          <w:color w:val="auto"/>
        </w:rPr>
        <w:t xml:space="preserve">Documentation and Closing. </w:t>
      </w:r>
      <w:r>
        <w:rPr>
          <w:rFonts w:ascii="Arial" w:cs="Arial" w:eastAsia="Arial" w:hAnsi="Arial"/>
          <w:sz w:val="18"/>
          <w:szCs w:val="18"/>
          <w:color w:val="auto"/>
        </w:rPr>
        <w:t>Our investment advisor works with the management of a potential portfolio company and its other capital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as applicable, senior, junior and equity capital providers to structure an investment. Our investment advisor structures each investment with an acute focus on capital preservation and will tailor the terms of each investment to the facts and circumstances of the transaction and the prospective portfolio company. We seek to limit the downside of our investments by:</w:t>
      </w:r>
    </w:p>
    <w:p>
      <w:pPr>
        <w:spacing w:after="0" w:line="17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 w:name="page13"/>
    <w:bookmarkEnd w:id="12"/>
    <w:p>
      <w:pPr>
        <w:ind w:left="960" w:right="160" w:hanging="358"/>
        <w:spacing w:after="0" w:line="228"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Targeting an optimal total return on our investments (including a combination of current and deferred interest, prepayment penalties and equity participation) that compensates us for credit risk.</w:t>
      </w:r>
    </w:p>
    <w:p>
      <w:pPr>
        <w:jc w:val="both"/>
        <w:ind w:left="960" w:right="140" w:hanging="358"/>
        <w:spacing w:after="0" w:line="21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yet consistent with preservation of our capital. Such restrictions may include affirmative and negative covenants, default penalties, lien protection, change of control provisions and board rights, including either board observation or rights to a seat on the board under some circumstances.</w:t>
      </w:r>
    </w:p>
    <w:p>
      <w:pPr>
        <w:spacing w:after="0" w:line="15" w:lineRule="exact"/>
        <w:rPr>
          <w:rFonts w:ascii="Arial" w:cs="Arial" w:eastAsia="Arial" w:hAnsi="Arial"/>
          <w:sz w:val="18"/>
          <w:szCs w:val="18"/>
          <w:color w:val="auto"/>
        </w:rPr>
      </w:pPr>
    </w:p>
    <w:p>
      <w:pPr>
        <w:jc w:val="both"/>
        <w:ind w:left="960" w:right="160" w:hanging="358"/>
        <w:spacing w:after="0" w:line="24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Structuring financial covenants and terms in our debt investments that require a portfolio company to reduce leverage over time, thereby mitigating the risk of loss and increasing the likelihood of achieving targeted returns on investment. These methods may include, among others: leverage covenants requiring a decreasing ratio of debt to cash flow; cash flow covenants requiring an increasing ratio of cash flow to interest expense and possibly other cash expenses such as capital expenditures, cash taxes and mandatory principal payments; and debt incurrence prohibitions, or limiting a company’s ability to relever its balance sheet. In addition, limitations on asset sales and capital expenditures prevent a company from changing the nature of its business or capitalization without our consent.</w:t>
      </w:r>
    </w:p>
    <w:p>
      <w:pPr>
        <w:spacing w:after="0" w:line="201" w:lineRule="exact"/>
        <w:rPr>
          <w:sz w:val="20"/>
          <w:szCs w:val="20"/>
          <w:color w:val="auto"/>
        </w:rPr>
      </w:pPr>
    </w:p>
    <w:p>
      <w:pPr>
        <w:jc w:val="both"/>
        <w:ind w:firstLine="656"/>
        <w:spacing w:after="0" w:line="291" w:lineRule="auto"/>
        <w:rPr>
          <w:sz w:val="20"/>
          <w:szCs w:val="20"/>
          <w:color w:val="auto"/>
        </w:rPr>
      </w:pPr>
      <w:r>
        <w:rPr>
          <w:rFonts w:ascii="Arial" w:cs="Arial" w:eastAsia="Arial" w:hAnsi="Arial"/>
          <w:sz w:val="17"/>
          <w:szCs w:val="17"/>
          <w:color w:val="auto"/>
        </w:rPr>
        <w:t>We expect to hold most of our investments to maturity or repayment, but may exit our investments earlier if a liquidity event takes place, such as a sale or recapitalization of a portfolio company, or if we determine that a sale of one or more of our investments is in our best interest.</w:t>
      </w:r>
    </w:p>
    <w:p>
      <w:pPr>
        <w:spacing w:after="0" w:line="93"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i w:val="1"/>
          <w:iCs w:val="1"/>
          <w:color w:val="auto"/>
        </w:rPr>
        <w:t>Active Portfolio Management</w:t>
      </w:r>
      <w:r>
        <w:rPr>
          <w:rFonts w:ascii="Arial" w:cs="Arial" w:eastAsia="Arial" w:hAnsi="Arial"/>
          <w:sz w:val="18"/>
          <w:szCs w:val="18"/>
          <w:color w:val="auto"/>
        </w:rPr>
        <w:t>. Active portfolio monitoring is a vital part of our investment process and we continuously monitor the status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of the portfolio companies. The same deal team that was involved in the investment process will continue its involvement in the portfolio company post-investment. This provides for continuity of knowledge and allows the deal team to maintain a strong business relationship with key management of its portfolio companies for post-investment assistance and monitoring purposes.</w:t>
      </w:r>
    </w:p>
    <w:p>
      <w:pPr>
        <w:spacing w:after="0" w:line="134" w:lineRule="exact"/>
        <w:rPr>
          <w:sz w:val="20"/>
          <w:szCs w:val="20"/>
          <w:color w:val="auto"/>
        </w:rPr>
      </w:pPr>
    </w:p>
    <w:p>
      <w:pPr>
        <w:jc w:val="both"/>
        <w:ind w:firstLine="656"/>
        <w:spacing w:after="0" w:line="238" w:lineRule="auto"/>
        <w:rPr>
          <w:sz w:val="20"/>
          <w:szCs w:val="20"/>
          <w:color w:val="auto"/>
        </w:rPr>
      </w:pPr>
      <w:r>
        <w:rPr>
          <w:rFonts w:ascii="Arial" w:cs="Arial" w:eastAsia="Arial" w:hAnsi="Arial"/>
          <w:sz w:val="18"/>
          <w:szCs w:val="18"/>
          <w:color w:val="auto"/>
        </w:rPr>
        <w:t>As part of the monitoring process, the deal team conducts a comprehensive review of the financial and operating results of each portfolio company that includes a review of the monthly/quarterly financials relative to the prior year and budget, a review of the financial projections including cash flow and liquidity needs, meeting with management, attending board meetings and reviewing compliance certificates and covenants. We maintain an ongoing dialogue with the management and any controlling equity holders of a portfolio company that will include discussions about the company’s business plans and growth opportunities and any changes in industry and competitive dynamics. While we maintain limited involvement in the ordinary course operations of our portfolio companies, we may maintain a higher level of involvement in non-ordinary course financing or strategic activities and any non-performing scenarios. Our investment advisor’s portfolio management will also include quarterly portfolio reviews with all investment professionals and investment committee members.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Rating System</w:t>
      </w:r>
    </w:p>
    <w:p>
      <w:pPr>
        <w:spacing w:after="0" w:line="81"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68" w:lineRule="exact"/>
        <w:rPr>
          <w:sz w:val="20"/>
          <w:szCs w:val="20"/>
          <w:color w:val="auto"/>
        </w:rPr>
      </w:pPr>
    </w:p>
    <w:p>
      <w:pPr>
        <w:jc w:val="both"/>
        <w:ind w:left="1160" w:right="680" w:hanging="653"/>
        <w:spacing w:after="0" w:line="220"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jc w:val="both"/>
        <w:ind w:left="1160" w:right="680" w:hanging="653"/>
        <w:spacing w:after="0" w:line="213"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risks factors are neutral or favorable. Each new portfolio investment enters our portfolio with Investment Rating 2.</w:t>
      </w:r>
    </w:p>
    <w:p>
      <w:pPr>
        <w:spacing w:after="0" w:line="2" w:lineRule="exact"/>
        <w:rPr>
          <w:rFonts w:ascii="Arial" w:cs="Arial" w:eastAsia="Arial" w:hAnsi="Arial"/>
          <w:sz w:val="18"/>
          <w:szCs w:val="18"/>
          <w:color w:val="auto"/>
        </w:rPr>
      </w:pPr>
    </w:p>
    <w:p>
      <w:pPr>
        <w:jc w:val="both"/>
        <w:ind w:left="1160" w:right="680" w:hanging="653"/>
        <w:spacing w:after="0" w:line="213"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2" w:lineRule="exact"/>
        <w:rPr>
          <w:rFonts w:ascii="Arial" w:cs="Arial" w:eastAsia="Arial" w:hAnsi="Arial"/>
          <w:sz w:val="18"/>
          <w:szCs w:val="18"/>
          <w:color w:val="auto"/>
        </w:rPr>
      </w:pPr>
    </w:p>
    <w:p>
      <w:pPr>
        <w:ind w:left="1160" w:right="680" w:hanging="653"/>
        <w:spacing w:after="0" w:line="246"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 Rating 4 is used for investments performing materially below our expectations and the risk has increased materially since origination. The investment has the potential for some loss of investment return, but we expect no loss of principal.</w:t>
      </w:r>
    </w:p>
    <w:p>
      <w:pPr>
        <w:ind w:left="1160" w:right="680" w:hanging="653"/>
        <w:spacing w:after="0" w:line="226"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34" w:lineRule="exact"/>
        <w:rPr>
          <w:sz w:val="20"/>
          <w:szCs w:val="20"/>
          <w:color w:val="auto"/>
        </w:rPr>
      </w:pPr>
    </w:p>
    <w:p>
      <w:pPr>
        <w:ind w:firstLine="656"/>
        <w:spacing w:after="0" w:line="261"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and cost as of December 31, 2021 and 2020 (dollars in millions).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4"/>
        </w:trPr>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Fair Value</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Cost</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119"/>
        </w:trPr>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3"/>
          </w:tcPr>
          <w:p>
            <w:pPr>
              <w:jc w:val="center"/>
              <w:ind w:left="46"/>
              <w:spacing w:after="0" w:line="119" w:lineRule="exact"/>
              <w:rPr>
                <w:sz w:val="20"/>
                <w:szCs w:val="20"/>
                <w:color w:val="auto"/>
              </w:rPr>
            </w:pPr>
            <w:r>
              <w:rPr>
                <w:rFonts w:ascii="Arial" w:cs="Arial" w:eastAsia="Arial" w:hAnsi="Arial"/>
                <w:sz w:val="11"/>
                <w:szCs w:val="11"/>
                <w:b w:val="1"/>
                <w:bCs w:val="1"/>
                <w:color w:val="auto"/>
                <w:w w:val="89"/>
              </w:rPr>
              <w:t>December 31,</w:t>
            </w: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3"/>
          </w:tcPr>
          <w:p>
            <w:pPr>
              <w:jc w:val="center"/>
              <w:ind w:left="46"/>
              <w:spacing w:after="0" w:line="119" w:lineRule="exact"/>
              <w:rPr>
                <w:sz w:val="20"/>
                <w:szCs w:val="20"/>
                <w:color w:val="auto"/>
              </w:rPr>
            </w:pPr>
            <w:r>
              <w:rPr>
                <w:rFonts w:ascii="Arial" w:cs="Arial" w:eastAsia="Arial" w:hAnsi="Arial"/>
                <w:sz w:val="11"/>
                <w:szCs w:val="11"/>
                <w:b w:val="1"/>
                <w:bCs w:val="1"/>
                <w:color w:val="auto"/>
                <w:w w:val="89"/>
              </w:rPr>
              <w:t>December 31,</w:t>
            </w: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2"/>
          </w:tcPr>
          <w:p>
            <w:pPr>
              <w:jc w:val="center"/>
              <w:ind w:left="186"/>
              <w:spacing w:after="0" w:line="119" w:lineRule="exact"/>
              <w:rPr>
                <w:sz w:val="20"/>
                <w:szCs w:val="20"/>
                <w:color w:val="auto"/>
              </w:rPr>
            </w:pPr>
            <w:r>
              <w:rPr>
                <w:rFonts w:ascii="Arial" w:cs="Arial" w:eastAsia="Arial" w:hAnsi="Arial"/>
                <w:sz w:val="11"/>
                <w:szCs w:val="11"/>
                <w:b w:val="1"/>
                <w:bCs w:val="1"/>
                <w:color w:val="auto"/>
                <w:w w:val="89"/>
              </w:rPr>
              <w:t>December 31,</w:t>
            </w: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3"/>
          </w:tcPr>
          <w:p>
            <w:pPr>
              <w:jc w:val="center"/>
              <w:ind w:left="26"/>
              <w:spacing w:after="0" w:line="119" w:lineRule="exact"/>
              <w:rPr>
                <w:sz w:val="20"/>
                <w:szCs w:val="20"/>
                <w:color w:val="auto"/>
              </w:rPr>
            </w:pPr>
            <w:r>
              <w:rPr>
                <w:rFonts w:ascii="Arial" w:cs="Arial" w:eastAsia="Arial" w:hAnsi="Arial"/>
                <w:sz w:val="11"/>
                <w:szCs w:val="11"/>
                <w:b w:val="1"/>
                <w:bCs w:val="1"/>
                <w:color w:val="auto"/>
                <w:w w:val="89"/>
              </w:rPr>
              <w:t>December 31,</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44"/>
        </w:trPr>
        <w:tc>
          <w:tcPr>
            <w:tcW w:w="1760" w:type="dxa"/>
            <w:vAlign w:val="bottom"/>
            <w:gridSpan w:val="2"/>
          </w:tcPr>
          <w:p>
            <w:pPr>
              <w:ind w:left="20"/>
              <w:spacing w:after="0"/>
              <w:rPr>
                <w:sz w:val="20"/>
                <w:szCs w:val="20"/>
                <w:color w:val="auto"/>
              </w:rPr>
            </w:pPr>
            <w:r>
              <w:rPr>
                <w:rFonts w:ascii="Arial" w:cs="Arial" w:eastAsia="Arial" w:hAnsi="Arial"/>
                <w:sz w:val="11"/>
                <w:szCs w:val="11"/>
                <w:b w:val="1"/>
                <w:bCs w:val="1"/>
                <w:color w:val="auto"/>
              </w:rPr>
              <w:t>Investment Rating</w:t>
            </w:r>
          </w:p>
        </w:tc>
        <w:tc>
          <w:tcPr>
            <w:tcW w:w="4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2021</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2020</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2021</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2020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33"/>
        </w:trPr>
        <w:tc>
          <w:tcPr>
            <w:tcW w:w="15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1</w:t>
            </w:r>
          </w:p>
        </w:tc>
        <w:tc>
          <w:tcPr>
            <w:tcW w:w="180" w:type="dxa"/>
            <w:vAlign w:val="bottom"/>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ind w:right="26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119.8</w:t>
            </w:r>
          </w:p>
        </w:tc>
        <w:tc>
          <w:tcPr>
            <w:tcW w:w="24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16.7</w:t>
            </w:r>
          </w:p>
        </w:tc>
        <w:tc>
          <w:tcPr>
            <w:tcW w:w="500" w:type="dxa"/>
            <w:vAlign w:val="bottom"/>
            <w:shd w:val="clear" w:color="auto" w:fill="CFF0FC"/>
          </w:tcPr>
          <w:p>
            <w:pPr>
              <w:jc w:val="right"/>
              <w:ind w:right="266"/>
              <w:spacing w:after="0"/>
              <w:rPr>
                <w:sz w:val="20"/>
                <w:szCs w:val="20"/>
                <w:color w:val="auto"/>
              </w:rPr>
            </w:pPr>
            <w:r>
              <w:rPr>
                <w:rFonts w:ascii="Arial" w:cs="Arial" w:eastAsia="Arial" w:hAnsi="Arial"/>
                <w:sz w:val="11"/>
                <w:szCs w:val="11"/>
                <w:color w:val="auto"/>
              </w:rPr>
              <w:t>%</w:t>
            </w:r>
          </w:p>
        </w:tc>
        <w:tc>
          <w:tcPr>
            <w:tcW w:w="400" w:type="dxa"/>
            <w:vAlign w:val="bottom"/>
            <w:tcBorders>
              <w:top w:val="single" w:sz="8" w:color="auto"/>
            </w:tcBorders>
            <w:shd w:val="clear" w:color="auto" w:fill="CFF0FC"/>
          </w:tcPr>
          <w:p>
            <w:pPr>
              <w:jc w:val="right"/>
              <w:ind w:right="26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109.3</w:t>
            </w:r>
          </w:p>
        </w:tc>
        <w:tc>
          <w:tcPr>
            <w:tcW w:w="24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14.7</w:t>
            </w:r>
          </w:p>
        </w:tc>
        <w:tc>
          <w:tcPr>
            <w:tcW w:w="500" w:type="dxa"/>
            <w:vAlign w:val="bottom"/>
            <w:shd w:val="clear" w:color="auto" w:fill="CFF0FC"/>
          </w:tcPr>
          <w:p>
            <w:pPr>
              <w:jc w:val="right"/>
              <w:ind w:right="286"/>
              <w:spacing w:after="0"/>
              <w:rPr>
                <w:sz w:val="20"/>
                <w:szCs w:val="20"/>
                <w:color w:val="auto"/>
              </w:rPr>
            </w:pPr>
            <w:r>
              <w:rPr>
                <w:rFonts w:ascii="Arial" w:cs="Arial" w:eastAsia="Arial" w:hAnsi="Arial"/>
                <w:sz w:val="11"/>
                <w:szCs w:val="11"/>
                <w:color w:val="auto"/>
              </w:rPr>
              <w:t>%</w:t>
            </w:r>
          </w:p>
        </w:tc>
        <w:tc>
          <w:tcPr>
            <w:tcW w:w="320" w:type="dxa"/>
            <w:vAlign w:val="bottom"/>
            <w:tcBorders>
              <w:top w:val="single" w:sz="8" w:color="auto"/>
            </w:tcBorders>
            <w:shd w:val="clear" w:color="auto" w:fill="CFF0FC"/>
          </w:tcPr>
          <w:p>
            <w:pPr>
              <w:jc w:val="right"/>
              <w:ind w:right="21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19.1</w:t>
            </w:r>
          </w:p>
        </w:tc>
        <w:tc>
          <w:tcPr>
            <w:tcW w:w="24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w:t>
            </w:r>
          </w:p>
        </w:tc>
        <w:tc>
          <w:tcPr>
            <w:tcW w:w="460" w:type="dxa"/>
            <w:vAlign w:val="bottom"/>
            <w:shd w:val="clear" w:color="auto" w:fill="CFF0FC"/>
          </w:tcPr>
          <w:p>
            <w:pPr>
              <w:jc w:val="right"/>
              <w:ind w:right="246"/>
              <w:spacing w:after="0"/>
              <w:rPr>
                <w:sz w:val="20"/>
                <w:szCs w:val="20"/>
                <w:color w:val="auto"/>
              </w:rPr>
            </w:pPr>
            <w:r>
              <w:rPr>
                <w:rFonts w:ascii="Arial" w:cs="Arial" w:eastAsia="Arial" w:hAnsi="Arial"/>
                <w:sz w:val="11"/>
                <w:szCs w:val="11"/>
                <w:color w:val="auto"/>
              </w:rPr>
              <w:t>%</w:t>
            </w:r>
          </w:p>
        </w:tc>
        <w:tc>
          <w:tcPr>
            <w:tcW w:w="320" w:type="dxa"/>
            <w:vAlign w:val="bottom"/>
            <w:tcBorders>
              <w:top w:val="single" w:sz="8" w:color="auto"/>
            </w:tcBorders>
            <w:shd w:val="clear" w:color="auto" w:fill="CFF0FC"/>
          </w:tcPr>
          <w:p>
            <w:pPr>
              <w:jc w:val="right"/>
              <w:ind w:right="2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38.7</w:t>
            </w:r>
          </w:p>
        </w:tc>
        <w:tc>
          <w:tcPr>
            <w:tcW w:w="2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5.6</w:t>
            </w:r>
          </w:p>
        </w:tc>
        <w:tc>
          <w:tcPr>
            <w:tcW w:w="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r>
      <w:tr>
        <w:trPr>
          <w:trHeight w:val="135"/>
        </w:trPr>
        <w:tc>
          <w:tcPr>
            <w:tcW w:w="1580" w:type="dxa"/>
            <w:vAlign w:val="bottom"/>
          </w:tcPr>
          <w:p>
            <w:pPr>
              <w:ind w:left="20"/>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566.7</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78.8</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544.4</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73.3</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556.1</w:t>
            </w:r>
          </w:p>
        </w:tc>
        <w:tc>
          <w:tcPr>
            <w:tcW w:w="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89.4</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537.6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78.3</w:t>
            </w:r>
          </w:p>
        </w:tc>
        <w:tc>
          <w:tcPr>
            <w:tcW w:w="300" w:type="dxa"/>
            <w:vAlign w:val="bottom"/>
          </w:tcPr>
          <w:p>
            <w:pPr>
              <w:spacing w:after="0"/>
              <w:rPr>
                <w:sz w:val="11"/>
                <w:szCs w:val="11"/>
                <w:color w:val="auto"/>
              </w:rPr>
            </w:pPr>
          </w:p>
        </w:tc>
      </w:tr>
      <w:tr>
        <w:trPr>
          <w:trHeight w:val="135"/>
        </w:trPr>
        <w:tc>
          <w:tcPr>
            <w:tcW w:w="1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3</w:t>
            </w: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31.7</w:t>
            </w: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5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80.1</w:t>
            </w: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w:t>
            </w:r>
          </w:p>
        </w:tc>
        <w:tc>
          <w:tcPr>
            <w:tcW w:w="5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40.4</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w:t>
            </w:r>
          </w:p>
        </w:tc>
        <w:tc>
          <w:tcPr>
            <w:tcW w:w="4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w:t>
            </w:r>
          </w:p>
        </w:tc>
        <w:tc>
          <w:tcPr>
            <w:tcW w:w="300" w:type="dxa"/>
            <w:vAlign w:val="bottom"/>
            <w:shd w:val="clear" w:color="auto" w:fill="CFF0FC"/>
          </w:tcPr>
          <w:p>
            <w:pPr>
              <w:spacing w:after="0"/>
              <w:rPr>
                <w:sz w:val="11"/>
                <w:szCs w:val="11"/>
                <w:color w:val="auto"/>
              </w:rPr>
            </w:pPr>
          </w:p>
        </w:tc>
      </w:tr>
      <w:tr>
        <w:trPr>
          <w:trHeight w:val="135"/>
        </w:trPr>
        <w:tc>
          <w:tcPr>
            <w:tcW w:w="1580" w:type="dxa"/>
            <w:vAlign w:val="bottom"/>
          </w:tcPr>
          <w:p>
            <w:pPr>
              <w:ind w:left="20"/>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0.9</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0.1</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w:t>
            </w:r>
          </w:p>
        </w:tc>
        <w:tc>
          <w:tcPr>
            <w:tcW w:w="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2.0</w:t>
            </w:r>
          </w:p>
        </w:tc>
        <w:tc>
          <w:tcPr>
            <w:tcW w:w="300" w:type="dxa"/>
            <w:vAlign w:val="bottom"/>
          </w:tcPr>
          <w:p>
            <w:pPr>
              <w:spacing w:after="0"/>
              <w:rPr>
                <w:sz w:val="11"/>
                <w:szCs w:val="11"/>
                <w:color w:val="auto"/>
              </w:rPr>
            </w:pPr>
          </w:p>
        </w:tc>
      </w:tr>
      <w:tr>
        <w:trPr>
          <w:trHeight w:val="135"/>
        </w:trPr>
        <w:tc>
          <w:tcPr>
            <w:tcW w:w="1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5</w:t>
            </w: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80" w:type="dxa"/>
            <w:vAlign w:val="bottom"/>
            <w:gridSpan w:val="3"/>
            <w:shd w:val="clear" w:color="auto" w:fill="CFF0FC"/>
          </w:tcPr>
          <w:p>
            <w:pPr>
              <w:jc w:val="right"/>
              <w:ind w:right="60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0.5</w:t>
            </w:r>
          </w:p>
        </w:tc>
        <w:tc>
          <w:tcPr>
            <w:tcW w:w="4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w:t>
            </w:r>
          </w:p>
        </w:tc>
        <w:tc>
          <w:tcPr>
            <w:tcW w:w="300" w:type="dxa"/>
            <w:vAlign w:val="bottom"/>
            <w:shd w:val="clear" w:color="auto" w:fill="CFF0FC"/>
          </w:tcPr>
          <w:p>
            <w:pPr>
              <w:spacing w:after="0"/>
              <w:rPr>
                <w:sz w:val="11"/>
                <w:szCs w:val="11"/>
                <w:color w:val="auto"/>
              </w:rPr>
            </w:pPr>
          </w:p>
        </w:tc>
      </w:tr>
      <w:tr>
        <w:trPr>
          <w:trHeight w:val="128"/>
        </w:trPr>
        <w:tc>
          <w:tcPr>
            <w:tcW w:w="1760" w:type="dxa"/>
            <w:vAlign w:val="bottom"/>
            <w:tcBorders>
              <w:top w:val="single" w:sz="8" w:color="CFF0FC"/>
            </w:tcBorders>
            <w:gridSpan w:val="2"/>
          </w:tcPr>
          <w:p>
            <w:pPr>
              <w:ind w:left="20"/>
              <w:spacing w:after="0" w:line="115" w:lineRule="exact"/>
              <w:rPr>
                <w:sz w:val="20"/>
                <w:szCs w:val="20"/>
                <w:color w:val="auto"/>
              </w:rPr>
            </w:pPr>
            <w:r>
              <w:rPr>
                <w:rFonts w:ascii="Arial" w:cs="Arial" w:eastAsia="Arial" w:hAnsi="Arial"/>
                <w:sz w:val="11"/>
                <w:szCs w:val="11"/>
                <w:color w:val="auto"/>
              </w:rPr>
              <w:t>Total</w:t>
            </w:r>
          </w:p>
        </w:tc>
        <w:tc>
          <w:tcPr>
            <w:tcW w:w="400" w:type="dxa"/>
            <w:vAlign w:val="bottom"/>
            <w:tcBorders>
              <w:top w:val="single" w:sz="8" w:color="auto"/>
              <w:bottom w:val="single" w:sz="8" w:color="auto"/>
            </w:tcBorders>
          </w:tcPr>
          <w:p>
            <w:pPr>
              <w:jc w:val="right"/>
              <w:ind w:right="266"/>
              <w:spacing w:after="0" w:line="115" w:lineRule="exact"/>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719.1</w:t>
            </w:r>
          </w:p>
        </w:tc>
        <w:tc>
          <w:tcPr>
            <w:tcW w:w="240" w:type="dxa"/>
            <w:vAlign w:val="bottom"/>
            <w:tcBorders>
              <w:top w:val="single" w:sz="8" w:color="CFF0FC"/>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100.0</w:t>
            </w:r>
          </w:p>
        </w:tc>
        <w:tc>
          <w:tcPr>
            <w:tcW w:w="500" w:type="dxa"/>
            <w:vAlign w:val="bottom"/>
            <w:tcBorders>
              <w:top w:val="single" w:sz="8" w:color="CFF0FC"/>
            </w:tcBorders>
          </w:tcPr>
          <w:p>
            <w:pPr>
              <w:jc w:val="right"/>
              <w:ind w:right="266"/>
              <w:spacing w:after="0" w:line="115"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auto"/>
              <w:bottom w:val="single" w:sz="8" w:color="auto"/>
            </w:tcBorders>
          </w:tcPr>
          <w:p>
            <w:pPr>
              <w:jc w:val="right"/>
              <w:ind w:right="266"/>
              <w:spacing w:after="0" w:line="115" w:lineRule="exact"/>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742.9</w:t>
            </w:r>
          </w:p>
        </w:tc>
        <w:tc>
          <w:tcPr>
            <w:tcW w:w="240" w:type="dxa"/>
            <w:vAlign w:val="bottom"/>
            <w:tcBorders>
              <w:top w:val="single" w:sz="8" w:color="CFF0FC"/>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100.0</w:t>
            </w:r>
          </w:p>
        </w:tc>
        <w:tc>
          <w:tcPr>
            <w:tcW w:w="500" w:type="dxa"/>
            <w:vAlign w:val="bottom"/>
            <w:tcBorders>
              <w:top w:val="single" w:sz="8" w:color="CFF0FC"/>
            </w:tcBorders>
          </w:tcPr>
          <w:p>
            <w:pPr>
              <w:jc w:val="right"/>
              <w:ind w:right="286"/>
              <w:spacing w:after="0" w:line="115" w:lineRule="exact"/>
              <w:rPr>
                <w:sz w:val="20"/>
                <w:szCs w:val="20"/>
                <w:color w:val="auto"/>
              </w:rPr>
            </w:pPr>
            <w:r>
              <w:rPr>
                <w:rFonts w:ascii="Arial" w:cs="Arial" w:eastAsia="Arial" w:hAnsi="Arial"/>
                <w:sz w:val="11"/>
                <w:szCs w:val="11"/>
                <w:color w:val="auto"/>
              </w:rPr>
              <w:t>%</w:t>
            </w: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621.8</w:t>
            </w:r>
          </w:p>
        </w:tc>
        <w:tc>
          <w:tcPr>
            <w:tcW w:w="240" w:type="dxa"/>
            <w:vAlign w:val="bottom"/>
            <w:tcBorders>
              <w:top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100.0</w:t>
            </w:r>
          </w:p>
        </w:tc>
        <w:tc>
          <w:tcPr>
            <w:tcW w:w="460" w:type="dxa"/>
            <w:vAlign w:val="bottom"/>
            <w:tcBorders>
              <w:top w:val="single" w:sz="8" w:color="CFF0FC"/>
            </w:tcBorders>
          </w:tcPr>
          <w:p>
            <w:pPr>
              <w:jc w:val="right"/>
              <w:ind w:right="246"/>
              <w:spacing w:after="0" w:line="115" w:lineRule="exact"/>
              <w:rPr>
                <w:sz w:val="20"/>
                <w:szCs w:val="20"/>
                <w:color w:val="auto"/>
              </w:rPr>
            </w:pPr>
            <w:r>
              <w:rPr>
                <w:rFonts w:ascii="Arial" w:cs="Arial" w:eastAsia="Arial" w:hAnsi="Arial"/>
                <w:sz w:val="11"/>
                <w:szCs w:val="11"/>
                <w:color w:val="auto"/>
              </w:rPr>
              <w:t>%</w:t>
            </w: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687.0</w:t>
            </w: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100.0</w:t>
            </w:r>
          </w:p>
        </w:tc>
        <w:tc>
          <w:tcPr>
            <w:tcW w:w="300" w:type="dxa"/>
            <w:vAlign w:val="bottom"/>
            <w:tcBorders>
              <w:top w:val="single" w:sz="8" w:color="CFF0FC"/>
            </w:tcBorders>
          </w:tcPr>
          <w:p>
            <w:pPr>
              <w:jc w:val="right"/>
              <w:ind w:right="86"/>
              <w:spacing w:after="0" w:line="115" w:lineRule="exact"/>
              <w:rPr>
                <w:sz w:val="20"/>
                <w:szCs w:val="20"/>
                <w:color w:val="auto"/>
              </w:rPr>
            </w:pPr>
            <w:r>
              <w:rPr>
                <w:rFonts w:ascii="Arial" w:cs="Arial" w:eastAsia="Arial" w:hAnsi="Arial"/>
                <w:sz w:val="11"/>
                <w:szCs w:val="11"/>
                <w:color w:val="auto"/>
              </w:rPr>
              <w:t>%</w:t>
            </w: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-116205</wp:posOffset>
            </wp:positionV>
            <wp:extent cx="431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-116205</wp:posOffset>
            </wp:positionV>
            <wp:extent cx="431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-116205</wp:posOffset>
            </wp:positionV>
            <wp:extent cx="431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-116205</wp:posOffset>
            </wp:positionV>
            <wp:extent cx="431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-116205</wp:posOffset>
            </wp:positionV>
            <wp:extent cx="431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-116205</wp:posOffset>
            </wp:positionV>
            <wp:extent cx="3429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-116205</wp:posOffset>
            </wp:positionV>
            <wp:extent cx="3429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-116205</wp:posOffset>
            </wp:positionV>
            <wp:extent cx="3429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jc w:val="both"/>
        <w:ind w:firstLine="656"/>
        <w:spacing w:after="0" w:line="261" w:lineRule="auto"/>
        <w:rPr>
          <w:sz w:val="20"/>
          <w:szCs w:val="20"/>
          <w:color w:val="auto"/>
        </w:rPr>
      </w:pPr>
      <w:r>
        <w:rPr>
          <w:rFonts w:ascii="Arial" w:cs="Arial" w:eastAsia="Arial" w:hAnsi="Arial"/>
          <w:sz w:val="18"/>
          <w:szCs w:val="18"/>
          <w:color w:val="auto"/>
        </w:rPr>
        <w:t>Based on our investment rating system, the weighted average rating of our portfolio as of December 31, 2021 and 2020 was 1.9 and 2.0, respectively, on a fair value basis and 2.1 and 2.2, respectively, on a cost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Net Asset Value and Valuation Process</w:t>
      </w:r>
    </w:p>
    <w:p>
      <w:pPr>
        <w:spacing w:after="0" w:line="81" w:lineRule="exact"/>
        <w:rPr>
          <w:sz w:val="20"/>
          <w:szCs w:val="20"/>
          <w:color w:val="auto"/>
        </w:rPr>
      </w:pPr>
    </w:p>
    <w:p>
      <w:pPr>
        <w:jc w:val="both"/>
        <w:ind w:firstLine="656"/>
        <w:spacing w:after="0" w:line="253" w:lineRule="auto"/>
        <w:rPr>
          <w:sz w:val="20"/>
          <w:szCs w:val="20"/>
          <w:color w:val="auto"/>
        </w:rPr>
      </w:pPr>
      <w:r>
        <w:rPr>
          <w:rFonts w:ascii="Arial" w:cs="Arial" w:eastAsia="Arial" w:hAnsi="Arial"/>
          <w:sz w:val="17"/>
          <w:szCs w:val="17"/>
          <w:color w:val="auto"/>
        </w:rPr>
        <w:t>We determine the net asset value per share of our common stock on at least a quarterly basis, and more frequently if we are required to do so in connection with the issuance of shares of our common stock or pursuant to applicable federal laws and regulations. The net asset value per share of common stock is equal to the carrying value of our total assets minus liabilities and any preferred stock outstanding divided by the total number of shares of common stock outstanding. Our business plan calls for us to invest primarily in illiquid securities issued by private companies. These portfolio investments may be subject to restrictions on resale and will generally have no established trading market. Because there is not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in accordance with authoritative accounting guidelines. See “Management’s Discussion and Analysis of Financial Condition and Results of Operations – Critical Accounting Policies and Use of Estimates – Valuation of Portfolio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1" w:lineRule="exact"/>
        <w:rPr>
          <w:sz w:val="20"/>
          <w:szCs w:val="20"/>
          <w:color w:val="auto"/>
        </w:rPr>
      </w:pPr>
    </w:p>
    <w:p>
      <w:pPr>
        <w:jc w:val="both"/>
        <w:ind w:firstLine="656"/>
        <w:spacing w:after="0" w:line="255" w:lineRule="auto"/>
        <w:rPr>
          <w:sz w:val="20"/>
          <w:szCs w:val="20"/>
          <w:color w:val="auto"/>
        </w:rPr>
      </w:pPr>
      <w:r>
        <w:rPr>
          <w:rFonts w:ascii="Arial" w:cs="Arial" w:eastAsia="Arial" w:hAnsi="Arial"/>
          <w:sz w:val="17"/>
          <w:szCs w:val="17"/>
          <w:color w:val="auto"/>
        </w:rPr>
        <w:t>Our primary competitors in providing financing to lower middle-market companies include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RIC tax treatment.</w:t>
      </w:r>
    </w:p>
    <w:p>
      <w:pPr>
        <w:spacing w:after="0" w:line="126" w:lineRule="exact"/>
        <w:rPr>
          <w:sz w:val="20"/>
          <w:szCs w:val="20"/>
          <w:color w:val="auto"/>
        </w:rPr>
      </w:pPr>
    </w:p>
    <w:p>
      <w:pPr>
        <w:jc w:val="both"/>
        <w:ind w:firstLine="656"/>
        <w:spacing w:after="0" w:line="259" w:lineRule="auto"/>
        <w:rPr>
          <w:sz w:val="20"/>
          <w:szCs w:val="20"/>
          <w:color w:val="auto"/>
        </w:rPr>
      </w:pPr>
      <w:r>
        <w:rPr>
          <w:rFonts w:ascii="Arial" w:cs="Arial" w:eastAsia="Arial" w:hAnsi="Arial"/>
          <w:sz w:val="17"/>
          <w:szCs w:val="17"/>
          <w:color w:val="auto"/>
        </w:rPr>
        <w:t>We use the expertise of the investment professionals of our investment advisor to assess investment risks and determine appropriate pricing for our investments in portfolio companies. In addition, the relationships of the investment professionals of our investment advisor enable us to learn about, and compete effectively for, financing opportunities with attractive lower middle-market companies in the industries in which we seek to invest.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1" w:lineRule="exact"/>
        <w:rPr>
          <w:sz w:val="20"/>
          <w:szCs w:val="20"/>
          <w:color w:val="auto"/>
        </w:rPr>
      </w:pPr>
    </w:p>
    <w:p>
      <w:pPr>
        <w:jc w:val="both"/>
        <w:ind w:firstLine="656"/>
        <w:spacing w:after="0"/>
        <w:rPr>
          <w:sz w:val="20"/>
          <w:szCs w:val="20"/>
          <w:color w:val="auto"/>
        </w:rPr>
      </w:pPr>
      <w:r>
        <w:rPr>
          <w:rFonts w:ascii="Arial" w:cs="Arial" w:eastAsia="Arial" w:hAnsi="Arial"/>
          <w:sz w:val="18"/>
          <w:szCs w:val="18"/>
          <w:color w:val="auto"/>
        </w:rPr>
        <w:t>We do not have any direct employees, and our day-to-day investment operations are managed by our investment advisor, which is also acting as our administrator. We have a chief executive officer, president, chief financial officer and chief compliance officer and, to the extent necessary, our board of directors may elect to hire additional personnel going forward. Our officers are employees of, and are compensated by, our investment advisor, and our allocable portion of the cost of our chief financial officer and chief compliance officer and their respective staffs are paid by us pursuant to the Administration Agreement. Some of our executive officers are also officers of our investment advisor. See “Management and Other Agreements — Administration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OTHER AGREEMENTS</w:t>
      </w:r>
    </w:p>
    <w:p>
      <w:pPr>
        <w:spacing w:after="0" w:line="81" w:lineRule="exact"/>
        <w:rPr>
          <w:sz w:val="20"/>
          <w:szCs w:val="20"/>
          <w:color w:val="auto"/>
        </w:rPr>
      </w:pPr>
    </w:p>
    <w:p>
      <w:pPr>
        <w:jc w:val="both"/>
        <w:ind w:firstLine="656"/>
        <w:spacing w:after="0" w:line="226" w:lineRule="auto"/>
        <w:rPr>
          <w:sz w:val="20"/>
          <w:szCs w:val="20"/>
          <w:color w:val="auto"/>
        </w:rPr>
      </w:pPr>
      <w:r>
        <w:rPr>
          <w:rFonts w:ascii="Arial" w:cs="Arial" w:eastAsia="Arial" w:hAnsi="Arial"/>
          <w:sz w:val="18"/>
          <w:szCs w:val="18"/>
          <w:color w:val="auto"/>
        </w:rPr>
        <w:t>Our investment advisor is located at 1603 Orrington Avenue, Suite 1005, Evanston, Illinois 60201. Our investment advisor also maintains additional office space at 227 West Trade Street Suite 1910, Charlotte, North Carolina 28202, and 1140 Avenue of the Americas, 21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Floor, New York, New York 10036. Our investment advisor is registered as an investment adviser under the Advisers Act. Subject to the overall supervision of our board of directors and in accordance with the 1940 Act, our investment advisor manages our day-to-day operations and provides investment advisory services to us. Under the terms of the Investment Advisory Agreement, our investment advisor:</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ind w:left="680" w:right="1160" w:hanging="659"/>
        <w:spacing w:after="0" w:line="228"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ind w:left="680" w:hanging="659"/>
        <w:spacing w:after="0" w:line="23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assists us in determining what securities we purchase, retain or sell;</w:t>
      </w:r>
    </w:p>
    <w:p>
      <w:pPr>
        <w:ind w:left="680" w:right="1160" w:hanging="659"/>
        <w:spacing w:after="0" w:line="21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ind w:left="680" w:hanging="659"/>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executes, closes, services and monitors the investments we make.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Management Fee</w:t>
      </w:r>
    </w:p>
    <w:p>
      <w:pPr>
        <w:spacing w:after="0" w:line="158" w:lineRule="exact"/>
        <w:rPr>
          <w:sz w:val="20"/>
          <w:szCs w:val="20"/>
          <w:color w:val="auto"/>
        </w:rPr>
      </w:pPr>
    </w:p>
    <w:p>
      <w:pPr>
        <w:jc w:val="both"/>
        <w:ind w:firstLine="656"/>
        <w:spacing w:after="0" w:line="261" w:lineRule="auto"/>
        <w:rPr>
          <w:sz w:val="20"/>
          <w:szCs w:val="20"/>
          <w:color w:val="auto"/>
        </w:rPr>
      </w:pPr>
      <w:r>
        <w:rPr>
          <w:rFonts w:ascii="Arial" w:cs="Arial" w:eastAsia="Arial" w:hAnsi="Arial"/>
          <w:sz w:val="18"/>
          <w:szCs w:val="18"/>
          <w:color w:val="auto"/>
        </w:rPr>
        <w:t>Pursuant to the Investment Advisory Agreement, we pay our investment advisor a fee for investment advisory and management services consisting of two components — a base management fee and an incentive fee.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Base Management Fee</w:t>
      </w:r>
    </w:p>
    <w:p>
      <w:pPr>
        <w:spacing w:after="0" w:line="158"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The base management fee is calculated at an annual rate of 1.75% based on the average value of our total assets (other than cash or cash equivalents but including assets purchased with borrowed amounts) at the end of the two most recently completed calendar quarters, and appropriately adjusted for any share issuances or repurchases during the current calendar quarter. Base management fees for any partial quarter are appropriately prorated. The base management fee is payable quarterly in arrears.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Incentive Fee</w:t>
      </w:r>
    </w:p>
    <w:p>
      <w:pPr>
        <w:spacing w:after="0" w:line="158" w:lineRule="exact"/>
        <w:rPr>
          <w:sz w:val="20"/>
          <w:szCs w:val="20"/>
          <w:color w:val="auto"/>
        </w:rPr>
      </w:pPr>
    </w:p>
    <w:p>
      <w:pPr>
        <w:jc w:val="both"/>
        <w:ind w:firstLine="656"/>
        <w:spacing w:after="0" w:line="253" w:lineRule="auto"/>
        <w:rPr>
          <w:sz w:val="20"/>
          <w:szCs w:val="20"/>
          <w:color w:val="auto"/>
        </w:rPr>
      </w:pPr>
      <w:r>
        <w:rPr>
          <w:rFonts w:ascii="Arial" w:cs="Arial" w:eastAsia="Arial" w:hAnsi="Arial"/>
          <w:sz w:val="17"/>
          <w:szCs w:val="17"/>
          <w:color w:val="auto"/>
        </w:rPr>
        <w:t>The incentive fee consists of two parts. The first part is calculated and payable quarterly in arrears based on our pre-incentive fee net investment income for the quarter. Pre-incentive fee net investment income means interest income, dividend income and any other income (including any other fees such as commitment, origination, structuring, diligence and consulting fees or other fees that we receive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we have not yet received in cash. The Investment Advisor is not under any obligation to reimburse us for any part of the incentive fee it receives that was based on accrued interest that we never collect.</w:t>
      </w:r>
    </w:p>
    <w:p>
      <w:pPr>
        <w:spacing w:after="0" w:line="130" w:lineRule="exact"/>
        <w:rPr>
          <w:sz w:val="20"/>
          <w:szCs w:val="20"/>
          <w:color w:val="auto"/>
        </w:rPr>
      </w:pPr>
    </w:p>
    <w:p>
      <w:pPr>
        <w:jc w:val="both"/>
        <w:ind w:firstLine="656"/>
        <w:spacing w:after="0" w:line="241"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unrealized capital appreciation or depreciation or realized losses on extinguishment of debt. Because of the structure of the incentive fee, it is possible that we may pay an incentive fee in a quarter where we incur a loss. For example, if we generate pre-incentive fee net investment income in excess of the hurdle rate (as defined below) for a quarter, we will pay the applicable incentive fee even if we have incurred a loss in that quarter due to a net loss on investments or realized losses on extinguishment of debt.</w:t>
      </w:r>
    </w:p>
    <w:p>
      <w:pPr>
        <w:spacing w:after="0" w:line="135" w:lineRule="exact"/>
        <w:rPr>
          <w:sz w:val="20"/>
          <w:szCs w:val="20"/>
          <w:color w:val="auto"/>
        </w:rPr>
      </w:pPr>
    </w:p>
    <w:p>
      <w:pPr>
        <w:jc w:val="both"/>
        <w:ind w:firstLine="656"/>
        <w:spacing w:after="0" w:line="241" w:lineRule="auto"/>
        <w:rPr>
          <w:sz w:val="20"/>
          <w:szCs w:val="20"/>
          <w:color w:val="auto"/>
        </w:rPr>
      </w:pPr>
      <w:r>
        <w:rPr>
          <w:rFonts w:ascii="Arial" w:cs="Arial" w:eastAsia="Arial" w:hAnsi="Arial"/>
          <w:sz w:val="18"/>
          <w:szCs w:val="18"/>
          <w:color w:val="auto"/>
        </w:rPr>
        <w:t>Pre-incentive fee net investment income, expressed as a rate of return on the value of our weighted average net assets (defined as total assets less indebtedness and before taking into account any incentive fees payable during the period) at the end of the immediately preceding calendar quarter, is compared to a fixed “hurdle rate” of 2.0% per quarter. If market interest rates rise, we may be able to invest our funds in debt instruments that provide for a higher return, which would increase our pre-incentive fee net investment income and make it easier for our investment advisor to surpass the fixed hurdle rate and receive an incentive fee based on such net investment income.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pay our investment advisor an incentive fee with respect to our pre-incentive fee net investment income earned in each calendar quarter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2" w:lineRule="exact"/>
        <w:rPr>
          <w:sz w:val="20"/>
          <w:szCs w:val="20"/>
          <w:color w:val="auto"/>
        </w:rPr>
      </w:pPr>
    </w:p>
    <w:p>
      <w:pPr>
        <w:ind w:left="1680" w:right="40" w:hanging="660"/>
        <w:spacing w:after="0" w:line="228"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rate of 2.0%;</w:t>
      </w:r>
    </w:p>
    <w:p>
      <w:pPr>
        <w:jc w:val="both"/>
        <w:ind w:left="1680" w:right="40" w:hanging="660"/>
        <w:spacing w:after="0" w:line="209"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100.0% of our pre-incentive fee net investment income with respect to that portion of such pre-incentive fee net investment income, if any, that exceeds the hurdle rate but is less than 2.5% in any calendar quarter. We refer to this portion of our pre-incentive fee net investment income (that exceeds the hurdle rate but is less than 2.5%) as the “catch-up” provision. The catch-up is meant to provide our investment advisor with 20.0% of the pre-incentive fee net investment income as if a hurdle rate did not apply if net investment income exceeds 2.5% in any calendar quarter; and</w:t>
      </w:r>
    </w:p>
    <w:p>
      <w:pPr>
        <w:spacing w:after="0" w:line="3" w:lineRule="exact"/>
        <w:rPr>
          <w:rFonts w:ascii="Arial" w:cs="Arial" w:eastAsia="Arial" w:hAnsi="Arial"/>
          <w:sz w:val="18"/>
          <w:szCs w:val="18"/>
          <w:color w:val="auto"/>
        </w:rPr>
      </w:pPr>
    </w:p>
    <w:p>
      <w:pPr>
        <w:ind w:left="1680" w:hanging="660"/>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2.5% in any calendar quarter.</w:t>
      </w:r>
    </w:p>
    <w:p>
      <w:pPr>
        <w:spacing w:after="0" w:line="182" w:lineRule="exact"/>
        <w:rPr>
          <w:sz w:val="20"/>
          <w:szCs w:val="20"/>
          <w:color w:val="auto"/>
        </w:rPr>
      </w:pPr>
    </w:p>
    <w:p>
      <w:pPr>
        <w:ind w:right="20" w:firstLine="656"/>
        <w:spacing w:after="0" w:line="244" w:lineRule="auto"/>
        <w:rPr>
          <w:sz w:val="20"/>
          <w:szCs w:val="20"/>
          <w:color w:val="auto"/>
        </w:rPr>
      </w:pPr>
      <w:r>
        <w:rPr>
          <w:rFonts w:ascii="Arial" w:cs="Arial" w:eastAsia="Arial" w:hAnsi="Arial"/>
          <w:sz w:val="18"/>
          <w:szCs w:val="18"/>
          <w:color w:val="auto"/>
        </w:rPr>
        <w:t>These calculations are appropriately prorated for any period of less than three months and adjusted for any share issuances or repurchases during the current quarter.</w:t>
      </w: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ind w:left="540"/>
        <w:spacing w:after="0"/>
        <w:rPr>
          <w:sz w:val="20"/>
          <w:szCs w:val="20"/>
          <w:color w:val="auto"/>
        </w:rPr>
      </w:pPr>
      <w:r>
        <w:rPr>
          <w:rFonts w:ascii="Arial" w:cs="Arial" w:eastAsia="Arial" w:hAnsi="Arial"/>
          <w:sz w:val="18"/>
          <w:szCs w:val="18"/>
          <w:color w:val="auto"/>
        </w:rPr>
        <w:t>The following is a graphical representation of the calculation of the quarterly income-related portion of the incentive fee: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Incentive Fee Based on Pre-Incentive Fee Net Investment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2477135" cy="634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7713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42" w:lineRule="exact"/>
        <w:rPr>
          <w:sz w:val="20"/>
          <w:szCs w:val="20"/>
          <w:color w:val="auto"/>
        </w:rPr>
      </w:pPr>
    </w:p>
    <w:p>
      <w:pPr>
        <w:jc w:val="both"/>
        <w:ind w:firstLine="656"/>
        <w:spacing w:after="0" w:line="252" w:lineRule="auto"/>
        <w:rPr>
          <w:sz w:val="20"/>
          <w:szCs w:val="20"/>
          <w:color w:val="auto"/>
        </w:rPr>
      </w:pPr>
      <w:r>
        <w:rPr>
          <w:rFonts w:ascii="Arial" w:cs="Arial" w:eastAsia="Arial" w:hAnsi="Arial"/>
          <w:sz w:val="17"/>
          <w:szCs w:val="17"/>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IPO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We accrue, but do not pay, a capital gains incentive fee in connection with any unrealized capital appreciation, as appropriate.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Alternative 1</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 2.0%</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 0.4375%</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 0.2%</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80" w:right="2180"/>
        <w:spacing w:after="0" w:line="431" w:lineRule="auto"/>
        <w:rPr>
          <w:sz w:val="20"/>
          <w:szCs w:val="20"/>
          <w:color w:val="auto"/>
        </w:rPr>
      </w:pPr>
      <w:r>
        <w:rPr>
          <w:rFonts w:ascii="Arial" w:cs="Arial" w:eastAsia="Arial" w:hAnsi="Arial"/>
          <w:sz w:val="18"/>
          <w:szCs w:val="18"/>
          <w:color w:val="auto"/>
        </w:rPr>
        <w:t>(investment income – (management fee + other expenses)) = 0.6125% Pre-incentive fee net investment income does not exceed hurdle rate, therefore there is no income-related incentive fee.</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Alternative 2</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(including interest, dividends, fees, etc.) = 2.9%</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 2.0%</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 0.4375%</w:t>
      </w:r>
    </w:p>
    <w:p>
      <w:pPr>
        <w:spacing w:after="0" w:line="44" w:lineRule="exact"/>
        <w:rPr>
          <w:sz w:val="20"/>
          <w:szCs w:val="20"/>
          <w:color w:val="auto"/>
        </w:rPr>
      </w:pPr>
    </w:p>
    <w:p>
      <w:pPr>
        <w:ind w:left="480" w:right="2960"/>
        <w:spacing w:after="0" w:line="302" w:lineRule="auto"/>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 0.2% Pre-incentive fee net investment income</w:t>
      </w:r>
    </w:p>
    <w:p>
      <w:pPr>
        <w:ind w:left="480"/>
        <w:spacing w:after="0"/>
        <w:rPr>
          <w:sz w:val="20"/>
          <w:szCs w:val="20"/>
          <w:color w:val="auto"/>
        </w:rPr>
      </w:pPr>
      <w:r>
        <w:rPr>
          <w:rFonts w:ascii="Arial" w:cs="Arial" w:eastAsia="Arial" w:hAnsi="Arial"/>
          <w:sz w:val="18"/>
          <w:szCs w:val="18"/>
          <w:color w:val="auto"/>
        </w:rPr>
        <w:t>(investment income – (management fee + other expenses)) = 2.2625%</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ind w:left="440"/>
        <w:spacing w:after="0"/>
        <w:tabs>
          <w:tab w:leader="none" w:pos="216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xml:space="preserve">= 100.0% × pre-incentive fee net investment income (subject to “catch-up”) </w:t>
      </w:r>
      <w:r>
        <w:rPr>
          <w:rFonts w:ascii="Arial" w:cs="Arial" w:eastAsia="Arial" w:hAnsi="Arial"/>
          <w:sz w:val="19"/>
          <w:szCs w:val="19"/>
          <w:color w:val="auto"/>
          <w:vertAlign w:val="superscript"/>
        </w:rPr>
        <w:t>(4)</w:t>
      </w:r>
    </w:p>
    <w:p>
      <w:pPr>
        <w:spacing w:after="0" w:line="5" w:lineRule="exact"/>
        <w:rPr>
          <w:sz w:val="20"/>
          <w:szCs w:val="20"/>
          <w:color w:val="auto"/>
        </w:rPr>
      </w:pPr>
    </w:p>
    <w:p>
      <w:pPr>
        <w:ind w:left="2320" w:hanging="145"/>
        <w:spacing w:after="0"/>
        <w:tabs>
          <w:tab w:leader="none" w:pos="2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100.0% × (2.2625% – 2.0%)</w:t>
      </w:r>
    </w:p>
    <w:p>
      <w:pPr>
        <w:ind w:left="2320" w:hanging="145"/>
        <w:spacing w:after="0"/>
        <w:tabs>
          <w:tab w:leader="none" w:pos="2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0.2625%</w:t>
      </w:r>
    </w:p>
    <w:p>
      <w:pPr>
        <w:spacing w:after="0" w:line="142" w:lineRule="exact"/>
        <w:rPr>
          <w:sz w:val="20"/>
          <w:szCs w:val="20"/>
          <w:color w:val="auto"/>
        </w:rPr>
      </w:pPr>
    </w:p>
    <w:p>
      <w:pPr>
        <w:ind w:right="20" w:firstLine="478"/>
        <w:spacing w:after="0" w:line="261"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0.2625%.</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Alternative 3</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 2.0%</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 0.4375%</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 0.2%</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Pre-incentive fee net investment income</w:t>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 (management fee + other expenses)) = 2.8625%</w:t>
      </w:r>
    </w:p>
    <w:p>
      <w:pPr>
        <w:ind w:left="480"/>
        <w:spacing w:after="0" w:line="234" w:lineRule="auto"/>
        <w:rPr>
          <w:sz w:val="20"/>
          <w:szCs w:val="20"/>
          <w:color w:val="auto"/>
        </w:rPr>
      </w:pPr>
      <w:r>
        <w:rPr>
          <w:rFonts w:ascii="Arial" w:cs="Arial" w:eastAsia="Arial" w:hAnsi="Arial"/>
          <w:sz w:val="18"/>
          <w:szCs w:val="18"/>
          <w:color w:val="auto"/>
        </w:rPr>
        <w:t xml:space="preserve">Incentive fee = 100.0% × pre-incentive fee net investment income (subject to “catch-up”) </w:t>
      </w:r>
      <w:r>
        <w:rPr>
          <w:rFonts w:ascii="Arial" w:cs="Arial" w:eastAsia="Arial" w:hAnsi="Arial"/>
          <w:sz w:val="14"/>
          <w:szCs w:val="14"/>
          <w:color w:val="auto"/>
          <w:vertAlign w:val="superscript"/>
        </w:rPr>
        <w:t>(4)</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Incentive fee = 100.0% × “catch-up” + (20.0% × (pre-incentive fee net investment income – 2.5%))</w:t>
      </w:r>
    </w:p>
    <w:p>
      <w:pPr>
        <w:spacing w:after="0" w:line="20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“Catch-up”</w:t>
            </w:r>
          </w:p>
        </w:tc>
        <w:tc>
          <w:tcPr>
            <w:tcW w:w="980" w:type="dxa"/>
            <w:vAlign w:val="bottom"/>
          </w:tcPr>
          <w:p>
            <w:pPr>
              <w:ind w:left="420"/>
              <w:spacing w:after="0"/>
              <w:rPr>
                <w:sz w:val="20"/>
                <w:szCs w:val="20"/>
                <w:color w:val="auto"/>
              </w:rPr>
            </w:pPr>
            <w:r>
              <w:rPr>
                <w:rFonts w:ascii="Arial" w:cs="Arial" w:eastAsia="Arial" w:hAnsi="Arial"/>
                <w:sz w:val="18"/>
                <w:szCs w:val="18"/>
                <w:color w:val="auto"/>
                <w:w w:val="95"/>
              </w:rPr>
              <w:t>= 2.5%</w:t>
            </w:r>
          </w:p>
        </w:tc>
        <w:tc>
          <w:tcPr>
            <w:tcW w:w="312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30"/>
        </w:trPr>
        <w:tc>
          <w:tcPr>
            <w:tcW w:w="1360" w:type="dxa"/>
            <w:vAlign w:val="bottom"/>
          </w:tcPr>
          <w:p>
            <w:pPr>
              <w:spacing w:after="0"/>
              <w:rPr>
                <w:sz w:val="20"/>
                <w:szCs w:val="20"/>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5"/>
              </w:rPr>
              <w:t>= 0.5%</w:t>
            </w:r>
          </w:p>
        </w:tc>
        <w:tc>
          <w:tcPr>
            <w:tcW w:w="3120" w:type="dxa"/>
            <w:vAlign w:val="bottom"/>
          </w:tcPr>
          <w:p>
            <w:pPr>
              <w:spacing w:after="0"/>
              <w:rPr>
                <w:sz w:val="20"/>
                <w:szCs w:val="20"/>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Incentive fee</w:t>
            </w: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w w:val="91"/>
              </w:rPr>
              <w:t>= (100.0% × 0.5%) + (20.0% × (2.8625% – 2.5%))</w:t>
            </w:r>
          </w:p>
        </w:tc>
      </w:tr>
      <w:tr>
        <w:trPr>
          <w:trHeight w:val="203"/>
        </w:trPr>
        <w:tc>
          <w:tcPr>
            <w:tcW w:w="1360" w:type="dxa"/>
            <w:vAlign w:val="bottom"/>
          </w:tcPr>
          <w:p>
            <w:pPr>
              <w:spacing w:after="0"/>
              <w:rPr>
                <w:sz w:val="17"/>
                <w:szCs w:val="17"/>
                <w:color w:val="auto"/>
              </w:rPr>
            </w:pPr>
          </w:p>
        </w:tc>
        <w:tc>
          <w:tcPr>
            <w:tcW w:w="980" w:type="dxa"/>
            <w:vAlign w:val="bottom"/>
          </w:tcPr>
          <w:p>
            <w:pPr>
              <w:ind w:left="420"/>
              <w:spacing w:after="0" w:line="202" w:lineRule="exact"/>
              <w:rPr>
                <w:sz w:val="20"/>
                <w:szCs w:val="20"/>
                <w:color w:val="auto"/>
              </w:rPr>
            </w:pPr>
            <w:r>
              <w:rPr>
                <w:rFonts w:ascii="Arial" w:cs="Arial" w:eastAsia="Arial" w:hAnsi="Arial"/>
                <w:sz w:val="18"/>
                <w:szCs w:val="18"/>
                <w:color w:val="auto"/>
                <w:w w:val="95"/>
              </w:rPr>
              <w:t>= 0.5%</w:t>
            </w: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 (20.0% × 0.3625%)</w:t>
            </w:r>
          </w:p>
        </w:tc>
      </w:tr>
      <w:tr>
        <w:trPr>
          <w:trHeight w:val="218"/>
        </w:trPr>
        <w:tc>
          <w:tcPr>
            <w:tcW w:w="136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5"/>
              </w:rPr>
              <w:t>= 0.5%</w:t>
            </w:r>
          </w:p>
        </w:tc>
        <w:tc>
          <w:tcPr>
            <w:tcW w:w="3120" w:type="dxa"/>
            <w:vAlign w:val="bottom"/>
          </w:tcPr>
          <w:p>
            <w:pPr>
              <w:ind w:left="20"/>
              <w:spacing w:after="0"/>
              <w:rPr>
                <w:sz w:val="20"/>
                <w:szCs w:val="20"/>
                <w:color w:val="auto"/>
              </w:rPr>
            </w:pPr>
            <w:r>
              <w:rPr>
                <w:rFonts w:ascii="Arial" w:cs="Arial" w:eastAsia="Arial" w:hAnsi="Arial"/>
                <w:sz w:val="18"/>
                <w:szCs w:val="18"/>
                <w:color w:val="auto"/>
              </w:rPr>
              <w:t>+ 0.0725%</w:t>
            </w:r>
          </w:p>
        </w:tc>
      </w:tr>
    </w:tbl>
    <w:p>
      <w:pPr>
        <w:ind w:left="2220"/>
        <w:spacing w:after="0"/>
        <w:rPr>
          <w:sz w:val="20"/>
          <w:szCs w:val="20"/>
          <w:color w:val="auto"/>
        </w:rPr>
      </w:pPr>
      <w:r>
        <w:rPr>
          <w:rFonts w:ascii="Arial" w:cs="Arial" w:eastAsia="Arial" w:hAnsi="Arial"/>
          <w:sz w:val="18"/>
          <w:szCs w:val="18"/>
          <w:color w:val="auto"/>
        </w:rPr>
        <w:t>= 0.5725%</w:t>
      </w:r>
    </w:p>
    <w:p>
      <w:pPr>
        <w:spacing w:after="0" w:line="142" w:lineRule="exact"/>
        <w:rPr>
          <w:sz w:val="20"/>
          <w:szCs w:val="20"/>
          <w:color w:val="auto"/>
        </w:rPr>
      </w:pPr>
    </w:p>
    <w:p>
      <w:pPr>
        <w:ind w:firstLine="958"/>
        <w:spacing w:after="0" w:line="261"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91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32" w:lineRule="exact"/>
        <w:rPr>
          <w:sz w:val="20"/>
          <w:szCs w:val="20"/>
          <w:color w:val="auto"/>
        </w:rPr>
      </w:pPr>
    </w:p>
    <w:p>
      <w:pPr>
        <w:ind w:left="520" w:hanging="499"/>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8.0% annualized hurdle rate.</w:t>
      </w:r>
    </w:p>
    <w:p>
      <w:pPr>
        <w:spacing w:after="0" w:line="11" w:lineRule="exact"/>
        <w:rPr>
          <w:rFonts w:ascii="Arial" w:cs="Arial" w:eastAsia="Arial" w:hAnsi="Arial"/>
          <w:sz w:val="18"/>
          <w:szCs w:val="18"/>
          <w:color w:val="auto"/>
        </w:rPr>
      </w:pPr>
    </w:p>
    <w:p>
      <w:pPr>
        <w:ind w:left="520" w:hanging="499"/>
        <w:spacing w:after="0" w:line="23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1.75% annualized base management fee.</w:t>
      </w:r>
    </w:p>
    <w:p>
      <w:pPr>
        <w:ind w:left="520" w:hanging="499"/>
        <w:spacing w:after="0" w:line="23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ind w:left="520" w:right="40" w:hanging="499"/>
        <w:spacing w:after="0" w:line="226"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“catch-up” provision is intended to provide our investment advisor with an incentive fee of 20.0% on all pre-incentive fee net investment income as if a hurdle rate did not apply when our net investment income exceeds 2.5% in any fiscal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2: Capital Gains Portion of Incentive Fee </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Alternative 1</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7"/>
          <w:szCs w:val="17"/>
          <w:i w:val="1"/>
          <w:iCs w:val="1"/>
          <w:color w:val="auto"/>
        </w:rPr>
        <w:t xml:space="preserve">Year 1 </w:t>
      </w:r>
      <w:r>
        <w:rPr>
          <w:rFonts w:ascii="Arial" w:cs="Arial" w:eastAsia="Arial" w:hAnsi="Arial"/>
          <w:sz w:val="17"/>
          <w:szCs w:val="17"/>
          <w:color w:val="auto"/>
        </w:rPr>
        <w:t>: $5.0 million investment made in Company A (“Investment A”), and $7.5 million investment made in Company B (“Investment B”)</w:t>
      </w:r>
    </w:p>
    <w:p>
      <w:pPr>
        <w:spacing w:after="0" w:line="88"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Investment A sold for $12.5 million and fair market value (“FMV”) of Investment B determined to be $8.0 million</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FMV of Investment B determined to be $6.25 million</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Investment B sold for $7.75 million</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None</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7"/>
          <w:szCs w:val="17"/>
          <w:i w:val="1"/>
          <w:iCs w:val="1"/>
          <w:color w:val="auto"/>
        </w:rPr>
        <w:t xml:space="preserve">Year 2 </w:t>
      </w:r>
      <w:r>
        <w:rPr>
          <w:rFonts w:ascii="Arial" w:cs="Arial" w:eastAsia="Arial" w:hAnsi="Arial"/>
          <w:sz w:val="17"/>
          <w:szCs w:val="17"/>
          <w:color w:val="auto"/>
        </w:rPr>
        <w:t>: Capital gains incentive fee of $1.5 million — ($7.5 million realized capital gains on sale of Investment A multiplied by 20.0%)</w:t>
      </w:r>
    </w:p>
    <w:p>
      <w:pPr>
        <w:spacing w:after="0" w:line="88" w:lineRule="exact"/>
        <w:rPr>
          <w:sz w:val="20"/>
          <w:szCs w:val="20"/>
          <w:color w:val="auto"/>
        </w:rPr>
      </w:pPr>
    </w:p>
    <w:p>
      <w:pPr>
        <w:ind w:left="480" w:firstLine="478"/>
        <w:spacing w:after="0" w:line="261" w:lineRule="auto"/>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None — $1.25 million (20.0% multiplied by ($7.5 million cumulative capital gains less $1.25 million cumulative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less $1.5 million (previous capital gains fee paid in Year 2)</w:t>
      </w:r>
    </w:p>
    <w:p>
      <w:pPr>
        <w:spacing w:after="0" w:line="36" w:lineRule="exact"/>
        <w:rPr>
          <w:sz w:val="20"/>
          <w:szCs w:val="20"/>
          <w:color w:val="auto"/>
        </w:rPr>
      </w:pPr>
    </w:p>
    <w:p>
      <w:pPr>
        <w:ind w:left="480" w:firstLine="478"/>
        <w:spacing w:after="0" w:line="261" w:lineRule="auto"/>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Capital gains incentive fee of $50,000 — $1.55 million ($7.75 million cumulative realized capital gains multiplied by 20.0%) less</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(capital gains incentive fee taken in Year 2)</w:t>
      </w:r>
    </w:p>
    <w:p>
      <w:pPr>
        <w:spacing w:after="0" w:line="3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Alternative 2</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7" w:name="page18"/>
    <w:bookmarkEnd w:id="17"/>
    <w:p>
      <w:pPr>
        <w:ind w:left="24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80" w:right="20" w:firstLine="478"/>
        <w:spacing w:after="0" w:line="261" w:lineRule="auto"/>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$4.0 million investment made in Company A (“Investment A”), $7.5 million investment made in Company B (“Investment B”) and</w:t>
      </w:r>
      <w:r>
        <w:rPr>
          <w:rFonts w:ascii="Arial" w:cs="Arial" w:eastAsia="Arial" w:hAnsi="Arial"/>
          <w:sz w:val="18"/>
          <w:szCs w:val="18"/>
          <w:i w:val="1"/>
          <w:iCs w:val="1"/>
          <w:color w:val="auto"/>
        </w:rPr>
        <w:t xml:space="preserve"> </w:t>
      </w:r>
      <w:r>
        <w:rPr>
          <w:rFonts w:ascii="Arial" w:cs="Arial" w:eastAsia="Arial" w:hAnsi="Arial"/>
          <w:sz w:val="18"/>
          <w:szCs w:val="18"/>
          <w:color w:val="auto"/>
        </w:rPr>
        <w:t>$6.25 million investment made in Company C (“Investment C”)</w:t>
      </w:r>
    </w:p>
    <w:p>
      <w:pPr>
        <w:spacing w:after="0" w:line="36" w:lineRule="exact"/>
        <w:rPr>
          <w:sz w:val="20"/>
          <w:szCs w:val="20"/>
          <w:color w:val="auto"/>
        </w:rPr>
      </w:pPr>
    </w:p>
    <w:p>
      <w:pPr>
        <w:ind w:left="480" w:firstLine="478"/>
        <w:spacing w:after="0" w:line="261" w:lineRule="auto"/>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Investment A sold for $12.5 million, FMV of Investment B determined to be $6.25 million and FMV of Investment C determined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$6.25 million</w:t>
      </w:r>
    </w:p>
    <w:p>
      <w:pPr>
        <w:spacing w:after="0" w:line="36"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FMV of Investment B determined to be $6.75 million and Investment C sold for $7.5 million</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FMV of Investment B determined to be $8.75 million</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Year 5 </w:t>
      </w:r>
      <w:r>
        <w:rPr>
          <w:rFonts w:ascii="Arial" w:cs="Arial" w:eastAsia="Arial" w:hAnsi="Arial"/>
          <w:sz w:val="18"/>
          <w:szCs w:val="18"/>
          <w:color w:val="auto"/>
        </w:rPr>
        <w:t>: Investment B sold for $5.0 million</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capital gains incentive fee, if any, would be:</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None</w:t>
      </w:r>
    </w:p>
    <w:p>
      <w:pPr>
        <w:spacing w:after="0" w:line="77" w:lineRule="exact"/>
        <w:rPr>
          <w:sz w:val="20"/>
          <w:szCs w:val="20"/>
          <w:color w:val="auto"/>
        </w:rPr>
      </w:pPr>
    </w:p>
    <w:p>
      <w:pPr>
        <w:ind w:left="480" w:firstLine="478"/>
        <w:spacing w:after="0" w:line="261" w:lineRule="auto"/>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$1.45 million capital gains incentive fee — 20.0% multiplied by $7.25 million ($8.5 million realized capital gains on Investment A</w:t>
      </w:r>
      <w:r>
        <w:rPr>
          <w:rFonts w:ascii="Arial" w:cs="Arial" w:eastAsia="Arial" w:hAnsi="Arial"/>
          <w:sz w:val="18"/>
          <w:szCs w:val="18"/>
          <w:i w:val="1"/>
          <w:iCs w:val="1"/>
          <w:color w:val="auto"/>
        </w:rPr>
        <w:t xml:space="preserve"> </w:t>
      </w:r>
      <w:r>
        <w:rPr>
          <w:rFonts w:ascii="Arial" w:cs="Arial" w:eastAsia="Arial" w:hAnsi="Arial"/>
          <w:sz w:val="18"/>
          <w:szCs w:val="18"/>
          <w:color w:val="auto"/>
        </w:rPr>
        <w:t>less $1.25 million unrealized capital depreciation on Investment B)</w:t>
      </w:r>
    </w:p>
    <w:p>
      <w:pPr>
        <w:spacing w:after="0" w:line="36" w:lineRule="exact"/>
        <w:rPr>
          <w:sz w:val="20"/>
          <w:szCs w:val="20"/>
          <w:color w:val="auto"/>
        </w:rPr>
      </w:pPr>
    </w:p>
    <w:p>
      <w:pPr>
        <w:ind w:left="480" w:firstLine="478"/>
        <w:spacing w:after="0" w:line="231" w:lineRule="auto"/>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$0.35 million capital gains incentive fee</w:t>
      </w:r>
      <w:r>
        <w:rPr>
          <w:rFonts w:ascii="Arial" w:cs="Arial" w:eastAsia="Arial" w:hAnsi="Arial"/>
          <w:sz w:val="18"/>
          <w:szCs w:val="18"/>
          <w:i w:val="1"/>
          <w:iCs w:val="1"/>
          <w:color w:val="auto"/>
        </w:rPr>
        <w:t xml:space="preserve"> </w:t>
      </w:r>
      <w:r>
        <w:rPr>
          <w:rFonts w:ascii="Arial" w:cs="Arial" w:eastAsia="Arial" w:hAnsi="Arial"/>
          <w:sz w:val="21"/>
          <w:szCs w:val="2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 $1.8 million (20.0% multiplied by $9.0 million ($9.75 million cumulative 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gains less $0.75 million unrealized capital depreciation)) less $1.45 million capital gains incentive fee received in Year 2</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None</w:t>
      </w:r>
    </w:p>
    <w:p>
      <w:pPr>
        <w:spacing w:after="0" w:line="158" w:lineRule="exact"/>
        <w:rPr>
          <w:sz w:val="20"/>
          <w:szCs w:val="20"/>
          <w:color w:val="auto"/>
        </w:rPr>
      </w:pPr>
    </w:p>
    <w:p>
      <w:pPr>
        <w:ind w:right="20" w:firstLine="958"/>
        <w:spacing w:after="0" w:line="279" w:lineRule="auto"/>
        <w:rPr>
          <w:sz w:val="20"/>
          <w:szCs w:val="20"/>
          <w:color w:val="auto"/>
        </w:rPr>
      </w:pPr>
      <w:r>
        <w:rPr>
          <w:rFonts w:ascii="Arial" w:cs="Arial" w:eastAsia="Arial" w:hAnsi="Arial"/>
          <w:sz w:val="18"/>
          <w:szCs w:val="18"/>
          <w:i w:val="1"/>
          <w:iCs w:val="1"/>
          <w:color w:val="auto"/>
        </w:rPr>
        <w:t xml:space="preserve">Year 5 </w:t>
      </w:r>
      <w:r>
        <w:rPr>
          <w:rFonts w:ascii="Arial" w:cs="Arial" w:eastAsia="Arial" w:hAnsi="Arial"/>
          <w:sz w:val="18"/>
          <w:szCs w:val="18"/>
          <w:color w:val="auto"/>
        </w:rPr>
        <w:t>: None — $1.45 million (20.0% multiplied by $7.25 million (cumulative realized capital gains of $9.75 million less realized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losses of $2.5 million)) is less than $1.8 million cumulative capital gains incentive fee paid in Year 2 and Year 3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291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61" w:lineRule="exact"/>
        <w:rPr>
          <w:sz w:val="20"/>
          <w:szCs w:val="20"/>
          <w:color w:val="auto"/>
        </w:rPr>
      </w:pPr>
    </w:p>
    <w:p>
      <w:pPr>
        <w:jc w:val="both"/>
        <w:ind w:left="540" w:right="40" w:hanging="519"/>
        <w:spacing w:after="0" w:line="21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hypothetical amounts of returns shown are based on a percentage of our total net assets and assume no leverage. There is no guarantee that positive returns will be realized and actual returns may vary from those shown in this example. The examples shown pertain to the capital gains portion of the incentive fee payable at the end of the fiscal year. We accrue, but do not pay, a capital gains incentive fee in connection with any unrealized capital appreciation, as appropriate.</w:t>
      </w:r>
    </w:p>
    <w:p>
      <w:pPr>
        <w:spacing w:after="0" w:line="3" w:lineRule="exact"/>
        <w:rPr>
          <w:sz w:val="20"/>
          <w:szCs w:val="20"/>
          <w:color w:val="auto"/>
        </w:rPr>
      </w:pPr>
    </w:p>
    <w:p>
      <w:pPr>
        <w:jc w:val="both"/>
        <w:ind w:left="540" w:right="20" w:hanging="519"/>
        <w:spacing w:after="0" w:line="21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illustrated in Year 3 of Alternative 2 above, if we were to be dissolved on a date other than our fiscal year end of any year, we may have paid aggregate capital gains incentive fees that are more than the amount of such fees that would be payable if we had been dissolved on our fiscal year end of such year.</w:t>
      </w:r>
    </w:p>
    <w:p>
      <w:pPr>
        <w:spacing w:after="0" w:line="2" w:lineRule="exact"/>
        <w:rPr>
          <w:rFonts w:ascii="Arial" w:cs="Arial" w:eastAsia="Arial" w:hAnsi="Arial"/>
          <w:sz w:val="18"/>
          <w:szCs w:val="18"/>
          <w:color w:val="auto"/>
        </w:rPr>
      </w:pPr>
    </w:p>
    <w:p>
      <w:pPr>
        <w:jc w:val="both"/>
        <w:ind w:left="540" w:right="40" w:hanging="519"/>
        <w:spacing w:after="0" w:line="21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noted above, it is possible that the cumulative aggregate capital gains fee received by our investment advisor ($1.8 million) is effectively greater than $1.45 million (20.0% of cumulative aggregate realized capital gains less net realized capital losses or net unrealized depreciation ($7.25 million)).</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77"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All investment professionals of our investment advisor and/or its affiliates, when and to the extent engaged in providing investment advisory and management services to us, and the compensation and routine overhead expenses of personnel allocable to these services to us, are provided and paid for by our investment advisor and not by us. We bear all other out-of-pocket costs and expenses of our operations and transactions. See “Management’s Discussion and Analysis of Financial Condition and Results of Operations – Overview – Expenses.”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58" w:lineRule="exact"/>
        <w:rPr>
          <w:sz w:val="20"/>
          <w:szCs w:val="20"/>
          <w:color w:val="auto"/>
        </w:rPr>
      </w:pPr>
    </w:p>
    <w:p>
      <w:pPr>
        <w:jc w:val="both"/>
        <w:ind w:firstLine="656"/>
        <w:spacing w:after="0" w:line="284" w:lineRule="auto"/>
        <w:rPr>
          <w:sz w:val="20"/>
          <w:szCs w:val="20"/>
          <w:color w:val="auto"/>
        </w:rPr>
      </w:pPr>
      <w:r>
        <w:rPr>
          <w:rFonts w:ascii="Arial" w:cs="Arial" w:eastAsia="Arial" w:hAnsi="Arial"/>
          <w:sz w:val="16"/>
          <w:szCs w:val="16"/>
          <w:color w:val="auto"/>
        </w:rPr>
        <w:t>At a meeting of our board of directors on June 10, 2021, our board of directors, including a majority of the Independent Directors, unanimously voted to approve the continuation of the Investment Advisory Agreement to June 20, 2022. Unless terminated earlier, the Investment Advisory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the Independent Directors.</w:t>
      </w:r>
    </w:p>
    <w:p>
      <w:pPr>
        <w:spacing w:after="0" w:line="101"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In reaching a decision to approve the current Investment Advisory Agreement, our board of directors reviewed information comparing our investment performance to other externally managed BDCs with similar investment objectives and to appropriate market indices. The board also reviewed other information and considered, among other things: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8" w:name="page19"/>
    <w:bookmarkEnd w:id="18"/>
    <w:p>
      <w:pPr>
        <w:ind w:left="1500" w:right="360" w:hanging="588"/>
        <w:spacing w:after="0" w:line="235"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extent and quality of the advisory and other services (including administrative services provided under the Administrative Agreement as discussed below) provided to us by our investment advisor;</w:t>
      </w:r>
    </w:p>
    <w:p>
      <w:pPr>
        <w:spacing w:after="0" w:line="80" w:lineRule="exact"/>
        <w:rPr>
          <w:rFonts w:ascii="Arial" w:cs="Arial" w:eastAsia="Arial" w:hAnsi="Arial"/>
          <w:sz w:val="18"/>
          <w:szCs w:val="18"/>
          <w:color w:val="auto"/>
        </w:rPr>
      </w:pPr>
    </w:p>
    <w:p>
      <w:pPr>
        <w:ind w:left="1500" w:hanging="588"/>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fee structure of comparative externally managed BDCs with similar investment objectives;</w:t>
      </w:r>
    </w:p>
    <w:p>
      <w:pPr>
        <w:spacing w:after="0" w:line="171" w:lineRule="exact"/>
        <w:rPr>
          <w:rFonts w:ascii="Arial" w:cs="Arial" w:eastAsia="Arial" w:hAnsi="Arial"/>
          <w:sz w:val="18"/>
          <w:szCs w:val="18"/>
          <w:color w:val="auto"/>
        </w:rPr>
      </w:pPr>
    </w:p>
    <w:p>
      <w:pPr>
        <w:ind w:left="1500" w:hanging="588"/>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71" w:lineRule="exact"/>
        <w:rPr>
          <w:rFonts w:ascii="Arial" w:cs="Arial" w:eastAsia="Arial" w:hAnsi="Arial"/>
          <w:sz w:val="18"/>
          <w:szCs w:val="18"/>
          <w:color w:val="auto"/>
        </w:rPr>
      </w:pPr>
    </w:p>
    <w:p>
      <w:pPr>
        <w:ind w:left="1500" w:right="380" w:hanging="588"/>
        <w:spacing w:after="0" w:line="235"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investment advisor’s pro forma profitability with respect to managing us and providing administrative services under the Administrative Agreement;</w:t>
      </w:r>
    </w:p>
    <w:p>
      <w:pPr>
        <w:spacing w:after="0" w:line="80" w:lineRule="exact"/>
        <w:rPr>
          <w:rFonts w:ascii="Arial" w:cs="Arial" w:eastAsia="Arial" w:hAnsi="Arial"/>
          <w:sz w:val="18"/>
          <w:szCs w:val="18"/>
          <w:color w:val="auto"/>
        </w:rPr>
      </w:pPr>
    </w:p>
    <w:p>
      <w:pPr>
        <w:ind w:left="1500" w:right="360" w:hanging="588"/>
        <w:spacing w:after="0" w:line="235"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limited potential for our investment advisor and its affiliates to derive additional “fall-out” benefits as a result of our relationship with our investment advisor; and</w:t>
      </w:r>
    </w:p>
    <w:p>
      <w:pPr>
        <w:spacing w:after="0" w:line="80" w:lineRule="exact"/>
        <w:rPr>
          <w:rFonts w:ascii="Arial" w:cs="Arial" w:eastAsia="Arial" w:hAnsi="Arial"/>
          <w:sz w:val="18"/>
          <w:szCs w:val="18"/>
          <w:color w:val="auto"/>
        </w:rPr>
      </w:pPr>
    </w:p>
    <w:p>
      <w:pPr>
        <w:ind w:left="1500" w:hanging="588"/>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various other matters.</w:t>
      </w:r>
    </w:p>
    <w:p>
      <w:pPr>
        <w:spacing w:after="0" w:line="333" w:lineRule="exact"/>
        <w:rPr>
          <w:sz w:val="20"/>
          <w:szCs w:val="20"/>
          <w:color w:val="auto"/>
        </w:rPr>
      </w:pPr>
    </w:p>
    <w:p>
      <w:pPr>
        <w:jc w:val="both"/>
        <w:ind w:firstLine="656"/>
        <w:spacing w:after="0" w:line="241" w:lineRule="auto"/>
        <w:rPr>
          <w:sz w:val="20"/>
          <w:szCs w:val="20"/>
          <w:color w:val="auto"/>
        </w:rPr>
      </w:pPr>
      <w:r>
        <w:rPr>
          <w:rFonts w:ascii="Arial" w:cs="Arial" w:eastAsia="Arial" w:hAnsi="Arial"/>
          <w:sz w:val="18"/>
          <w:szCs w:val="18"/>
          <w:color w:val="auto"/>
        </w:rPr>
        <w:t>Our board of directors did not rank or otherwise assign relative weights to the specific factors it considered in connection with its evaluation of the Investment Advisory Agreement, nor did it undertake to make any specific determination as to whether any particular factor, or any aspect of any particular factor, was favorable or unfavorable to the ultimate decision made by our board of directors. Rather, our board of directors based its approval of the Investment Advisory Agreement on the totality of information presented to it. In considering the factors discussed above, individual directors may have given different weights to different factors.</w:t>
      </w:r>
    </w:p>
    <w:p>
      <w:pPr>
        <w:spacing w:after="0" w:line="135" w:lineRule="exact"/>
        <w:rPr>
          <w:sz w:val="20"/>
          <w:szCs w:val="20"/>
          <w:color w:val="auto"/>
        </w:rPr>
      </w:pPr>
    </w:p>
    <w:p>
      <w:pPr>
        <w:jc w:val="both"/>
        <w:ind w:firstLine="656"/>
        <w:spacing w:after="0" w:line="270" w:lineRule="auto"/>
        <w:rPr>
          <w:sz w:val="20"/>
          <w:szCs w:val="20"/>
          <w:color w:val="auto"/>
        </w:rPr>
      </w:pPr>
      <w:r>
        <w:rPr>
          <w:rFonts w:ascii="Arial" w:cs="Arial" w:eastAsia="Arial" w:hAnsi="Arial"/>
          <w:sz w:val="17"/>
          <w:szCs w:val="17"/>
          <w:color w:val="auto"/>
        </w:rPr>
        <w:t>Based on the information reviewed and the factors discussed above, our board of directors (including the Independent Directors) concluded that the terms of the Investment Advisory Agreement, including the fee rates thereunder, are fair and reasonable in relation to the services provided and approved the continuation of the Investment Advisory Agreement as being in the best interests of FIC and our stockholders.</w:t>
      </w:r>
    </w:p>
    <w:p>
      <w:pPr>
        <w:spacing w:after="0" w:line="110"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Conflicts of interest may arise if our investment advisor seeks to change the terms of the Investment Advisory Agreement, including, for example, the amount of the base management fee, the incentive fee or other compensation terms. In general, material amendments to the Investment Advisory Agreement must be approved by the affirmative vote of the holders of a majority of our outstanding voting securities (as that term is defined in the 1940 Act) and by a majority of our Independent Directors.</w:t>
      </w:r>
    </w:p>
    <w:p>
      <w:pPr>
        <w:spacing w:after="0" w:line="134"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See “Item 1A. Risk Factors – Risks Relating to our Business and Structure – 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8" w:lineRule="exact"/>
        <w:rPr>
          <w:sz w:val="20"/>
          <w:szCs w:val="20"/>
          <w:color w:val="auto"/>
        </w:rPr>
      </w:pPr>
    </w:p>
    <w:p>
      <w:pPr>
        <w:jc w:val="both"/>
        <w:ind w:firstLine="656"/>
        <w:spacing w:after="0"/>
        <w:rPr>
          <w:sz w:val="20"/>
          <w:szCs w:val="20"/>
          <w:color w:val="auto"/>
        </w:rPr>
      </w:pPr>
      <w:r>
        <w:rPr>
          <w:rFonts w:ascii="Arial" w:cs="Arial" w:eastAsia="Arial" w:hAnsi="Arial"/>
          <w:sz w:val="18"/>
          <w:szCs w:val="18"/>
          <w:color w:val="auto"/>
        </w:rPr>
        <w:t>The Investment Advisory Agreement provides that, absent willful misconduct, bad faith or gross negligence in the performance of its duties under the Investment Advisory Agreement or by reason of the reckless disregard of its duties and obligations under the Investment Advisory Agreement, our investment advisor and its affiliates, and their respective officers, directors, members, managers, partners, stockholders and employees, are entitled to indemnification from us from and against any claims or liabilities, including reasonable legal fees and other expenses reasonably incurred, arising out of or in connection with our investment advisor’s performance of its duties and obligations under the Investment Advisory Agreement or otherwise as our investment advisor.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162" w:lineRule="exact"/>
        <w:rPr>
          <w:sz w:val="20"/>
          <w:szCs w:val="20"/>
          <w:color w:val="auto"/>
        </w:rPr>
      </w:pPr>
    </w:p>
    <w:p>
      <w:pPr>
        <w:jc w:val="both"/>
        <w:ind w:firstLine="656"/>
        <w:spacing w:after="0" w:line="251" w:lineRule="auto"/>
        <w:rPr>
          <w:sz w:val="20"/>
          <w:szCs w:val="20"/>
          <w:color w:val="auto"/>
        </w:rPr>
      </w:pPr>
      <w:r>
        <w:rPr>
          <w:rFonts w:ascii="Arial" w:cs="Arial" w:eastAsia="Arial" w:hAnsi="Arial"/>
          <w:sz w:val="17"/>
          <w:szCs w:val="17"/>
          <w:color w:val="auto"/>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and we reimburse our Investment Advisor for fees and expenses incurred with providing such services. In addition, we reimburse our Investment Advisor for fees and expenses incurred while performing due diligence on our prospective portfolio companies, including “dead deal” costs for potential investments which are ultimately not pursued.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w:t>
      </w:r>
    </w:p>
    <w:p>
      <w:pPr>
        <w:spacing w:after="0" w:line="135" w:lineRule="exact"/>
        <w:rPr>
          <w:sz w:val="20"/>
          <w:szCs w:val="20"/>
          <w:color w:val="auto"/>
        </w:rPr>
      </w:pPr>
    </w:p>
    <w:p>
      <w:pPr>
        <w:jc w:val="both"/>
        <w:ind w:firstLine="656"/>
        <w:spacing w:after="0" w:line="244" w:lineRule="auto"/>
        <w:rPr>
          <w:sz w:val="20"/>
          <w:szCs w:val="20"/>
          <w:color w:val="auto"/>
        </w:rPr>
      </w:pPr>
      <w:r>
        <w:rPr>
          <w:rFonts w:ascii="Arial" w:cs="Arial" w:eastAsia="Arial" w:hAnsi="Arial"/>
          <w:sz w:val="18"/>
          <w:szCs w:val="18"/>
          <w:color w:val="auto"/>
        </w:rPr>
        <w:t>At a meeting of our board of directors on June 10, 2021, our board of directors, including a majority of the Independent Directors, unanimously voted to approve the continuation of the Administration Agreement to June 20, 2022. Unless terminated earlier, the</w:t>
      </w:r>
    </w:p>
    <w:p>
      <w:pPr>
        <w:ind w:left="110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jc w:val="both"/>
        <w:spacing w:after="0" w:line="241" w:lineRule="auto"/>
        <w:rPr>
          <w:sz w:val="20"/>
          <w:szCs w:val="20"/>
          <w:color w:val="auto"/>
        </w:rPr>
      </w:pPr>
      <w:r>
        <w:rPr>
          <w:rFonts w:ascii="Arial" w:cs="Arial" w:eastAsia="Arial" w:hAnsi="Arial"/>
          <w:sz w:val="18"/>
          <w:szCs w:val="18"/>
          <w:color w:val="auto"/>
        </w:rPr>
        <w:t>Administration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our Independent Directors. In making the decision to approve the continuation of the Administration Agreement, our board of directors took into account, to the extent relevant, certain information set forth above under “Investment Advisory Agreement – Duration and Termination” with respect to its consideration of the Investment Advisory Agreement.</w:t>
      </w:r>
    </w:p>
    <w:p>
      <w:pPr>
        <w:spacing w:after="0" w:line="135" w:lineRule="exact"/>
        <w:rPr>
          <w:sz w:val="20"/>
          <w:szCs w:val="20"/>
          <w:color w:val="auto"/>
        </w:rPr>
      </w:pPr>
    </w:p>
    <w:p>
      <w:pPr>
        <w:jc w:val="both"/>
        <w:ind w:firstLine="656"/>
        <w:spacing w:after="0" w:line="324" w:lineRule="auto"/>
        <w:rPr>
          <w:sz w:val="20"/>
          <w:szCs w:val="20"/>
          <w:color w:val="auto"/>
        </w:rPr>
      </w:pPr>
      <w:r>
        <w:rPr>
          <w:rFonts w:ascii="Arial" w:cs="Arial" w:eastAsia="Arial" w:hAnsi="Arial"/>
          <w:sz w:val="16"/>
          <w:szCs w:val="16"/>
          <w:color w:val="auto"/>
        </w:rPr>
        <w:t>The Administration Agreement may be terminated by either party without penalty upon 60 days’ written notice to the other party. The holders of a majority of our outstanding voting securities (as that term is defined in the 1940 Act) may also terminate the Administration Agreement without penalty.</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8" w:lineRule="exact"/>
        <w:rPr>
          <w:sz w:val="20"/>
          <w:szCs w:val="20"/>
          <w:color w:val="auto"/>
        </w:rPr>
      </w:pPr>
    </w:p>
    <w:p>
      <w:pPr>
        <w:jc w:val="both"/>
        <w:ind w:firstLine="656"/>
        <w:spacing w:after="0" w:line="279" w:lineRule="auto"/>
        <w:rPr>
          <w:sz w:val="20"/>
          <w:szCs w:val="20"/>
          <w:color w:val="auto"/>
        </w:rPr>
      </w:pPr>
      <w:r>
        <w:rPr>
          <w:rFonts w:ascii="Arial" w:cs="Arial" w:eastAsia="Arial" w:hAnsi="Arial"/>
          <w:sz w:val="16"/>
          <w:szCs w:val="16"/>
          <w:color w:val="auto"/>
        </w:rPr>
        <w:t>The Administration Agreement provides that, absent willful misconduct, bad faith or gross negligence in the performance of its duties under the Administration Agreement or by reason of the reckless disregard of its duties and obligations under the Administration Agreement, our investment advisor and its affiliates, and their respective officers, directors, members, managers, stockholders and employees, are entitled to indemnification from us from and against any claims or liabilities, including reasonable legal fees and other expenses reasonably incurred, arising out of or in connection with our investment advisor’s performance of its duties or obligations under the Administration Agreement or otherwise as our administrator.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62" w:lineRule="exact"/>
        <w:rPr>
          <w:sz w:val="20"/>
          <w:szCs w:val="20"/>
          <w:color w:val="auto"/>
        </w:rPr>
      </w:pPr>
    </w:p>
    <w:p>
      <w:pPr>
        <w:jc w:val="both"/>
        <w:ind w:firstLine="656"/>
        <w:spacing w:after="0" w:line="241" w:lineRule="auto"/>
        <w:rPr>
          <w:sz w:val="20"/>
          <w:szCs w:val="20"/>
          <w:color w:val="auto"/>
        </w:rPr>
      </w:pPr>
      <w:r>
        <w:rPr>
          <w:rFonts w:ascii="Arial" w:cs="Arial" w:eastAsia="Arial" w:hAnsi="Arial"/>
          <w:sz w:val="18"/>
          <w:szCs w:val="18"/>
          <w:color w:val="auto"/>
        </w:rPr>
        <w:t>We have entered into a license agreement with Fidus Partners, LLC under which Fidus Partners, LLC has agreed to grant us a non-exclusive (provided that there is not a change in control of Fidus Partners, LLC), royalty-free license to use the name “Fidus.” Under this agreement, we have a right to use the “Fidus” name for so long as our investment advisor remains our investment advisor. Other than with respect to this limited license, we have no legal right to the “Fidus” name. This license agreement will remain in effect for so long as the Investment Advisory Agreement with our investment advisor remains in effect.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firstLine="656"/>
        <w:spacing w:after="0"/>
        <w:rPr>
          <w:sz w:val="20"/>
          <w:szCs w:val="20"/>
          <w:color w:val="auto"/>
        </w:rPr>
      </w:pPr>
      <w:r>
        <w:rPr>
          <w:rFonts w:ascii="Arial" w:cs="Arial" w:eastAsia="Arial" w:hAnsi="Arial"/>
          <w:sz w:val="18"/>
          <w:szCs w:val="18"/>
          <w:color w:val="auto"/>
        </w:rPr>
        <w:t>We and Fund I have elected to be regulated as BDCs under the 1940 Act and we have elected, and intend to qualify annually, to be treated as a RIC under Subchapter M of the Code. The 1940 Act contains prohibitions and restrictions relating to transactions between BDCs and their affiliates (including any investment advisors), principal underwriters and affiliates of those affiliates or principal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that term is defined in the 1940 Act.</w:t>
      </w:r>
    </w:p>
    <w:p>
      <w:pPr>
        <w:spacing w:after="0" w:line="135" w:lineRule="exact"/>
        <w:rPr>
          <w:sz w:val="20"/>
          <w:szCs w:val="20"/>
          <w:color w:val="auto"/>
        </w:rPr>
      </w:pPr>
    </w:p>
    <w:p>
      <w:pPr>
        <w:jc w:val="both"/>
        <w:ind w:firstLine="656"/>
        <w:spacing w:after="0" w:line="252" w:lineRule="auto"/>
        <w:rPr>
          <w:sz w:val="20"/>
          <w:szCs w:val="20"/>
          <w:color w:val="auto"/>
        </w:rPr>
      </w:pPr>
      <w:r>
        <w:rPr>
          <w:rFonts w:ascii="Arial" w:cs="Arial" w:eastAsia="Arial" w:hAnsi="Arial"/>
          <w:sz w:val="17"/>
          <w:szCs w:val="17"/>
          <w:color w:val="auto"/>
        </w:rPr>
        <w:t>We may invest up to 100.0%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any publicly-traded securities that may from time-to-time be held by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also do not intend to acquire securities issued by any investment company (including Section 3(c)(1) and Section 3(c)(7) funds for this purpose), except for registered money market funds, that exceed the limits imposed by the 1940 Act. Under these limits, we generally cannot acquire more than 3.0% of the total outstanding voting stock of any investment company, invest more than 5.0% of the value of our total assets in securities issued by one investment company or invest more than 10.0% of the value of our total assets in securities issued by investment companies on an aggregate basis. With regard to that portion of our portfolio invested in securities issued by investment companies, it should be noted that such investments might subject our stockholders to additional expenses. These policies are not fundamental and, as a result, each may be changed by the vote of a majority of our board of directors without stockholder approval.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81"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70.0% of the company’s total assets. The principal categories of qualifying assets relevant to our business are the following:</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0" w:name="page21"/>
    <w:bookmarkEnd w:id="20"/>
    <w:p>
      <w:pPr>
        <w:jc w:val="both"/>
        <w:ind w:left="960" w:right="20" w:hanging="466"/>
        <w:spacing w:after="0" w:line="219"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that:</w:t>
      </w:r>
    </w:p>
    <w:p>
      <w:pPr>
        <w:spacing w:after="0" w:line="54" w:lineRule="exact"/>
        <w:rPr>
          <w:rFonts w:ascii="Arial" w:cs="Arial" w:eastAsia="Arial" w:hAnsi="Arial"/>
          <w:sz w:val="18"/>
          <w:szCs w:val="18"/>
          <w:color w:val="auto"/>
        </w:rPr>
      </w:pPr>
    </w:p>
    <w:p>
      <w:pPr>
        <w:ind w:left="1520" w:hanging="500"/>
        <w:spacing w:after="0"/>
        <w:tabs>
          <w:tab w:leader="none" w:pos="1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U.S.;</w:t>
      </w:r>
    </w:p>
    <w:p>
      <w:pPr>
        <w:spacing w:after="0" w:line="11" w:lineRule="exact"/>
        <w:rPr>
          <w:rFonts w:ascii="Arial" w:cs="Arial" w:eastAsia="Arial" w:hAnsi="Arial"/>
          <w:sz w:val="18"/>
          <w:szCs w:val="18"/>
          <w:color w:val="auto"/>
        </w:rPr>
      </w:pPr>
    </w:p>
    <w:p>
      <w:pPr>
        <w:ind w:left="1520" w:right="40" w:hanging="500"/>
        <w:spacing w:after="0" w:line="226" w:lineRule="auto"/>
        <w:tabs>
          <w:tab w:leader="none" w:pos="1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wholly-owned by the BDC) or a company that would be an investment company but for certain exclusions under the 1940 Act; and</w:t>
      </w:r>
    </w:p>
    <w:p>
      <w:pPr>
        <w:ind w:left="1520" w:hanging="500"/>
        <w:spacing w:after="0"/>
        <w:tabs>
          <w:tab w:leader="none" w:pos="1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satisfies either of the following:</w:t>
      </w:r>
    </w:p>
    <w:p>
      <w:pPr>
        <w:spacing w:after="0" w:line="10" w:lineRule="exact"/>
        <w:rPr>
          <w:rFonts w:ascii="Arial" w:cs="Arial" w:eastAsia="Arial" w:hAnsi="Arial"/>
          <w:sz w:val="18"/>
          <w:szCs w:val="18"/>
          <w:color w:val="auto"/>
        </w:rPr>
      </w:pPr>
    </w:p>
    <w:p>
      <w:pPr>
        <w:ind w:left="1960" w:right="40" w:hanging="346"/>
        <w:spacing w:after="0" w:line="226" w:lineRule="auto"/>
        <w:tabs>
          <w:tab w:leader="none" w:pos="19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or has any class of securities listed on a national securities exchange subject to a $250.0 million market capitalization maximum; or</w:t>
      </w:r>
    </w:p>
    <w:p>
      <w:pPr>
        <w:jc w:val="both"/>
        <w:ind w:left="1960" w:right="40" w:hanging="346"/>
        <w:spacing w:after="0" w:line="224" w:lineRule="auto"/>
        <w:tabs>
          <w:tab w:leader="none" w:pos="19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 BDC has an affiliated person who is a director of the eligible portfolio company.</w:t>
      </w:r>
    </w:p>
    <w:p>
      <w:pPr>
        <w:spacing w:after="0" w:line="40" w:lineRule="exact"/>
        <w:rPr>
          <w:rFonts w:ascii="Arial" w:cs="Arial" w:eastAsia="Arial" w:hAnsi="Arial"/>
          <w:sz w:val="18"/>
          <w:szCs w:val="18"/>
          <w:color w:val="auto"/>
        </w:rPr>
      </w:pPr>
    </w:p>
    <w:p>
      <w:pPr>
        <w:ind w:left="960" w:hanging="46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1" w:lineRule="exact"/>
        <w:rPr>
          <w:rFonts w:ascii="Arial" w:cs="Arial" w:eastAsia="Arial" w:hAnsi="Arial"/>
          <w:sz w:val="18"/>
          <w:szCs w:val="18"/>
          <w:color w:val="auto"/>
        </w:rPr>
      </w:pPr>
    </w:p>
    <w:p>
      <w:pPr>
        <w:jc w:val="both"/>
        <w:ind w:left="960" w:right="40" w:hanging="466"/>
        <w:spacing w:after="0" w:line="21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to such a private transaction,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55" w:lineRule="exact"/>
        <w:rPr>
          <w:rFonts w:ascii="Arial" w:cs="Arial" w:eastAsia="Arial" w:hAnsi="Arial"/>
          <w:sz w:val="18"/>
          <w:szCs w:val="18"/>
          <w:color w:val="auto"/>
        </w:rPr>
      </w:pPr>
    </w:p>
    <w:p>
      <w:pPr>
        <w:ind w:left="960" w:right="40" w:hanging="466"/>
        <w:spacing w:after="0" w:line="23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60.0% of the outstanding equity of the eligible portfolio company.</w:t>
      </w:r>
    </w:p>
    <w:p>
      <w:pPr>
        <w:spacing w:after="0" w:line="13" w:lineRule="exact"/>
        <w:rPr>
          <w:rFonts w:ascii="Arial" w:cs="Arial" w:eastAsia="Arial" w:hAnsi="Arial"/>
          <w:sz w:val="18"/>
          <w:szCs w:val="18"/>
          <w:color w:val="auto"/>
        </w:rPr>
      </w:pPr>
    </w:p>
    <w:p>
      <w:pPr>
        <w:ind w:left="960" w:right="40" w:hanging="466"/>
        <w:spacing w:after="0" w:line="23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ind w:left="960" w:hanging="466"/>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that mature in one year or less from the date of investment.</w:t>
      </w:r>
    </w:p>
    <w:p>
      <w:pPr>
        <w:spacing w:after="0" w:line="396" w:lineRule="exact"/>
        <w:rPr>
          <w:sz w:val="20"/>
          <w:szCs w:val="20"/>
          <w:color w:val="auto"/>
        </w:rPr>
      </w:pPr>
    </w:p>
    <w:p>
      <w:pPr>
        <w:jc w:val="both"/>
        <w:ind w:firstLine="656"/>
        <w:spacing w:after="0" w:line="261" w:lineRule="auto"/>
        <w:rPr>
          <w:sz w:val="20"/>
          <w:szCs w:val="20"/>
          <w:color w:val="auto"/>
        </w:rPr>
      </w:pPr>
      <w:r>
        <w:rPr>
          <w:rFonts w:ascii="Arial" w:cs="Arial" w:eastAsia="Arial" w:hAnsi="Arial"/>
          <w:sz w:val="18"/>
          <w:szCs w:val="18"/>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62" w:lineRule="exact"/>
        <w:rPr>
          <w:sz w:val="20"/>
          <w:szCs w:val="20"/>
          <w:color w:val="auto"/>
        </w:rPr>
      </w:pPr>
    </w:p>
    <w:p>
      <w:pPr>
        <w:jc w:val="both"/>
        <w:ind w:firstLine="656"/>
        <w:spacing w:after="0" w:line="271" w:lineRule="auto"/>
        <w:rPr>
          <w:sz w:val="20"/>
          <w:szCs w:val="20"/>
          <w:color w:val="auto"/>
        </w:rPr>
      </w:pPr>
      <w:r>
        <w:rPr>
          <w:rFonts w:ascii="Arial" w:cs="Arial" w:eastAsia="Arial" w:hAnsi="Arial"/>
          <w:sz w:val="16"/>
          <w:szCs w:val="16"/>
          <w:color w:val="auto"/>
        </w:rPr>
        <w:t>A BDC must be organized and have its principal place of business in the U.S. and must be operated for the purpose of making investments in the types of securities described in (a), (b) or (c) above. However, in order to count portfolio securities as qualifying assets for the purpose of the 70.0% requirement, the BDC must either control the issuer of the securities or must offer to make available to the issuer of the securities significant managerial assistance; except that, when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Our investment advisor, in its capacity as our administrator, has agreed to provide such managerial assistance on our behalf to portfolio companies that request this assistance. We may receive fees for these services and will reimburse our investment advisor, in its capacity as our administrator, for its allocated costs in providing such assistance.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162" w:lineRule="exact"/>
        <w:rPr>
          <w:sz w:val="20"/>
          <w:szCs w:val="20"/>
          <w:color w:val="auto"/>
        </w:rPr>
      </w:pPr>
    </w:p>
    <w:p>
      <w:pPr>
        <w:jc w:val="both"/>
        <w:ind w:firstLine="656"/>
        <w:spacing w:after="0" w:line="252"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repurchase agreements and high-quality debt investments that mature in one year or less from the date of investment, which we refer to, collectively, as temporary investments, so that 70.0% of our assets are invested in qualifying assets or temporary investments. We may from time to time invest in U.S. Treasury bills or in repurchase agreements, so long as the agreements are fully collateralized by cash or securities issued by the U.S. government, including securities issued by certain U.S. government agencies. A repurchase agreement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25.0% of our total assets constitute repurchase agreements from a single counterparty (other than repurchase agreements fully collateralized by U.S. government securities), we would not satisfy the asset diversification requirements for tax treatment as a RIC for U.S. federal income tax purposes. Accordingly, we do not intend to enter into any such repurchase agreements that would cause us to fail such asset diversification requirements. Our investment advisor monitors the creditworthiness of the counterparties with which we enter into repurchase agreement transactions.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Senior Securities</w:t>
      </w:r>
    </w:p>
    <w:p>
      <w:pPr>
        <w:spacing w:after="0" w:line="162" w:lineRule="exact"/>
        <w:rPr>
          <w:sz w:val="20"/>
          <w:szCs w:val="20"/>
          <w:color w:val="auto"/>
        </w:rPr>
      </w:pPr>
    </w:p>
    <w:p>
      <w:pPr>
        <w:jc w:val="both"/>
        <w:ind w:right="20" w:firstLine="656"/>
        <w:spacing w:after="0" w:line="24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150.0% immediately after each such issuance</w:t>
      </w: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6"/>
          <w:szCs w:val="16"/>
          <w:color w:val="auto"/>
        </w:rPr>
        <w:t>(exclusive of the SBA debentures pursuant to our SEC exemptive relief).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5.0% of the value of our total assets for temporary or emergency purposes without regard to asset coverage. For a discussion of the risks associated with leverage, see “Risk Factors — Risks Relating to Our Business and Structure</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Regulations governing our operation as a BDC affect our ability to raise, and the way in which we raise, additional capital which may have a negative effect on our growth.”</w:t>
      </w:r>
    </w:p>
    <w:p>
      <w:pPr>
        <w:spacing w:after="0" w:line="132" w:lineRule="exact"/>
        <w:rPr>
          <w:sz w:val="20"/>
          <w:szCs w:val="20"/>
          <w:color w:val="auto"/>
        </w:rPr>
      </w:pPr>
    </w:p>
    <w:p>
      <w:pPr>
        <w:jc w:val="both"/>
        <w:ind w:firstLine="656"/>
        <w:spacing w:after="0" w:line="253" w:lineRule="auto"/>
        <w:rPr>
          <w:sz w:val="20"/>
          <w:szCs w:val="20"/>
          <w:color w:val="auto"/>
        </w:rPr>
      </w:pPr>
      <w:r>
        <w:rPr>
          <w:rFonts w:ascii="Arial" w:cs="Arial" w:eastAsia="Arial" w:hAnsi="Arial"/>
          <w:sz w:val="17"/>
          <w:szCs w:val="17"/>
          <w:color w:val="auto"/>
        </w:rPr>
        <w:t>Pursuant to Rule 18f-4 under the 1940 Act, which became effective on February 19, 2021, the Company may use total return swaps for hedging purposes, subject to certain conditions, notwithstanding the restrictions on the issuance of senior securities and the use of leverage imposed by Sections 18 and 61 of the 1940 Act. The requirements of Rule 18f-4 would apply unless the BDC qualifies as a “limited derivatives user,” as defined in Rule 18f-4. A BDC that enters into reverse repurchase agreements or similar financing transactions would need to aggregate the amount of indebtedness associated with the reverse repurchase agreements or similar financing transactions with the aggregate amount of any other senior securities representing indebtedness when calculating the BDC’s asset coverage ratio. Under Rule 18f-4,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requirement, it is required to treat unfunded commitments as a derivatives transaction subject to the requirements of the rule.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Ethics</w:t>
      </w:r>
    </w:p>
    <w:p>
      <w:pPr>
        <w:spacing w:after="0" w:line="162" w:lineRule="exact"/>
        <w:rPr>
          <w:sz w:val="20"/>
          <w:szCs w:val="20"/>
          <w:color w:val="auto"/>
        </w:rPr>
      </w:pPr>
    </w:p>
    <w:p>
      <w:pPr>
        <w:jc w:val="both"/>
        <w:ind w:firstLine="656"/>
        <w:spacing w:after="0" w:line="239" w:lineRule="auto"/>
        <w:rPr>
          <w:sz w:val="20"/>
          <w:szCs w:val="20"/>
          <w:color w:val="auto"/>
        </w:rPr>
      </w:pPr>
      <w:r>
        <w:rPr>
          <w:rFonts w:ascii="Arial" w:cs="Arial" w:eastAsia="Arial" w:hAnsi="Arial"/>
          <w:sz w:val="18"/>
          <w:szCs w:val="18"/>
          <w:color w:val="auto"/>
        </w:rPr>
        <w:t xml:space="preserve">We, Fund I and our investment advisor have adopted a joint code of ethics pursuant to Rule 17j-1 under the 1940 Act that establishes procedures for personal investments and restricts certain personal securities transactions. Additionally, our investment advisor has adopted a code of ethics pursuant to Rule 204A-1 under the Advisers Act and in accordance with Rule 17j-1(c). Personnel subject to the code of ethics may invest in securities for their personal investment accounts, including securities that may be purchased or held by us, so long as such investments are made in accordance with the code’s requirements. You may read and copy these codes at the SEC’s website at www.sec.gov. The joint code of ethics is also available on our website at </w:t>
      </w:r>
      <w:r>
        <w:rPr>
          <w:rFonts w:ascii="Arial" w:cs="Arial" w:eastAsia="Arial" w:hAnsi="Arial"/>
          <w:sz w:val="18"/>
          <w:szCs w:val="18"/>
          <w:i w:val="1"/>
          <w:iCs w:val="1"/>
          <w:color w:val="auto"/>
        </w:rPr>
        <w:t>www.fdus.com</w:t>
      </w:r>
      <w:r>
        <w:rPr>
          <w:rFonts w:ascii="Arial" w:cs="Arial" w:eastAsia="Arial" w:hAnsi="Arial"/>
          <w:sz w:val="18"/>
          <w:szCs w:val="18"/>
          <w:color w:val="auto"/>
        </w:rPr>
        <w:t>. We have also adopted a code of business conduct that is applicable to all officers, directors and employees of Fidus and our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 that is available on our website</w:t>
      </w:r>
      <w:r>
        <w:rPr>
          <w:rFonts w:ascii="Arial" w:cs="Arial" w:eastAsia="Arial" w:hAnsi="Arial"/>
          <w:sz w:val="18"/>
          <w:szCs w:val="18"/>
          <w:i w:val="1"/>
          <w:i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62" w:lineRule="exact"/>
        <w:rPr>
          <w:sz w:val="20"/>
          <w:szCs w:val="20"/>
          <w:color w:val="auto"/>
        </w:rPr>
      </w:pPr>
    </w:p>
    <w:p>
      <w:pPr>
        <w:jc w:val="both"/>
        <w:ind w:firstLine="656"/>
        <w:spacing w:after="0" w:line="241" w:lineRule="auto"/>
        <w:rPr>
          <w:sz w:val="20"/>
          <w:szCs w:val="20"/>
          <w:color w:val="auto"/>
        </w:rPr>
      </w:pPr>
      <w:r>
        <w:rPr>
          <w:rFonts w:ascii="Arial" w:cs="Arial" w:eastAsia="Arial" w:hAnsi="Arial"/>
          <w:sz w:val="18"/>
          <w:szCs w:val="18"/>
          <w:color w:val="auto"/>
        </w:rPr>
        <w:t>In light of the types of investments held in our portfolio, it is unlikely that we will be called upon to vote our shares very often. In the event that we receive a proxy statement related to one of our portfolio companies, however, we have delegated our proxy voting responsibility to our investment advisor. The proxy voting policies and procedures of our investment advisor are set out below. The guidelines are reviewed periodically by our investment advisor and our Independent Directors, and, accordingly, are subject to change. For purposes of these proxy voting policies and procedures described below, “we,” “our” and “us” refer to our investment advisor.</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Introduction</w:t>
      </w:r>
    </w:p>
    <w:p>
      <w:pPr>
        <w:spacing w:after="0" w:line="158" w:lineRule="exact"/>
        <w:rPr>
          <w:sz w:val="20"/>
          <w:szCs w:val="20"/>
          <w:color w:val="auto"/>
        </w:rPr>
      </w:pPr>
    </w:p>
    <w:p>
      <w:pPr>
        <w:jc w:val="both"/>
        <w:ind w:firstLine="656"/>
        <w:spacing w:after="0" w:line="324" w:lineRule="auto"/>
        <w:rPr>
          <w:sz w:val="20"/>
          <w:szCs w:val="20"/>
          <w:color w:val="auto"/>
        </w:rPr>
      </w:pPr>
      <w:r>
        <w:rPr>
          <w:rFonts w:ascii="Arial" w:cs="Arial" w:eastAsia="Arial" w:hAnsi="Arial"/>
          <w:sz w:val="16"/>
          <w:szCs w:val="16"/>
          <w:color w:val="auto"/>
        </w:rPr>
        <w:t>As an investment adviser registered under the Advisers Act, our investment advisor has a fiduciary duty to act solely in our best interests. As part of this duty, our investment advisor recognizes that it must vote our securities in a timely manner free of conflicts of interest and in our best interests.</w:t>
      </w:r>
    </w:p>
    <w:p>
      <w:pPr>
        <w:spacing w:after="0" w:line="70" w:lineRule="exact"/>
        <w:rPr>
          <w:sz w:val="20"/>
          <w:szCs w:val="20"/>
          <w:color w:val="auto"/>
        </w:rPr>
      </w:pPr>
    </w:p>
    <w:p>
      <w:pPr>
        <w:jc w:val="both"/>
        <w:ind w:firstLine="656"/>
        <w:spacing w:after="0" w:line="261" w:lineRule="auto"/>
        <w:rPr>
          <w:sz w:val="20"/>
          <w:szCs w:val="20"/>
          <w:color w:val="auto"/>
        </w:rPr>
      </w:pPr>
      <w:r>
        <w:rPr>
          <w:rFonts w:ascii="Arial" w:cs="Arial" w:eastAsia="Arial" w:hAnsi="Arial"/>
          <w:sz w:val="18"/>
          <w:szCs w:val="18"/>
          <w:color w:val="auto"/>
        </w:rPr>
        <w:t>Our investment advisor’s policies and procedures for voting proxies for its investment advisory clients are intended to comply with Section 206 of, and Rule 206(4)-6 under, the Advisers Act.</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Proxy Policies</w:t>
      </w:r>
    </w:p>
    <w:p>
      <w:pPr>
        <w:spacing w:after="0" w:line="158" w:lineRule="exact"/>
        <w:rPr>
          <w:sz w:val="20"/>
          <w:szCs w:val="20"/>
          <w:color w:val="auto"/>
        </w:rPr>
      </w:pPr>
    </w:p>
    <w:p>
      <w:pPr>
        <w:jc w:val="both"/>
        <w:ind w:firstLine="656"/>
        <w:spacing w:after="0" w:line="241" w:lineRule="auto"/>
        <w:rPr>
          <w:sz w:val="20"/>
          <w:szCs w:val="20"/>
          <w:color w:val="auto"/>
        </w:rPr>
      </w:pPr>
      <w:r>
        <w:rPr>
          <w:rFonts w:ascii="Arial" w:cs="Arial" w:eastAsia="Arial" w:hAnsi="Arial"/>
          <w:sz w:val="18"/>
          <w:szCs w:val="18"/>
          <w:color w:val="auto"/>
        </w:rPr>
        <w:t>Our investment advisor will vote proxies relating to our portfolio securities in what it perceives to be the best interest of our stockholders. Our investment advisor reviews on a case-by-case basis each proposal submitted to a stockholder vote to determine its effect on the portfolio securities we hold. In most cases our investment advisor will vote in favor of proposals that it believes are likely to increase the value of the portfolio securities we hold. Although our investment advisor will generally vote against proposals that may have a negative effect on our portfolio securities, our investment advisor may vote for such a proposal if there exist compelling long-term reasons to do so.</w:t>
      </w:r>
    </w:p>
    <w:p>
      <w:pPr>
        <w:spacing w:after="0" w:line="135" w:lineRule="exact"/>
        <w:rPr>
          <w:sz w:val="20"/>
          <w:szCs w:val="20"/>
          <w:color w:val="auto"/>
        </w:rPr>
      </w:pPr>
    </w:p>
    <w:p>
      <w:pPr>
        <w:jc w:val="both"/>
        <w:ind w:firstLine="656"/>
        <w:spacing w:after="0" w:line="237" w:lineRule="auto"/>
        <w:rPr>
          <w:sz w:val="20"/>
          <w:szCs w:val="20"/>
          <w:color w:val="auto"/>
        </w:rPr>
      </w:pPr>
      <w:r>
        <w:rPr>
          <w:rFonts w:ascii="Arial" w:cs="Arial" w:eastAsia="Arial" w:hAnsi="Arial"/>
          <w:sz w:val="18"/>
          <w:szCs w:val="18"/>
          <w:color w:val="auto"/>
        </w:rPr>
        <w:t>Proxy voting decisions are made by our investment advisor’s senior investment professionals who are responsible for monitoring each of our portfolio investments. To ensure that our investment advisor’s vote is not the product of a conflict of interest, our investment advisor requires that (a) anyone involved in the decision-making process disclose to our chief compliance officer any potential conflict that he or she is aware of and any contact that he or she has had with any interested party regarding a proxy vote; and (b) employees involved in the decision-making process or vote administration are prohibited from revealing how our investment advisor intends to vote on a proposal in order to reduce any attempted influence from interested parties. Where conflicts of interest may be present, our</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investment advisor will disclose such conflicts to us, including our Independent Directors, and may request guidance from us on how to vote such proxies.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58"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You may obtain information about how our investment advisor voted proxies for us by making a written request for proxy voting information to: Fidus Investment Corporation, 1603 Orrington Avenue, Suite 1005, Evanston, Illinois 60201, Attention: Investor Relations, or by calling Fidus Investment Corporation collect at (847) 859-3940.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62" w:lineRule="exact"/>
        <w:rPr>
          <w:sz w:val="20"/>
          <w:szCs w:val="20"/>
          <w:color w:val="auto"/>
        </w:rPr>
      </w:pPr>
    </w:p>
    <w:p>
      <w:pPr>
        <w:jc w:val="both"/>
        <w:ind w:right="20" w:firstLine="656"/>
        <w:spacing w:after="0" w:line="270" w:lineRule="auto"/>
        <w:rPr>
          <w:sz w:val="20"/>
          <w:szCs w:val="20"/>
          <w:color w:val="auto"/>
        </w:rPr>
      </w:pPr>
      <w:r>
        <w:rPr>
          <w:rFonts w:ascii="Arial" w:cs="Arial" w:eastAsia="Arial" w:hAnsi="Arial"/>
          <w:sz w:val="17"/>
          <w:szCs w:val="17"/>
          <w:color w:val="auto"/>
        </w:rPr>
        <w:t>We, Fund I and our investment advisor have each adopted and implemented written policies and procedures reasonably designed to prevent violation of U.S. federal securities laws and are required to review these compliance policies and procedures annually for their adequacy and the effectiveness of their implementation. Our chief compliance officer is responsible for administering these policies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62"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28"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w:t>
      </w:r>
    </w:p>
    <w:p>
      <w:pPr>
        <w:spacing w:after="0" w:line="128"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2" w:lineRule="exact"/>
        <w:rPr>
          <w:sz w:val="20"/>
          <w:szCs w:val="20"/>
          <w:color w:val="auto"/>
        </w:rPr>
      </w:pPr>
    </w:p>
    <w:p>
      <w:pPr>
        <w:jc w:val="both"/>
        <w:ind w:firstLine="656"/>
        <w:spacing w:after="0" w:line="294" w:lineRule="auto"/>
        <w:rPr>
          <w:sz w:val="20"/>
          <w:szCs w:val="20"/>
          <w:color w:val="auto"/>
        </w:rPr>
      </w:pPr>
      <w:r>
        <w:rPr>
          <w:rFonts w:ascii="Arial" w:cs="Arial" w:eastAsia="Arial" w:hAnsi="Arial"/>
          <w:sz w:val="16"/>
          <w:szCs w:val="16"/>
          <w:color w:val="auto"/>
        </w:rPr>
        <w:t>Under the 1940 Act,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93" w:lineRule="exact"/>
        <w:rPr>
          <w:sz w:val="20"/>
          <w:szCs w:val="20"/>
          <w:color w:val="auto"/>
        </w:rPr>
      </w:pPr>
    </w:p>
    <w:p>
      <w:pPr>
        <w:jc w:val="both"/>
        <w:ind w:firstLine="656"/>
        <w:spacing w:after="0" w:line="257"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Independent Directors and, in some cases, prior approval by the SEC. On March 27, 2012, the SEC granted us and Fund I exemptive relief allowing us to operate effectively as one company and to take certain actions, including engaging in certain transactions with our affiliates, and to be subject to modified consolidated asset coverage requirements for senior securities issued by a BDC, that would otherwise be prohibited by the 1940 Act. Effective June 30, 2014, our exemptive relief was amended to include Fund II and any future direct or indirect wholly owned subsidiary. Therefore, any SBA debentures issued by Fund II and Fund III are not subject to the 150.0% asset coverage requirement.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162"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The Funds are licensed by the SBA to operate as SBICs under Section 301(c) of the Small Business Investment Act of 1958. Fund II and Fund III received their SBIC licenses on May 28, 2013, and March 21, 2019, respectively. We may issue SBA debentures to fund additional investments through the Funds.</w:t>
      </w:r>
    </w:p>
    <w:p>
      <w:pPr>
        <w:spacing w:after="0" w:line="128" w:lineRule="exact"/>
        <w:rPr>
          <w:sz w:val="20"/>
          <w:szCs w:val="20"/>
          <w:color w:val="auto"/>
        </w:rPr>
      </w:pPr>
    </w:p>
    <w:p>
      <w:pPr>
        <w:jc w:val="both"/>
        <w:ind w:firstLine="656"/>
        <w:spacing w:after="0" w:line="294" w:lineRule="auto"/>
        <w:rPr>
          <w:sz w:val="20"/>
          <w:szCs w:val="20"/>
          <w:color w:val="auto"/>
        </w:rPr>
      </w:pPr>
      <w:r>
        <w:rPr>
          <w:rFonts w:ascii="Arial" w:cs="Arial" w:eastAsia="Arial" w:hAnsi="Arial"/>
          <w:sz w:val="16"/>
          <w:szCs w:val="16"/>
          <w:color w:val="auto"/>
        </w:rPr>
        <w:t>SBICs are designed to stimulate the flow of private equity capital to eligible "small businesses" as defined by the SBA. Under SBA regulations, SBICs can provide financing in the form of debt and/or equity securities and provide consulting and advisory services to “eligible” small businesses. The Funds have typically invested in senior subordinated debt, acquired warrants and/or made other equity investments in qualifying small businesses.</w:t>
      </w:r>
    </w:p>
    <w:p>
      <w:pPr>
        <w:spacing w:after="0" w:line="93" w:lineRule="exact"/>
        <w:rPr>
          <w:sz w:val="20"/>
          <w:szCs w:val="20"/>
          <w:color w:val="auto"/>
        </w:rPr>
      </w:pPr>
    </w:p>
    <w:p>
      <w:pPr>
        <w:jc w:val="both"/>
        <w:ind w:firstLine="656"/>
        <w:spacing w:after="0" w:line="237" w:lineRule="auto"/>
        <w:rPr>
          <w:sz w:val="20"/>
          <w:szCs w:val="20"/>
          <w:color w:val="auto"/>
        </w:rPr>
      </w:pPr>
      <w:r>
        <w:rPr>
          <w:rFonts w:ascii="Arial" w:cs="Arial" w:eastAsia="Arial" w:hAnsi="Arial"/>
          <w:sz w:val="18"/>
          <w:szCs w:val="18"/>
          <w:color w:val="auto"/>
        </w:rPr>
        <w:t>Under current SBA regulations, eligible small businesses generally include businesses that (together with their affiliates) have a tangible net worth not exceeding $19.5 million and have average annual net income after U.S. federal income taxes not exceeding $6.5 million (average net income to be computed without benefit of any carryover loss) for the two most recent fiscal years. In addition, an SBIC must devote 25.0% of its investment capital to “smaller enterprises” as defined by the SBA. A smaller enterprise generally includes businesses (including their affiliates) that have a tangible net worth not exceeding $6.0 million and have average annual net income after U.S. federal income taxes not exceeding $2.0 million (average net income to be computed without benefit of any net carryover loss) for the two most recent fiscal years. SBA regulations also provide alternative size standard criteria to determine eligibility for designation</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3" w:name="page24"/>
    <w:bookmarkEnd w:id="23"/>
    <w:p>
      <w:pPr>
        <w:jc w:val="both"/>
        <w:spacing w:after="0" w:line="243" w:lineRule="auto"/>
        <w:rPr>
          <w:sz w:val="20"/>
          <w:szCs w:val="20"/>
          <w:color w:val="auto"/>
        </w:rPr>
      </w:pPr>
      <w:r>
        <w:rPr>
          <w:rFonts w:ascii="Arial" w:cs="Arial" w:eastAsia="Arial" w:hAnsi="Arial"/>
          <w:sz w:val="18"/>
          <w:szCs w:val="18"/>
          <w:color w:val="auto"/>
        </w:rPr>
        <w:t>as an eligible small business or smaller enterprises, which criteria depend on the industry in which the business (including its affiliates) is engaged and are based on the number of employees and gross revenue. However, once an SBIC has invested in a portfolio company, it may continue to make follow-on investments in the portfolio company, regardless of the size of the portfolio company at the time of the follow-on investment, up to the time of the portfolio company’s initial public offering.</w:t>
      </w:r>
    </w:p>
    <w:p>
      <w:pPr>
        <w:spacing w:after="0" w:line="134" w:lineRule="exact"/>
        <w:rPr>
          <w:sz w:val="20"/>
          <w:szCs w:val="20"/>
          <w:color w:val="auto"/>
        </w:rPr>
      </w:pPr>
    </w:p>
    <w:p>
      <w:pPr>
        <w:jc w:val="both"/>
        <w:ind w:firstLine="656"/>
        <w:spacing w:after="0" w:line="284" w:lineRule="auto"/>
        <w:rPr>
          <w:sz w:val="20"/>
          <w:szCs w:val="20"/>
          <w:color w:val="auto"/>
        </w:rPr>
      </w:pPr>
      <w:r>
        <w:rPr>
          <w:rFonts w:ascii="Arial" w:cs="Arial" w:eastAsia="Arial" w:hAnsi="Arial"/>
          <w:sz w:val="16"/>
          <w:szCs w:val="16"/>
          <w:color w:val="auto"/>
        </w:rPr>
        <w:t>The SBA prohibits an SBIC from providing funds to small businesses for certain purposes, such as relending and investments in businesses with the majority of their employees located outside of the U.S. and in businesses engaged in certain prohibited industries, such as project finance, real estate, or certain “passive” (non-operating) companies. In addition, under SBA regulations, without prior SBA approval, an SBIC may not invest more than 30.0% of its regulatory capital in any one portfolio company or its affiliates (assuming the SBIC intends to draw leverage equal to twice its regulatory capital).</w:t>
      </w:r>
    </w:p>
    <w:p>
      <w:pPr>
        <w:spacing w:after="0" w:line="101"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The SBA places certain limitations on the financing terms of investments by SBICs in portfolio companies (such as limiting the permissible interest rate on debt securities held by an SBIC in a portfolio company). SBA regulations allow an SBIC to exercise control over a small business for a period of seven years from the date on which the SBIC initially acquires its control position. This control period may be extended for an additional period of time with the SBA’s prior written approval.</w:t>
      </w:r>
    </w:p>
    <w:p>
      <w:pPr>
        <w:spacing w:after="0" w:line="134" w:lineRule="exact"/>
        <w:rPr>
          <w:sz w:val="20"/>
          <w:szCs w:val="20"/>
          <w:color w:val="auto"/>
        </w:rPr>
      </w:pPr>
    </w:p>
    <w:p>
      <w:pPr>
        <w:jc w:val="both"/>
        <w:ind w:firstLine="656"/>
        <w:spacing w:after="0" w:line="284" w:lineRule="auto"/>
        <w:rPr>
          <w:sz w:val="20"/>
          <w:szCs w:val="20"/>
          <w:color w:val="auto"/>
        </w:rPr>
      </w:pPr>
      <w:r>
        <w:rPr>
          <w:rFonts w:ascii="Arial" w:cs="Arial" w:eastAsia="Arial" w:hAnsi="Arial"/>
          <w:sz w:val="16"/>
          <w:szCs w:val="16"/>
          <w:color w:val="auto"/>
        </w:rPr>
        <w:t>The SBA restricts the ability of an SBIC to lend money to any of its officers, directors and employees or to invest in affiliates thereof. The SBA also prohibits, without prior SBA approval, a “change of control” of an SBIC or transfers that would result in any person (or a group of persons acting in concert) owning 10.0% or more of a class of capital stock of a licensed SBIC. A “change of control” is any event that would result in the transfer of the power, direct or indirect, to direct the management and policies of an SBIC, whether through ownership, contractual arrangements or otherwise.</w:t>
      </w:r>
    </w:p>
    <w:p>
      <w:pPr>
        <w:spacing w:after="0" w:line="101"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An SBIC (or group of SBICs under common control) may generally have outstanding debentures guaranteed by the SBA in amounts up to two times the amount of the regulatory capital of the SBIC(s). Debentures guaranteed by the SBA have a maturity of ten years, require semi-annual payments of interest, and do not require any principal payments prior to maturity. The amount of SBA-guaranteed debentures that affiliated SBIC funds can have outstanding is limited to $350.0 million, subject to SBA approval.</w:t>
      </w:r>
    </w:p>
    <w:p>
      <w:pPr>
        <w:spacing w:after="0" w:line="134" w:lineRule="exact"/>
        <w:rPr>
          <w:sz w:val="20"/>
          <w:szCs w:val="20"/>
          <w:color w:val="auto"/>
        </w:rPr>
      </w:pPr>
    </w:p>
    <w:p>
      <w:pPr>
        <w:jc w:val="both"/>
        <w:ind w:firstLine="656"/>
        <w:spacing w:after="0" w:line="257" w:lineRule="auto"/>
        <w:rPr>
          <w:sz w:val="20"/>
          <w:szCs w:val="20"/>
          <w:color w:val="auto"/>
        </w:rPr>
      </w:pPr>
      <w:r>
        <w:rPr>
          <w:rFonts w:ascii="Arial" w:cs="Arial" w:eastAsia="Arial" w:hAnsi="Arial"/>
          <w:sz w:val="17"/>
          <w:szCs w:val="17"/>
          <w:color w:val="auto"/>
        </w:rPr>
        <w:t>SBICs must invest idle funds that are not being used to make loans in investments permitted under SBA regulations in the following limited types of securities: (i) direct obligations of, or obligations guaranteed as to principal and interest by, the U.S. government, which mature within 15 months from the date of the investment; (ii) repurchase agreements with federally insured institutions with a maturity of seven days or less (and the securities underlying the repurchase obligations must be direct obligations of or guaranteed by the federal government); (iii) certificates of deposit with a maturity of one year or less, issued by a federally insured institution; (iv) a deposit account in a federally insured institution that is subject to a withdrawal restriction of one year or less; (v) a checking account in a federally insured institution; or (vi) a reasonable petty cash fund.</w:t>
      </w:r>
    </w:p>
    <w:p>
      <w:pPr>
        <w:spacing w:after="0" w:line="121" w:lineRule="exact"/>
        <w:rPr>
          <w:sz w:val="20"/>
          <w:szCs w:val="20"/>
          <w:color w:val="auto"/>
        </w:rPr>
      </w:pPr>
    </w:p>
    <w:p>
      <w:pPr>
        <w:jc w:val="both"/>
        <w:ind w:firstLine="656"/>
        <w:spacing w:after="0" w:line="261" w:lineRule="auto"/>
        <w:rPr>
          <w:sz w:val="20"/>
          <w:szCs w:val="20"/>
          <w:color w:val="auto"/>
        </w:rPr>
      </w:pPr>
      <w:r>
        <w:rPr>
          <w:rFonts w:ascii="Arial" w:cs="Arial" w:eastAsia="Arial" w:hAnsi="Arial"/>
          <w:sz w:val="18"/>
          <w:szCs w:val="18"/>
          <w:color w:val="auto"/>
        </w:rPr>
        <w:t>SBICs are periodically examined and audited by the SBA’s staff to determine their compliance with SBA regulations and are periodically required to file certain forms with the SBA.</w:t>
      </w:r>
    </w:p>
    <w:p>
      <w:pPr>
        <w:spacing w:after="0" w:line="117" w:lineRule="exact"/>
        <w:rPr>
          <w:sz w:val="20"/>
          <w:szCs w:val="20"/>
          <w:color w:val="auto"/>
        </w:rPr>
      </w:pPr>
    </w:p>
    <w:p>
      <w:pPr>
        <w:jc w:val="both"/>
        <w:ind w:right="20" w:firstLine="656"/>
        <w:spacing w:after="0" w:line="261" w:lineRule="auto"/>
        <w:rPr>
          <w:sz w:val="20"/>
          <w:szCs w:val="20"/>
          <w:color w:val="auto"/>
        </w:rPr>
      </w:pPr>
      <w:r>
        <w:rPr>
          <w:rFonts w:ascii="Arial" w:cs="Arial" w:eastAsia="Arial" w:hAnsi="Arial"/>
          <w:sz w:val="18"/>
          <w:szCs w:val="18"/>
          <w:color w:val="auto"/>
        </w:rPr>
        <w:t>Neither the SBA nor the U.S. government or any of its agencies or officers has approved any ownership interest to be issued by us or any obligation that we or any of our subsidiaries may incur.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62" w:lineRule="exact"/>
        <w:rPr>
          <w:sz w:val="20"/>
          <w:szCs w:val="20"/>
          <w:color w:val="auto"/>
        </w:rPr>
      </w:pPr>
    </w:p>
    <w:p>
      <w:pPr>
        <w:jc w:val="both"/>
        <w:ind w:firstLine="656"/>
        <w:spacing w:after="0" w:line="261" w:lineRule="auto"/>
        <w:rPr>
          <w:sz w:val="20"/>
          <w:szCs w:val="20"/>
          <w:color w:val="auto"/>
        </w:rPr>
      </w:pPr>
      <w:r>
        <w:rPr>
          <w:rFonts w:ascii="Arial" w:cs="Arial" w:eastAsia="Arial" w:hAnsi="Arial"/>
          <w:sz w:val="18"/>
          <w:szCs w:val="18"/>
          <w:color w:val="auto"/>
        </w:rPr>
        <w:t>The Sarbanes-Oxley Act of 2002, or the Sarbanes-Oxley Act, imposes a wide variety of regulatory requirements on publicly held companies and their insiders. Many of these requirements affect us. For example:</w:t>
      </w:r>
    </w:p>
    <w:p>
      <w:pPr>
        <w:spacing w:after="0" w:line="157" w:lineRule="exact"/>
        <w:rPr>
          <w:sz w:val="20"/>
          <w:szCs w:val="20"/>
          <w:color w:val="auto"/>
        </w:rPr>
      </w:pPr>
    </w:p>
    <w:p>
      <w:pPr>
        <w:ind w:left="1540" w:right="40" w:hanging="601"/>
        <w:spacing w:after="0" w:line="258" w:lineRule="auto"/>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214" w:lineRule="exact"/>
        <w:rPr>
          <w:rFonts w:ascii="Arial" w:cs="Arial" w:eastAsia="Arial" w:hAnsi="Arial"/>
          <w:sz w:val="17"/>
          <w:szCs w:val="17"/>
          <w:color w:val="auto"/>
        </w:rPr>
      </w:pPr>
    </w:p>
    <w:p>
      <w:pPr>
        <w:ind w:left="1540" w:right="40" w:hanging="601"/>
        <w:spacing w:after="0" w:line="235"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Item 307 under Regulation S-K, our periodic reports must disclose our conclusions about the effectiveness of our disclosure controls and procedures;</w:t>
      </w:r>
    </w:p>
    <w:p>
      <w:pPr>
        <w:spacing w:after="0" w:line="26" w:lineRule="exact"/>
        <w:rPr>
          <w:rFonts w:ascii="Arial" w:cs="Arial" w:eastAsia="Arial" w:hAnsi="Arial"/>
          <w:sz w:val="18"/>
          <w:szCs w:val="18"/>
          <w:color w:val="auto"/>
        </w:rPr>
      </w:pPr>
    </w:p>
    <w:p>
      <w:pPr>
        <w:ind w:left="1540" w:right="20" w:hanging="601"/>
        <w:spacing w:after="0" w:line="235"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Rule 13a-15 under the Exchange Act, our management must prepare an annual report regarding its assessment of our internal control over financial reporting; and</w:t>
      </w:r>
    </w:p>
    <w:p>
      <w:pPr>
        <w:spacing w:after="0" w:line="229" w:lineRule="exact"/>
        <w:rPr>
          <w:rFonts w:ascii="Arial" w:cs="Arial" w:eastAsia="Arial" w:hAnsi="Arial"/>
          <w:sz w:val="18"/>
          <w:szCs w:val="18"/>
          <w:color w:val="auto"/>
        </w:rPr>
      </w:pPr>
    </w:p>
    <w:p>
      <w:pPr>
        <w:jc w:val="both"/>
        <w:ind w:left="1540" w:right="20" w:hanging="601"/>
        <w:spacing w:after="0" w:line="219"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44" w:lineRule="exact"/>
        <w:rPr>
          <w:sz w:val="20"/>
          <w:szCs w:val="20"/>
          <w:color w:val="auto"/>
        </w:rPr>
      </w:pPr>
    </w:p>
    <w:p>
      <w:pPr>
        <w:jc w:val="both"/>
        <w:ind w:firstLine="939"/>
        <w:spacing w:after="0"/>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under such act. We will continue to monitor our compliance with all regulations that are adopted under the Sarbanes-Oxley Act and will take actions necessary to ensure that we comply with that act.</w:t>
      </w:r>
    </w:p>
    <w:p>
      <w:pPr>
        <w:spacing w:after="0" w:line="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The NASDAQ Global Select Market Corporate Governance Regulations</w:t>
      </w:r>
    </w:p>
    <w:p>
      <w:pPr>
        <w:spacing w:after="0" w:line="162" w:lineRule="exact"/>
        <w:rPr>
          <w:sz w:val="20"/>
          <w:szCs w:val="20"/>
          <w:color w:val="auto"/>
        </w:rPr>
      </w:pPr>
    </w:p>
    <w:p>
      <w:pPr>
        <w:jc w:val="both"/>
        <w:ind w:firstLine="656"/>
        <w:spacing w:after="0" w:line="261" w:lineRule="auto"/>
        <w:rPr>
          <w:sz w:val="20"/>
          <w:szCs w:val="20"/>
          <w:color w:val="auto"/>
        </w:rPr>
      </w:pPr>
      <w:r>
        <w:rPr>
          <w:rFonts w:ascii="Arial" w:cs="Arial" w:eastAsia="Arial" w:hAnsi="Arial"/>
          <w:sz w:val="18"/>
          <w:szCs w:val="18"/>
          <w:color w:val="auto"/>
        </w:rPr>
        <w:t>The NASDAQ Global Select Market has adopted corporate governance regulations with which listed companies must comply. We are in compliance with such corporate governance listing standards applicable to BDCs.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162" w:lineRule="exact"/>
        <w:rPr>
          <w:sz w:val="20"/>
          <w:szCs w:val="20"/>
          <w:color w:val="auto"/>
        </w:rPr>
      </w:pPr>
    </w:p>
    <w:p>
      <w:pPr>
        <w:jc w:val="both"/>
        <w:ind w:firstLine="656"/>
        <w:spacing w:after="0" w:line="253" w:lineRule="auto"/>
        <w:rPr>
          <w:sz w:val="20"/>
          <w:szCs w:val="20"/>
          <w:color w:val="auto"/>
        </w:rPr>
      </w:pPr>
      <w:r>
        <w:rPr>
          <w:rFonts w:ascii="Arial" w:cs="Arial" w:eastAsia="Arial" w:hAnsi="Arial"/>
          <w:sz w:val="17"/>
          <w:szCs w:val="17"/>
          <w:color w:val="auto"/>
        </w:rPr>
        <w:t>We have elected to be treated as a RIC under Subchapter M of the Code. As a RIC, we generally will not be subject to corporate-level U.S. federal income taxes on any income that we distribute to our stockholders. To maintain our tax status as a RIC, we must, among other things, meet certain source-of-income and asset diversification requirements (as described below). In addition, in order to maintain our status as a RIC, we must timely distribute to our stockholders, for each taxable year, at least 90.0%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4.0% nondeductible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corporate-level U.S. federal income tax on our undistributed taxable income and could be subject to U.S. federal excise, state, local and foreign taxes.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162"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to stockholders as dividends. We will be subject to U.S. federal income tax at the regular corporate rates on any income or capital gain not distributed (or deemed distributed) to our stockholders.</w:t>
      </w:r>
    </w:p>
    <w:p>
      <w:pPr>
        <w:spacing w:after="0" w:line="134" w:lineRule="exact"/>
        <w:rPr>
          <w:sz w:val="20"/>
          <w:szCs w:val="20"/>
          <w:color w:val="auto"/>
        </w:rPr>
      </w:pPr>
    </w:p>
    <w:p>
      <w:pPr>
        <w:jc w:val="both"/>
        <w:ind w:firstLine="656"/>
        <w:spacing w:after="0" w:line="262" w:lineRule="auto"/>
        <w:rPr>
          <w:sz w:val="20"/>
          <w:szCs w:val="20"/>
          <w:color w:val="auto"/>
        </w:rPr>
      </w:pPr>
      <w:r>
        <w:rPr>
          <w:rFonts w:ascii="Arial" w:cs="Arial" w:eastAsia="Arial" w:hAnsi="Arial"/>
          <w:sz w:val="17"/>
          <w:szCs w:val="17"/>
          <w:color w:val="auto"/>
        </w:rPr>
        <w:t>We will be subject to a 4.0% nondeductible U.S. federal excise tax on certain undistributed income unless we distribute in a timely manner an amount at least equal to the sum of (1) 98.0% of our investment company taxable income for each calendar year, (2) 98.2% of our capital gain net income for the one-year period ending October 31 in that calendar year (or, if we so elect, for that calendar year) and (3) any income and capital gain net income that we recognized in preceding years, but were not distributed during such years, and on which we paid no U.S. federal income tax.</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maintain our status as a RIC for U.S. federal income tax purposes, we must, among other things:</w:t>
      </w:r>
    </w:p>
    <w:p>
      <w:pPr>
        <w:spacing w:after="0" w:line="198" w:lineRule="exact"/>
        <w:rPr>
          <w:sz w:val="20"/>
          <w:szCs w:val="20"/>
          <w:color w:val="auto"/>
        </w:rPr>
      </w:pPr>
    </w:p>
    <w:p>
      <w:pPr>
        <w:ind w:left="1080" w:right="160" w:hanging="424"/>
        <w:spacing w:after="0" w:line="22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qualify as a BDC or be registered as a management investment company under the 1940 Act at all times during each taxable year;</w:t>
      </w:r>
    </w:p>
    <w:p>
      <w:pPr>
        <w:jc w:val="both"/>
        <w:ind w:left="1080" w:right="160" w:hanging="424"/>
        <w:spacing w:after="0" w:line="211"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derive in each taxable year at least 90.0% of our gross income from dividends, interest, payments with respect to certain securities loans, gains from the sale or other disposition of stock or other securities or foreign currencies, other income derived with respect to our business of investing in such stock, securities or currencies and net income derived from an interest in a “qualified publicly traded partnership” (as defined in Subchapter M of the Code), or the 90% Income Test; and</w:t>
      </w:r>
    </w:p>
    <w:p>
      <w:pPr>
        <w:spacing w:after="0" w:line="1" w:lineRule="exact"/>
        <w:rPr>
          <w:rFonts w:ascii="Arial" w:cs="Arial" w:eastAsia="Arial" w:hAnsi="Arial"/>
          <w:sz w:val="18"/>
          <w:szCs w:val="18"/>
          <w:color w:val="auto"/>
        </w:rPr>
      </w:pPr>
    </w:p>
    <w:p>
      <w:pPr>
        <w:ind w:left="1080" w:hanging="424"/>
        <w:spacing w:after="0" w:line="23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jc w:val="both"/>
        <w:ind w:left="1620" w:right="140" w:hanging="519"/>
        <w:spacing w:after="0" w:line="211"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least 50.0% of the value of our assets consists of cash, cash equivalents, U.S. Government securities, securities of other RICs, and other securities if such other securities of any one issuer do not represent more than 5.0% of the value of our assets or more than 10.0% of the outstanding voting securities of the issuer (which for these purposes includes the equity securities of a “qualified publicly traded partnership”); and</w:t>
      </w:r>
    </w:p>
    <w:p>
      <w:pPr>
        <w:spacing w:after="0" w:line="1" w:lineRule="exact"/>
        <w:rPr>
          <w:rFonts w:ascii="Arial" w:cs="Arial" w:eastAsia="Arial" w:hAnsi="Arial"/>
          <w:sz w:val="18"/>
          <w:szCs w:val="18"/>
          <w:color w:val="auto"/>
        </w:rPr>
      </w:pPr>
    </w:p>
    <w:p>
      <w:pPr>
        <w:jc w:val="both"/>
        <w:ind w:left="1620" w:right="160" w:hanging="519"/>
        <w:spacing w:after="0" w:line="21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 more than 25.0% of the value of our assets is invested in the securities, other than U.S. Government securities or securities of other RICs, (i) of one issuer (ii) of two or more issuers that are controlled, as determined under applicable tax rules, by us and that are engaged in the same or similar or related trades or businesses or (iii) of one or more “qualified publicly traded partnerships,” or the Diversification Tests.</w:t>
      </w:r>
    </w:p>
    <w:p>
      <w:pPr>
        <w:spacing w:after="0" w:line="137" w:lineRule="exact"/>
        <w:rPr>
          <w:sz w:val="20"/>
          <w:szCs w:val="20"/>
          <w:color w:val="auto"/>
        </w:rPr>
      </w:pPr>
    </w:p>
    <w:p>
      <w:pPr>
        <w:jc w:val="both"/>
        <w:ind w:firstLine="656"/>
        <w:spacing w:after="0" w:line="257" w:lineRule="auto"/>
        <w:rPr>
          <w:sz w:val="20"/>
          <w:szCs w:val="20"/>
          <w:color w:val="auto"/>
        </w:rPr>
      </w:pPr>
      <w:r>
        <w:rPr>
          <w:rFonts w:ascii="Arial" w:cs="Arial" w:eastAsia="Arial" w:hAnsi="Arial"/>
          <w:sz w:val="17"/>
          <w:szCs w:val="17"/>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21" w:lineRule="exact"/>
        <w:rPr>
          <w:sz w:val="20"/>
          <w:szCs w:val="20"/>
          <w:color w:val="auto"/>
        </w:rPr>
      </w:pPr>
    </w:p>
    <w:p>
      <w:pPr>
        <w:jc w:val="both"/>
        <w:ind w:firstLine="656"/>
        <w:spacing w:after="0" w:line="239" w:lineRule="auto"/>
        <w:rPr>
          <w:sz w:val="20"/>
          <w:szCs w:val="20"/>
          <w:color w:val="auto"/>
        </w:rPr>
      </w:pPr>
      <w:r>
        <w:rPr>
          <w:rFonts w:ascii="Arial" w:cs="Arial" w:eastAsia="Arial" w:hAnsi="Arial"/>
          <w:sz w:val="18"/>
          <w:szCs w:val="18"/>
          <w:color w:val="auto"/>
        </w:rPr>
        <w:t>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and other taxes, and therefore we can expect to achieve a reduced after-tax yield on such investments.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5" w:name="page26"/>
    <w:bookmarkEnd w:id="25"/>
    <w:p>
      <w:pPr>
        <w:jc w:val="both"/>
        <w:ind w:firstLine="656"/>
        <w:spacing w:after="0" w:line="257" w:lineRule="auto"/>
        <w:rPr>
          <w:sz w:val="20"/>
          <w:szCs w:val="20"/>
          <w:color w:val="auto"/>
        </w:rPr>
      </w:pPr>
      <w:r>
        <w:rPr>
          <w:rFonts w:ascii="Arial" w:cs="Arial" w:eastAsia="Arial" w:hAnsi="Arial"/>
          <w:sz w:val="17"/>
          <w:szCs w:val="17"/>
          <w:color w:val="auto"/>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spacing w:after="0" w:line="121" w:lineRule="exact"/>
        <w:rPr>
          <w:sz w:val="20"/>
          <w:szCs w:val="20"/>
          <w:color w:val="auto"/>
        </w:rPr>
      </w:pPr>
    </w:p>
    <w:p>
      <w:pPr>
        <w:jc w:val="both"/>
        <w:ind w:firstLine="656"/>
        <w:spacing w:after="0"/>
        <w:rPr>
          <w:sz w:val="20"/>
          <w:szCs w:val="20"/>
          <w:color w:val="auto"/>
        </w:rPr>
      </w:pPr>
      <w:r>
        <w:rPr>
          <w:rFonts w:ascii="Arial" w:cs="Arial" w:eastAsia="Arial" w:hAnsi="Arial"/>
          <w:sz w:val="18"/>
          <w:szCs w:val="18"/>
          <w:color w:val="auto"/>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w:t>
      </w:r>
    </w:p>
    <w:p>
      <w:pPr>
        <w:spacing w:after="0" w:line="135" w:lineRule="exact"/>
        <w:rPr>
          <w:sz w:val="20"/>
          <w:szCs w:val="20"/>
          <w:color w:val="auto"/>
        </w:rPr>
      </w:pPr>
    </w:p>
    <w:p>
      <w:pPr>
        <w:jc w:val="both"/>
        <w:ind w:firstLine="656"/>
        <w:spacing w:after="0" w:line="241" w:lineRule="auto"/>
        <w:rPr>
          <w:sz w:val="20"/>
          <w:szCs w:val="20"/>
          <w:color w:val="auto"/>
        </w:rPr>
      </w:pPr>
      <w:r>
        <w:rPr>
          <w:rFonts w:ascii="Arial" w:cs="Arial" w:eastAsia="Arial" w:hAnsi="Arial"/>
          <w:sz w:val="18"/>
          <w:szCs w:val="18"/>
          <w:color w:val="auto"/>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pacing w:after="0" w:line="135" w:lineRule="exact"/>
        <w:rPr>
          <w:sz w:val="20"/>
          <w:szCs w:val="20"/>
          <w:color w:val="auto"/>
        </w:rPr>
      </w:pPr>
    </w:p>
    <w:p>
      <w:pPr>
        <w:jc w:val="both"/>
        <w:ind w:firstLine="656"/>
        <w:spacing w:after="0" w:line="291" w:lineRule="auto"/>
        <w:rPr>
          <w:sz w:val="20"/>
          <w:szCs w:val="20"/>
          <w:color w:val="auto"/>
        </w:rPr>
      </w:pPr>
      <w:r>
        <w:rPr>
          <w:rFonts w:ascii="Arial" w:cs="Arial" w:eastAsia="Arial" w:hAnsi="Arial"/>
          <w:sz w:val="17"/>
          <w:szCs w:val="17"/>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93"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Investments by us in non-U.S. securities may be subject to non-U.S. income, withholding and other taxes, and therefore, our yield on any such securities may be reduced by such non-U.S. taxes. Stockholders will generally not be entitled to claim a credit or deduction with respect to non-U.S. taxes paid by us.</w:t>
      </w:r>
    </w:p>
    <w:p>
      <w:pPr>
        <w:spacing w:after="0" w:line="182" w:lineRule="exact"/>
        <w:rPr>
          <w:sz w:val="20"/>
          <w:szCs w:val="20"/>
          <w:color w:val="auto"/>
        </w:rPr>
      </w:pPr>
    </w:p>
    <w:p>
      <w:pPr>
        <w:jc w:val="both"/>
        <w:ind w:firstLine="656"/>
        <w:spacing w:after="0" w:line="254" w:lineRule="auto"/>
        <w:rPr>
          <w:sz w:val="20"/>
          <w:szCs w:val="20"/>
          <w:color w:val="auto"/>
        </w:rPr>
      </w:pPr>
      <w:r>
        <w:rPr>
          <w:rFonts w:ascii="Arial" w:cs="Arial" w:eastAsia="Arial" w:hAnsi="Arial"/>
          <w:sz w:val="17"/>
          <w:szCs w:val="17"/>
          <w:color w:val="auto"/>
        </w:rPr>
        <w:t>Although we do not presently expect to do so, we are authorized to borrow funds and to sell assets in order to satisfy the Annual Distribution Requirement and to avoid corporate-level U.S. federal income tax and the 4.0%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Moreover, our ability to dispose of assets to satisfy the Annual Distribution Requirement and to avoid corporate-level U.S. federal income tax and the 4.0% U.S. federal excise tax may be limited by (1) the illiquid nature of our portfolio and (2) other requirements relating to our status as a RIC, including the Diversification Tests. If we dispose of assets in order to meet the Annual Distribution Requirement or to avoid corporate-level U.S. federal income tax or the 4.0% U.S. federal excise tax, we may make such dispositions at times that, from an investment standpoint, are not advantageous.</w:t>
      </w:r>
    </w:p>
    <w:p>
      <w:pPr>
        <w:spacing w:after="0" w:line="127"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If we fail to satisfy the Annual Distribution Requirement or otherwise fail to qualify as a RIC in any taxable year, unless certain cure provisions apply, we will be subject to tax in that year on all of our taxable income, regardless of whether we make any distributions to our stockholders. In that case, all of such income will be subject to corporate-level U.S. federal income tax, reducing the amount available to be distributed to our stockholders. See “Failure To Qualify as a RIC” below.</w:t>
      </w:r>
    </w:p>
    <w:p>
      <w:pPr>
        <w:spacing w:after="0" w:line="134" w:lineRule="exact"/>
        <w:rPr>
          <w:sz w:val="20"/>
          <w:szCs w:val="20"/>
          <w:color w:val="auto"/>
        </w:rPr>
      </w:pPr>
    </w:p>
    <w:p>
      <w:pPr>
        <w:jc w:val="both"/>
        <w:ind w:firstLine="656"/>
        <w:spacing w:after="0"/>
        <w:rPr>
          <w:sz w:val="20"/>
          <w:szCs w:val="20"/>
          <w:color w:val="auto"/>
        </w:rPr>
      </w:pPr>
      <w:r>
        <w:rPr>
          <w:rFonts w:ascii="Arial" w:cs="Arial" w:eastAsia="Arial" w:hAnsi="Arial"/>
          <w:sz w:val="18"/>
          <w:szCs w:val="18"/>
          <w:color w:val="auto"/>
        </w:rPr>
        <w:t>As a RIC, we are not allowed to carry forward or carry back a net operating loss for purposes of computing our investment company taxable income in other taxable years. U.S. federal income tax law generally permits a RIC to carry forward (i) the excess of its net short-term capital loss over its net long-term capital gain for a given year as a short-term capital loss arising on the first day of the following year and (ii) the excess of its net long-term capital loss over its net short-term capital gain for a given year as a long- term capital loss arising on the first day of the following year. However, future transactions in which we may engage could cause our ability to use any capital loss carryforwards, and unrealized losses once realized, to be limited under Section 382 of the Code.</w:t>
      </w:r>
    </w:p>
    <w:p>
      <w:pPr>
        <w:spacing w:after="0" w:line="135" w:lineRule="exact"/>
        <w:rPr>
          <w:sz w:val="20"/>
          <w:szCs w:val="20"/>
          <w:color w:val="auto"/>
        </w:rPr>
      </w:pPr>
    </w:p>
    <w:p>
      <w:pPr>
        <w:jc w:val="both"/>
        <w:ind w:firstLine="656"/>
        <w:spacing w:after="0" w:line="239" w:lineRule="auto"/>
        <w:rPr>
          <w:sz w:val="20"/>
          <w:szCs w:val="20"/>
          <w:color w:val="auto"/>
        </w:rPr>
      </w:pPr>
      <w:r>
        <w:rPr>
          <w:rFonts w:ascii="Arial" w:cs="Arial" w:eastAsia="Arial" w:hAnsi="Arial"/>
          <w:sz w:val="18"/>
          <w:szCs w:val="18"/>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w:t>
      </w:r>
    </w:p>
    <w:p>
      <w:pPr>
        <w:spacing w:after="0" w:line="137" w:lineRule="exact"/>
        <w:rPr>
          <w:sz w:val="20"/>
          <w:szCs w:val="20"/>
          <w:color w:val="auto"/>
        </w:rPr>
      </w:pPr>
    </w:p>
    <w:p>
      <w:pPr>
        <w:jc w:val="both"/>
        <w:ind w:firstLine="656"/>
        <w:spacing w:after="0" w:line="244" w:lineRule="auto"/>
        <w:rPr>
          <w:sz w:val="20"/>
          <w:szCs w:val="20"/>
          <w:color w:val="auto"/>
        </w:rPr>
      </w:pPr>
      <w:r>
        <w:rPr>
          <w:rFonts w:ascii="Arial" w:cs="Arial" w:eastAsia="Arial" w:hAnsi="Arial"/>
          <w:sz w:val="18"/>
          <w:szCs w:val="18"/>
          <w:color w:val="auto"/>
        </w:rPr>
        <w:t>As described above, to the extent that we invest in equity securities of entities that are treated as partnerships for U.S. federal income tax purposes, the effect of such investments for purposes of the 90% Income Test and the Diversification Tests will depend on</w:t>
      </w: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6" w:name="page27"/>
    <w:bookmarkEnd w:id="26"/>
    <w:p>
      <w:pPr>
        <w:jc w:val="both"/>
        <w:spacing w:after="0" w:line="239" w:lineRule="auto"/>
        <w:rPr>
          <w:sz w:val="20"/>
          <w:szCs w:val="20"/>
          <w:color w:val="auto"/>
        </w:rPr>
      </w:pPr>
      <w:r>
        <w:rPr>
          <w:rFonts w:ascii="Arial" w:cs="Arial" w:eastAsia="Arial" w:hAnsi="Arial"/>
          <w:sz w:val="18"/>
          <w:szCs w:val="18"/>
          <w:color w:val="auto"/>
        </w:rPr>
        <w:t>whether or not the partnership is a “qualified publicly traded partnership” (as defined in Subchapter M of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then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tax treatment as a RIC. We intend to monitor our investments in equity securities of entities that are treated as partnerships for U.S. federal income tax purposes to prevent our disqualification as a RIC.</w:t>
      </w:r>
    </w:p>
    <w:p>
      <w:pPr>
        <w:spacing w:after="0" w:line="137"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We may invest in preferred securities or other securities the U.S. federal income tax treatment of which may not be clear or may be subject to recharacterization by the Internal Revenue Service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 under Subchapter M of the Code.</w:t>
      </w:r>
    </w:p>
    <w:p>
      <w:pPr>
        <w:spacing w:after="0" w:line="134" w:lineRule="exact"/>
        <w:rPr>
          <w:sz w:val="20"/>
          <w:szCs w:val="20"/>
          <w:color w:val="auto"/>
        </w:rPr>
      </w:pPr>
    </w:p>
    <w:p>
      <w:pPr>
        <w:jc w:val="both"/>
        <w:ind w:firstLine="656"/>
        <w:spacing w:after="0" w:line="268" w:lineRule="auto"/>
        <w:rPr>
          <w:sz w:val="20"/>
          <w:szCs w:val="20"/>
          <w:color w:val="auto"/>
        </w:rPr>
      </w:pPr>
      <w:r>
        <w:rPr>
          <w:rFonts w:ascii="Arial" w:cs="Arial" w:eastAsia="Arial" w:hAnsi="Arial"/>
          <w:sz w:val="16"/>
          <w:szCs w:val="16"/>
          <w:color w:val="auto"/>
        </w:rPr>
        <w:t>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21" w:lineRule="exact"/>
        <w:rPr>
          <w:sz w:val="20"/>
          <w:szCs w:val="20"/>
          <w:color w:val="auto"/>
        </w:rPr>
      </w:pPr>
    </w:p>
    <w:p>
      <w:pPr>
        <w:jc w:val="both"/>
        <w:ind w:firstLine="656"/>
        <w:spacing w:after="0" w:line="253" w:lineRule="auto"/>
        <w:rPr>
          <w:sz w:val="20"/>
          <w:szCs w:val="20"/>
          <w:color w:val="auto"/>
        </w:rPr>
      </w:pPr>
      <w:r>
        <w:rPr>
          <w:rFonts w:ascii="Arial" w:cs="Arial" w:eastAsia="Arial" w:hAnsi="Arial"/>
          <w:sz w:val="17"/>
          <w:szCs w:val="17"/>
          <w:color w:val="auto"/>
        </w:rPr>
        <w:t>We may decide to retain some or all of our long-term capital gains in excess of the amount required to satisfy the Annual Distribution Requirement, but designate the retained amount as a “deemed distribution.” In that case, among other consequences, we will pay tax on the retained amount on behalf of the stockholders. Each U.S. stockholder will be required to include his, her or its share of the deemed distribution in income as if it had been actually distributed to the U.S. stockholder, and the stockholder will be entitled to claim a credit equal to his, her or its allocable share of the tax paid thereon by us. Since non-U.S. stockholders generally would not have U.S. tax liability with respect to the deemed capital gain distribution, they would not be entitled to credit the tax paid by us for U.S. tax purposes. Whether non-U.S. stockholders could claim a credit with respect to their non-U.S. tax liability will depend on the foreign tax credit rules of the country in which they are a resident.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RIC Tax Treatment</w:t>
      </w:r>
    </w:p>
    <w:p>
      <w:pPr>
        <w:spacing w:after="0" w:line="162" w:lineRule="exact"/>
        <w:rPr>
          <w:sz w:val="20"/>
          <w:szCs w:val="20"/>
          <w:color w:val="auto"/>
        </w:rPr>
      </w:pPr>
    </w:p>
    <w:p>
      <w:pPr>
        <w:jc w:val="both"/>
        <w:ind w:firstLine="656"/>
        <w:spacing w:after="0" w:line="248"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cure provisions are applicable (which may, among other things, require us to pay certain corporate-level U.S. federal taxes or to dispose of certain assets).</w:t>
      </w:r>
    </w:p>
    <w:p>
      <w:pPr>
        <w:spacing w:after="0" w:line="128" w:lineRule="exact"/>
        <w:rPr>
          <w:sz w:val="20"/>
          <w:szCs w:val="20"/>
          <w:color w:val="auto"/>
        </w:rPr>
      </w:pPr>
    </w:p>
    <w:p>
      <w:pPr>
        <w:jc w:val="both"/>
        <w:ind w:firstLine="656"/>
        <w:spacing w:after="0" w:line="276" w:lineRule="auto"/>
        <w:rPr>
          <w:sz w:val="20"/>
          <w:szCs w:val="20"/>
          <w:color w:val="auto"/>
        </w:rPr>
      </w:pPr>
      <w:r>
        <w:rPr>
          <w:rFonts w:ascii="Arial" w:cs="Arial" w:eastAsia="Arial" w:hAnsi="Arial"/>
          <w:sz w:val="16"/>
          <w:szCs w:val="16"/>
          <w:color w:val="auto"/>
        </w:rPr>
        <w:t>If we were unable to maintain our tax treatment as a RIC, we would be subject to tax on all of our taxable income at regular corporate rates. We would not be able to deduct distributions to stockholders, nor would distributions be compulsory. Distributions would generally be taxable to our stockholders as dividend income to the extent of our current and accumulated earnings and profits (in the case of non-corporate U.S. stockholders, at a maximum U.S. federal income tax rate applicable to qualified dividend income of 20.0%). Subject to certain limitations under Subchapter M of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07"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18"/>
          <w:szCs w:val="18"/>
          <w:color w:val="auto"/>
        </w:rPr>
        <w:t>If we fail to qualify as a RIC for two or more taxable years, to qualify as a RIC in a subsequent year we may be subject to regular corporate-level U.S. federal income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firstLine="469"/>
        <w:spacing w:after="0" w:line="279" w:lineRule="auto"/>
        <w:rPr>
          <w:sz w:val="20"/>
          <w:szCs w:val="20"/>
          <w:color w:val="auto"/>
        </w:rPr>
      </w:pPr>
      <w:r>
        <w:rPr>
          <w:rFonts w:ascii="Arial" w:cs="Arial" w:eastAsia="Arial" w:hAnsi="Arial"/>
          <w:sz w:val="16"/>
          <w:szCs w:val="16"/>
          <w:i w:val="1"/>
          <w:iCs w:val="1"/>
          <w:color w:val="auto"/>
        </w:rPr>
        <w:t>Investing in our securities involves a number of significant risks. You should carefully consider these risk factors, together with all of the other information included in this Annual Report and other reports and documents filed by us with the SEC.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common stock could decline, and you may lose all or part of your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of the principal risks that you should carefully consider before investing in our securities. These and other risk factors are described more fully in this “Item 1A. Risk Factors.”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1"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 which could reduce returns and result in losses.</w:t>
      </w: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potential conflicts of interest related to obligations that our investment advisor may have to other clients.</w:t>
      </w: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conflicts related to other arrangements with our investment advisor.</w:t>
      </w: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Funds are licensed by the SBA, and, therefore, are subject to SBA regulations.</w:t>
      </w: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SBA regulations limit the amount of SBA-guaranteed debt that may be borrowed by an SBIC.</w:t>
      </w: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relating to the LIBOR calculation process may adversely affect the value of our portfolio of LIBOR-indexed, floating-rate debt securities.</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economic, political and market conditions may adversely affect our business, results of operations and financial condition, including our revenue growth and profitability.</w:t>
      </w:r>
    </w:p>
    <w:p>
      <w:pPr>
        <w:spacing w:after="0" w:line="1" w:lineRule="exact"/>
        <w:rPr>
          <w:rFonts w:ascii="Arial" w:cs="Arial" w:eastAsia="Arial" w:hAnsi="Arial"/>
          <w:sz w:val="18"/>
          <w:szCs w:val="18"/>
          <w:color w:val="auto"/>
        </w:rPr>
      </w:pPr>
    </w:p>
    <w:p>
      <w:pPr>
        <w:ind w:left="760" w:right="2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Events outside of our control, including public health crises such as the ongoing COVID-19 pandemic, may negatively affect our results of operations and financial performance.</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currently operating in a period of capital markets disruption and economic uncertainty.</w:t>
      </w: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choose to pay dividends in our own stock, in which case you may be required to pay tax in excess of the cash you receive.</w:t>
      </w: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and external cyber threats, as well as other disasters, could impair our ability to conduct business effectively.</w:t>
      </w:r>
    </w:p>
    <w:p>
      <w:pPr>
        <w:ind w:left="760" w:hanging="378"/>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Public health threats may impact the businesses in which we invest and affect our business, operating results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Investments</w:t>
      </w:r>
    </w:p>
    <w:p>
      <w:pPr>
        <w:spacing w:after="0" w:line="16"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141"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investments in portfolio companies may be risky, and we could lose all or part of our investment.</w:t>
      </w:r>
    </w:p>
    <w:p>
      <w:pPr>
        <w:spacing w:after="0" w:line="1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have the funds to make additional investments in our portfolio companies which could impair the value of our portfolio.</w:t>
      </w:r>
    </w:p>
    <w:p>
      <w:pPr>
        <w:spacing w:after="0" w:line="141"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Defaults by our portfolio companies will harm our operating results.</w:t>
      </w:r>
    </w:p>
    <w:p>
      <w:pPr>
        <w:spacing w:after="0" w:line="11" w:lineRule="exact"/>
        <w:rPr>
          <w:rFonts w:ascii="Arial" w:cs="Arial" w:eastAsia="Arial" w:hAnsi="Arial"/>
          <w:sz w:val="18"/>
          <w:szCs w:val="18"/>
          <w:color w:val="auto"/>
        </w:rPr>
      </w:pPr>
    </w:p>
    <w:p>
      <w:pPr>
        <w:ind w:left="760" w:hanging="378"/>
        <w:spacing w:after="0" w:line="243"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a non-diversified investment company within the meaning of the 1940 Act; therefore we are not limited with respect to the proportion of our assets that may be invested in securities of a single issuer.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6"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Shares of closed-end investment companies, including business development companies, frequently trade at a discount to their net asset value.</w:t>
      </w:r>
    </w:p>
    <w:p>
      <w:pPr>
        <w:spacing w:after="0" w:line="164" w:lineRule="exact"/>
        <w:rPr>
          <w:rFonts w:ascii="Arial" w:cs="Arial" w:eastAsia="Arial" w:hAnsi="Arial"/>
          <w:sz w:val="16"/>
          <w:szCs w:val="16"/>
          <w:color w:val="auto"/>
        </w:rPr>
      </w:pPr>
    </w:p>
    <w:p>
      <w:pPr>
        <w:ind w:left="76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in the future, we sell common stock at a discount to our net asset value per share, stockholders who do not participate in such sale will experience immediate dilution in an amount that may be material.</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8" w:name="page29"/>
    <w:bookmarkEnd w:id="28"/>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net asset value may have changed significantly since our last valuation.</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price of our securities may fluctuate significantly.</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substantial amounts of our common stock may have an adverse effect on the market price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128"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7"/>
          <w:szCs w:val="17"/>
          <w:color w:val="auto"/>
        </w:rPr>
        <w:t>We depend on the investment expertise, skill and network of business contacts of the managing members of our investment advisor, who evaluate, negotiate, structure, execute and monitor our investments. Our future success will depend to a significant extent on the continued service and coordination of the investment professionals of our investment advisor and executive officers. Certain investment professionals and executives may not devote all of their business time to our operations and may have other demands on their time as a result of other activities. The departure of any of these individuals could have a material adverse effect on our ability to achieve our investment objective.</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business model depends, to a significant extent, upon strong referral relationships with financial institutions, sponsors and investment professionals. Any inability of our investment advisor to maintain or develop these relationships, or the failure of these relationships to generate investment opportunities, could adversely affect our business.</w:t>
      </w:r>
    </w:p>
    <w:p>
      <w:pPr>
        <w:spacing w:after="0" w:line="128"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We depend upon the investment professionals of our investment advisor to maintain their relationships with financial institutions, sponsors and other investment professionals, and we intend to rely to a significant extent upon these relationships to provide us with potential investment opportunities. If the investment professionals of our investment advisor fail to maintain such relationships, or to develop new relationships with other sources of investment opportunities, we will not be able to grow our investment portfolio. In addition, individuals with whom the investment professionals of our investment advisor have relationships are not obligated to provide us with investment opportunities, and, therefore, we can offer no assurance that these relationships will generate investment opportunities for us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 depends on our ability to manage our business effectively.</w:t>
      </w:r>
    </w:p>
    <w:p>
      <w:pPr>
        <w:spacing w:after="0" w:line="158" w:lineRule="exact"/>
        <w:rPr>
          <w:sz w:val="20"/>
          <w:szCs w:val="20"/>
          <w:color w:val="auto"/>
        </w:rPr>
      </w:pPr>
    </w:p>
    <w:p>
      <w:pPr>
        <w:jc w:val="both"/>
        <w:ind w:firstLine="478"/>
        <w:spacing w:after="0" w:line="274" w:lineRule="auto"/>
        <w:rPr>
          <w:sz w:val="20"/>
          <w:szCs w:val="20"/>
          <w:color w:val="auto"/>
        </w:rPr>
      </w:pPr>
      <w:r>
        <w:rPr>
          <w:rFonts w:ascii="Arial" w:cs="Arial" w:eastAsia="Arial" w:hAnsi="Arial"/>
          <w:sz w:val="16"/>
          <w:szCs w:val="16"/>
          <w:color w:val="auto"/>
        </w:rPr>
        <w:t>Our ability to achieve our investment objective and grow depends on our ability to manage our business and deploy our capital effectively. This depends, in turn, on our investment advisor’s ability to identify, evaluate and monitor companies that meet our investment criteria. Accomplishing our investment objectives on a cost-effective basis depends upon our investment advisor’s execution of our investment process, its ability to provide competent, attentive and efficient services to us and, to a lesser extent, our ability to access financing on acceptable terms. Our investment advisor has substantial responsibilities under the Investment Advisory Agreement. In addition, our investment advisor’s investment professionals may be called upon to provide managerial assistance to our portfolio companies. These activities may distract them or slow our rate of investment. Any failure to manage our business and our future growth effectively could have a material adverse effect on our business,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credit losses and our investments could be rated below investment grade.</w:t>
      </w:r>
    </w:p>
    <w:p>
      <w:pPr>
        <w:spacing w:after="0" w:line="158"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Private debt in the form of second lien, subordinated, and first lien loans (senior secured or unitranche loans) to corporate and asset-based borrowers is highly speculative and involves a high degree of risk of credit loss, and therefore an investment in our shares of common stock may not be suitable for someone with a low tolerance for risk. These risks are likely to increase during an economic recession.</w:t>
      </w:r>
    </w:p>
    <w:p>
      <w:pPr>
        <w:spacing w:after="0" w:line="128"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In addition, investments in our portfolio are typically not rated by any rating agency. We believe that if such investments were rated, the vast majority would be rated below investment grade (which is sometimes referred to as “junk”) due to speculative characteristics of the issuer’s capacity to pay interest and repay principal. Our investments may result in an amount of risk, volatility or potential loss of principal that is greater than that of alternative investments.</w:t>
      </w:r>
    </w:p>
    <w:p>
      <w:pPr>
        <w:spacing w:after="0" w:line="1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Because we borrow money and may in the future issue additional senior securities, including preferred stock and debt securities, the potential for gain or loss on amounts invested in us is magnified and may increase the risk of investing in us.</w:t>
      </w:r>
    </w:p>
    <w:p>
      <w:pPr>
        <w:spacing w:after="0" w:line="117"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Borrowings, also known as leverage, magnify the potential for gain or loss on amounts invested and, therefore, increase the risks associated with investing in us. The Funds borrow from and issue debt securities to the SBA, and we may borrow from banks and other lenders in the future. The SBA has fixed dollar claims on the Funds’ assets that are superior to the claims of our stockholders. We may also borrow from banks and other lenders or issue additional senior securities including preferred stock and debt securities in the future. If the value of our assets increases, then leveraging would cause the net asset value attributable to our common stock to increase more sharply than it would have had we not used leverage. Conversely, if the value of our assets decreases, leveraging would cause net asset</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jc w:val="both"/>
        <w:spacing w:after="0" w:line="243" w:lineRule="auto"/>
        <w:rPr>
          <w:sz w:val="20"/>
          <w:szCs w:val="20"/>
          <w:color w:val="auto"/>
        </w:rPr>
      </w:pPr>
      <w:r>
        <w:rPr>
          <w:rFonts w:ascii="Arial" w:cs="Arial" w:eastAsia="Arial" w:hAnsi="Arial"/>
          <w:sz w:val="18"/>
          <w:szCs w:val="18"/>
          <w:color w:val="auto"/>
        </w:rPr>
        <w:t>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distributions to our stockholders. Leverage is generally considered a speculative investment technique.</w:t>
      </w:r>
    </w:p>
    <w:p>
      <w:pPr>
        <w:spacing w:after="0" w:line="134" w:lineRule="exact"/>
        <w:rPr>
          <w:sz w:val="20"/>
          <w:szCs w:val="20"/>
          <w:color w:val="auto"/>
        </w:rPr>
      </w:pPr>
    </w:p>
    <w:p>
      <w:pPr>
        <w:jc w:val="both"/>
        <w:ind w:right="20" w:firstLine="478"/>
        <w:spacing w:after="0" w:line="261" w:lineRule="auto"/>
        <w:rPr>
          <w:sz w:val="20"/>
          <w:szCs w:val="20"/>
          <w:color w:val="auto"/>
        </w:rPr>
      </w:pPr>
      <w:r>
        <w:rPr>
          <w:rFonts w:ascii="Arial" w:cs="Arial" w:eastAsia="Arial" w:hAnsi="Arial"/>
          <w:sz w:val="18"/>
          <w:szCs w:val="18"/>
          <w:color w:val="auto"/>
        </w:rPr>
        <w:t>Our ability to achieve our investment objectives may depend in part on our ability to achieve additional leverage on favorable terms by borrowing from the SBA, banks or other lenders, and there can be no assurance that such additional leverage can in fact be achieved.</w:t>
      </w:r>
    </w:p>
    <w:p>
      <w:pPr>
        <w:spacing w:after="0" w:line="117" w:lineRule="exact"/>
        <w:rPr>
          <w:sz w:val="20"/>
          <w:szCs w:val="20"/>
          <w:color w:val="auto"/>
        </w:rPr>
      </w:pPr>
    </w:p>
    <w:p>
      <w:pPr>
        <w:jc w:val="both"/>
        <w:ind w:firstLine="478"/>
        <w:spacing w:after="0" w:line="262" w:lineRule="auto"/>
        <w:rPr>
          <w:sz w:val="20"/>
          <w:szCs w:val="20"/>
          <w:color w:val="auto"/>
        </w:rPr>
      </w:pPr>
      <w:r>
        <w:rPr>
          <w:rFonts w:ascii="Arial" w:cs="Arial" w:eastAsia="Arial" w:hAnsi="Arial"/>
          <w:sz w:val="17"/>
          <w:szCs w:val="17"/>
          <w:color w:val="auto"/>
        </w:rPr>
        <w:t>As a BDC, we are generally required to meet a coverage ratio at least equal to 150.0% of total assets to total borrowings and other senior securities, which include all of our borrowings (other than the Funds’ SBA leverage under the terms of SEC exemptive relief) and any preferred stock we may issue in the future. If this ratio declines below 150.0%, we may not be able to incur additional debt and may need to sell a portion of our investments to repay some debt when it is disadvantageous to do so, and we may not be able to make distributions to our stockholders.</w:t>
      </w:r>
    </w:p>
    <w:p>
      <w:pPr>
        <w:spacing w:after="0" w:line="118"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7"/>
          <w:szCs w:val="17"/>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in the table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700" w:type="dxa"/>
            <w:vAlign w:val="bottom"/>
            <w:gridSpan w:val="7"/>
          </w:tcPr>
          <w:p>
            <w:pPr>
              <w:jc w:val="right"/>
              <w:ind w:right="39"/>
              <w:spacing w:after="0"/>
              <w:rPr>
                <w:sz w:val="20"/>
                <w:szCs w:val="20"/>
                <w:color w:val="auto"/>
              </w:rPr>
            </w:pPr>
            <w:r>
              <w:rPr>
                <w:rFonts w:ascii="Arial" w:cs="Arial" w:eastAsia="Arial" w:hAnsi="Arial"/>
                <w:sz w:val="16"/>
                <w:szCs w:val="16"/>
                <w:b w:val="1"/>
                <w:bCs w:val="1"/>
                <w:color w:val="auto"/>
              </w:rPr>
              <w:t>Assumed Return on Our Portfolio</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9"/>
        </w:trPr>
        <w:tc>
          <w:tcPr>
            <w:tcW w:w="4220" w:type="dxa"/>
            <w:vAlign w:val="bottom"/>
            <w:shd w:val="clear" w:color="auto" w:fill="CCEEFF"/>
          </w:tcPr>
          <w:p>
            <w:pPr>
              <w:spacing w:after="0"/>
              <w:rPr>
                <w:sz w:val="16"/>
                <w:szCs w:val="16"/>
                <w:color w:val="auto"/>
              </w:rPr>
            </w:pPr>
          </w:p>
        </w:tc>
        <w:tc>
          <w:tcPr>
            <w:tcW w:w="2700" w:type="dxa"/>
            <w:vAlign w:val="bottom"/>
            <w:gridSpan w:val="7"/>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(Net of Expenses)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9"/>
        </w:trPr>
        <w:tc>
          <w:tcPr>
            <w:tcW w:w="4220" w:type="dxa"/>
            <w:vAlign w:val="bottom"/>
          </w:tcPr>
          <w:p>
            <w:pPr>
              <w:spacing w:after="0"/>
              <w:rPr>
                <w:sz w:val="16"/>
                <w:szCs w:val="16"/>
                <w:color w:val="auto"/>
              </w:rPr>
            </w:pPr>
          </w:p>
        </w:tc>
        <w:tc>
          <w:tcPr>
            <w:tcW w:w="1260" w:type="dxa"/>
            <w:vAlign w:val="bottom"/>
            <w:gridSpan w:val="3"/>
          </w:tcPr>
          <w:p>
            <w:pPr>
              <w:ind w:left="540"/>
              <w:spacing w:after="0"/>
              <w:rPr>
                <w:sz w:val="20"/>
                <w:szCs w:val="20"/>
                <w:color w:val="auto"/>
              </w:rPr>
            </w:pPr>
            <w:r>
              <w:rPr>
                <w:rFonts w:ascii="Arial" w:cs="Arial" w:eastAsia="Arial" w:hAnsi="Arial"/>
                <w:sz w:val="16"/>
                <w:szCs w:val="16"/>
                <w:b w:val="1"/>
                <w:bCs w:val="1"/>
                <w:color w:val="auto"/>
              </w:rPr>
              <w:t>(10.0 ) %</w:t>
            </w:r>
          </w:p>
        </w:tc>
        <w:tc>
          <w:tcPr>
            <w:tcW w:w="14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(5.0 ) %</w:t>
            </w:r>
          </w:p>
        </w:tc>
        <w:tc>
          <w:tcPr>
            <w:tcW w:w="1420" w:type="dxa"/>
            <w:vAlign w:val="bottom"/>
            <w:gridSpan w:val="4"/>
          </w:tcPr>
          <w:p>
            <w:pPr>
              <w:jc w:val="right"/>
              <w:spacing w:after="0"/>
              <w:rPr>
                <w:sz w:val="20"/>
                <w:szCs w:val="20"/>
                <w:color w:val="auto"/>
              </w:rPr>
            </w:pPr>
            <w:r>
              <w:rPr>
                <w:rFonts w:ascii="Arial" w:cs="Arial" w:eastAsia="Arial" w:hAnsi="Arial"/>
                <w:sz w:val="16"/>
                <w:szCs w:val="16"/>
                <w:b w:val="1"/>
                <w:bCs w:val="1"/>
                <w:color w:val="auto"/>
              </w:rPr>
              <w:t>0.0 %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5.0</w:t>
            </w:r>
          </w:p>
        </w:tc>
        <w:tc>
          <w:tcPr>
            <w:tcW w:w="3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w:t>
            </w:r>
          </w:p>
        </w:tc>
        <w:tc>
          <w:tcPr>
            <w:tcW w:w="3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r>
      <w:tr>
        <w:trPr>
          <w:trHeight w:val="183"/>
        </w:trPr>
        <w:tc>
          <w:tcPr>
            <w:tcW w:w="42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 xml:space="preserve">Corresponding return to common stockholder </w:t>
            </w:r>
            <w:r>
              <w:rPr>
                <w:rFonts w:ascii="Arial" w:cs="Arial" w:eastAsia="Arial" w:hAnsi="Arial"/>
                <w:sz w:val="21"/>
                <w:szCs w:val="21"/>
                <w:color w:val="auto"/>
                <w:vertAlign w:val="superscript"/>
              </w:rPr>
              <w:t>(1)</w:t>
            </w:r>
          </w:p>
        </w:tc>
        <w:tc>
          <w:tcPr>
            <w:tcW w:w="900" w:type="dxa"/>
            <w:vAlign w:val="bottom"/>
            <w:tcBorders>
              <w:top w:val="single" w:sz="8" w:color="auto"/>
            </w:tcBorders>
            <w:shd w:val="clear" w:color="auto" w:fill="CCEEFF"/>
          </w:tcPr>
          <w:p>
            <w:pPr>
              <w:ind w:left="540"/>
              <w:spacing w:after="0" w:line="183" w:lineRule="exact"/>
              <w:rPr>
                <w:sz w:val="20"/>
                <w:szCs w:val="20"/>
                <w:color w:val="auto"/>
              </w:rPr>
            </w:pPr>
            <w:r>
              <w:rPr>
                <w:rFonts w:ascii="Arial" w:cs="Arial" w:eastAsia="Arial" w:hAnsi="Arial"/>
                <w:sz w:val="16"/>
                <w:szCs w:val="16"/>
                <w:color w:val="auto"/>
                <w:w w:val="93"/>
              </w:rPr>
              <w:t>(21.3</w:t>
            </w:r>
          </w:p>
        </w:tc>
        <w:tc>
          <w:tcPr>
            <w:tcW w:w="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98"/>
              </w:rPr>
              <w:t>%</w:t>
            </w:r>
          </w:p>
        </w:tc>
        <w:tc>
          <w:tcPr>
            <w:tcW w:w="18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98"/>
              </w:rPr>
              <w:t>%</w:t>
            </w:r>
          </w:p>
        </w:tc>
        <w:tc>
          <w:tcPr>
            <w:tcW w:w="18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4"/>
              </w:rPr>
              <w:t>%</w:t>
            </w:r>
          </w:p>
        </w:tc>
        <w:tc>
          <w:tcPr>
            <w:tcW w:w="18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w:t>
            </w:r>
          </w:p>
        </w:tc>
        <w:tc>
          <w:tcPr>
            <w:tcW w:w="4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15.5</w:t>
            </w:r>
          </w:p>
        </w:tc>
        <w:tc>
          <w:tcPr>
            <w:tcW w:w="4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r>
    </w:tbl>
    <w:p>
      <w:pPr>
        <w:spacing w:after="0" w:line="184" w:lineRule="exact"/>
        <w:rPr>
          <w:sz w:val="20"/>
          <w:szCs w:val="20"/>
          <w:color w:val="auto"/>
        </w:rPr>
      </w:pPr>
    </w:p>
    <w:p>
      <w:pPr>
        <w:ind w:left="360" w:right="460" w:hanging="339"/>
        <w:spacing w:after="0" w:line="253" w:lineRule="auto"/>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Assumes $897,185 in total assets, $107,000 in outstanding SBA debentures, zero borrowings under the Credit Facility (as defined below), $17,637 in Secured Borrowings, $250,000 outstanding of our Notes, $487,764 in net assets as of December 31, 2021, and an average cost of funds of 3.724%.</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Effective April 29, 2020, our asset coverage requirement was reduced from 200% to 150%, which could increase the risk of investing in the Company.</w:t>
      </w:r>
    </w:p>
    <w:p>
      <w:pPr>
        <w:spacing w:after="0" w:line="23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The 1940 Act generally prohibits the Company from incurring indebtedness unless immediately after such borrowing we have an asset coverage for total borrowings of at least 200.0% (i.e., the amount of debt may not exceed 50.0% of the value of our assets). However, in March 2018, the Small Business Credit Availability Act (“the “SBCA”) modified the 1940 Act by allowing a BDC to increase the maximum amount of leverage it may incur from an asset coverage ratio of 200.0% to an asset coverage ratio of 150.0%, if certain requirements under the 1940 Act are met. On April 29, 2019, our Board, including a majority of the non-interested directors, approved a minimum asset coverage ratio of 150% as set forth in Section 61(a)(2) of the 1940 Act. As a result, we are subject to the 150% asset coverage ratio, effective as of April 29, 2020. We are required to make certain disclosures on our website and in SEC filings regarding, among other things, the receipt of approval to increase our leverage, our leverage capacity and usage, and risks related to leverage.</w:t>
      </w:r>
    </w:p>
    <w:p>
      <w:pPr>
        <w:spacing w:after="0" w:line="15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Leverage is generally considered a speculative investment technique and increases the risk of investing in our securities. Leverage magnifies the potential for loss on investments in our indebtedness and on invested equity capital. As we use leverage to partially finance our investments, our stockholders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Increased leverage may also cause a downgrade of our credit rating. Leverage is generally considered a speculative investment technique.</w:t>
      </w:r>
    </w:p>
    <w:p>
      <w:pPr>
        <w:spacing w:after="0" w:line="11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All of our portfolio investments are recorded at fair value as determined in good faith by our board of directors, and, as a result, there is uncertainty as to the value of our portfolio investments and the valuation process for certain of our portfolio holdings creates a conflict of interest.</w:t>
      </w:r>
    </w:p>
    <w:p>
      <w:pPr>
        <w:spacing w:after="0" w:line="70"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color w:val="auto"/>
        </w:rPr>
        <w:t>All of our portfolio investments take the form of debt and equity securities that are not publicly-traded. The debt and equity securities in which we invest for which market quotations are not readily available are valued at fair value as determined in good faith by our board of directors. As part of the valuation process, we may take into account the following types of factors, if relevant, in determining the fair value of our investments:</w:t>
      </w:r>
    </w:p>
    <w:p>
      <w:pPr>
        <w:spacing w:after="0" w:line="31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ind w:left="1060" w:hanging="40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comparable publicly-traded securities;</w:t>
      </w:r>
    </w:p>
    <w:p>
      <w:pPr>
        <w:spacing w:after="0" w:line="11" w:lineRule="exact"/>
        <w:rPr>
          <w:rFonts w:ascii="Arial" w:cs="Arial" w:eastAsia="Arial" w:hAnsi="Arial"/>
          <w:sz w:val="18"/>
          <w:szCs w:val="18"/>
          <w:color w:val="auto"/>
        </w:rPr>
      </w:pPr>
    </w:p>
    <w:p>
      <w:pPr>
        <w:ind w:left="1060" w:hanging="404"/>
        <w:spacing w:after="0" w:line="23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enterprise value of a portfolio company;</w:t>
      </w:r>
    </w:p>
    <w:p>
      <w:pPr>
        <w:ind w:left="1060" w:hanging="404"/>
        <w:spacing w:after="0" w:line="23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ind w:left="1060" w:hanging="404"/>
        <w:spacing w:after="0" w:line="23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portfolio company’s ability to make payments and its earnings and discounted cash flow;</w:t>
      </w:r>
    </w:p>
    <w:p>
      <w:pPr>
        <w:ind w:left="1060" w:hanging="404"/>
        <w:spacing w:after="0" w:line="23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 and</w:t>
      </w:r>
    </w:p>
    <w:p>
      <w:pPr>
        <w:ind w:left="1060" w:right="380" w:hanging="404"/>
        <w:spacing w:after="0" w:line="226"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interest rate environment and the credit markets generally that may affect the price at which similar investments may be made in the future and other relevant factors.</w:t>
      </w:r>
    </w:p>
    <w:p>
      <w:pPr>
        <w:spacing w:after="0" w:line="134"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7"/>
          <w:szCs w:val="17"/>
          <w:color w:val="auto"/>
        </w:rPr>
        <w:t>The fair value of each investment in our portfolio is determined quarterly by our board of directors. Any changes in fair value of portfolio securities from the prior period are recorded in our consolidated statement of operations as net change in unrealized appreciation or depreciation.</w:t>
      </w:r>
    </w:p>
    <w:p>
      <w:pPr>
        <w:spacing w:after="0" w:line="93"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In connection with that determination, investment professionals from our investment advisor prepare portfolio company valuations based upon the most recent portfolio company financial statements available and projected financial results of each portfolio company. In addition, certain members of our board of directors have a pecuniary interest in our investment advisor. The participation of our investment advisor’s investment professionals in our valuation process, and the pecuniary interest in our investment advisor by certain members of our board of directors, may result in a conflict of interest as the management fees that we pay our investment advisor are based on our total assets (other than cash and cash equivalents but including assets purchased with borrowed amounts).</w:t>
      </w:r>
    </w:p>
    <w:p>
      <w:pPr>
        <w:spacing w:after="0" w:line="135" w:lineRule="exact"/>
        <w:rPr>
          <w:sz w:val="20"/>
          <w:szCs w:val="20"/>
          <w:color w:val="auto"/>
        </w:rPr>
      </w:pPr>
    </w:p>
    <w:p>
      <w:pPr>
        <w:jc w:val="both"/>
        <w:ind w:firstLine="478"/>
        <w:spacing w:after="0" w:line="253" w:lineRule="auto"/>
        <w:rPr>
          <w:sz w:val="20"/>
          <w:szCs w:val="20"/>
          <w:color w:val="auto"/>
        </w:rPr>
      </w:pPr>
      <w:r>
        <w:rPr>
          <w:rFonts w:ascii="Arial" w:cs="Arial" w:eastAsia="Arial" w:hAnsi="Arial"/>
          <w:sz w:val="17"/>
          <w:szCs w:val="17"/>
          <w:color w:val="auto"/>
        </w:rPr>
        <w:t>Our board of directors engages one or more independent third-party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17 and 12 of our portfolio company investments representing 21.8% and 25.8% of the total portfolio investments at fair value (exclusive of new portfolio company investments made during the three months ended December 31, 2021 and 2020, respectively) as of December 31, 2021 and 2020, respectively.</w:t>
      </w:r>
    </w:p>
    <w:p>
      <w:pPr>
        <w:spacing w:after="0" w:line="130"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Declines in prices and liquidity in the corporate debt markets may also result in significant net unrealized depreciation in our debt portfolio. Our net asset value could be adversely affected if our determinations regarding the fair value of our investments were materially higher than the values that we ultimately realize upon the disposal of such investments.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 which could reduce returns and result in losses.</w:t>
      </w:r>
    </w:p>
    <w:p>
      <w:pPr>
        <w:spacing w:after="0" w:line="158" w:lineRule="exact"/>
        <w:rPr>
          <w:sz w:val="20"/>
          <w:szCs w:val="20"/>
          <w:color w:val="auto"/>
        </w:rPr>
      </w:pPr>
    </w:p>
    <w:p>
      <w:pPr>
        <w:jc w:val="both"/>
        <w:ind w:firstLine="478"/>
        <w:spacing w:after="0" w:line="253" w:lineRule="auto"/>
        <w:rPr>
          <w:sz w:val="20"/>
          <w:szCs w:val="20"/>
          <w:color w:val="auto"/>
        </w:rPr>
      </w:pPr>
      <w:r>
        <w:rPr>
          <w:rFonts w:ascii="Arial" w:cs="Arial" w:eastAsia="Arial" w:hAnsi="Arial"/>
          <w:sz w:val="17"/>
          <w:szCs w:val="17"/>
          <w:color w:val="auto"/>
        </w:rPr>
        <w:t>A number of entities compete with us to make the types of investments that we make. We compete with public and private funds, other BDCs,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of our competitors may have access to funding sources that are not available to us. In addition, some of our competitors may have higher risk tolerances or different risk assessments. These characteristics could allow our competitors to consider a wider variety of investments, establish more relationships and offer better pricing and more flexible structuring than we offer. We may lose investment opportunities if we do not match our competitors’ pricing, terms and structure. If we match our competitors’ pricing, terms and structure, we may experience a decrease in net investment income or an increase in risk of capital loss. A significant part of our competitive advantage stems from the fact that the lower middle-market is underserved by traditional commercial and investment banks, and generally has less access to capital. A significant increase in the number and/or the size of our competitors in this target market could force us to accept less attractive investment terms.</w:t>
      </w:r>
    </w:p>
    <w:p>
      <w:pPr>
        <w:spacing w:after="0" w:line="180"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Furthermore, many of our competitors are not subject to the regulatory restrictions that the 1940 Act imposes on us as a BDC or the source of income, asset diversification and distribution requirements we must satisfy to maintain our RIC status. The competitive pressures we face may have a material adverse effect on our business, financial condition and results of operations. As a result of this existing and potentially increasing competition, we may not be able to take advantage of attractive investment opportunities from time to time, and we may not be able to identify and make investments that are consistent with our investment objective.</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management and incentive fee structure may create incentives for our investment advisor that are not fully aligned with the interests of our stockholders and may encourage our investment advisor to make speculative investments.</w:t>
      </w:r>
    </w:p>
    <w:p>
      <w:pPr>
        <w:spacing w:after="0" w:line="117"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The management and incentive fees paid to our investment advisor are based on our total assets (other than cash or cash equivalents but including assets purchased with borrowed amounts), and our investor advisor may therefore benefit when we incur debt or use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7"/>
          <w:szCs w:val="17"/>
          <w:color w:val="auto"/>
        </w:rPr>
        <w:t>leverage. This fee structure may encourage our investment advisor to cause us to borrow money to finance additional investments. Under certain circumstances, the use of borrowed money may increase the likelihood of default, which would disfavor our stockholders. Our board of directors is charged with protecting our interests by monitoring how our investment advisor addresses these and other conflicts of interests.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and must approve renewal of our Advisory Agreement.</w:t>
      </w:r>
    </w:p>
    <w:p>
      <w:pPr>
        <w:spacing w:after="0" w:line="127"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color w:val="auto"/>
        </w:rPr>
        <w:t>The part of the incentive fee payable to our investment advisor that relates to our net investment income is computed and paid on income that includes interest income that has been accrued but not yet received in cash. This fee structure may encourage our investment advisor to favor debt financings that provide for deferred interest (PIK interest), rather than current cash payments of interest. Our investment advisor may have an incentive to invest in deferred interest securities in circumstances where it would not have done so but for the opportunity to continue to earn the incentive fee even when the issuers of the deferred interest securities would not be able to make actual cash payments to us on such securities. This risk could be increased because our investment advisor is not obligated to reimburse us for any incentive fees received even if we subsequently incur losses or never receive in cash the deferred interest that was previously accrued.</w:t>
      </w:r>
    </w:p>
    <w:p>
      <w:pPr>
        <w:spacing w:after="0" w:line="137"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The incentive fee is based, in part, upon net capital gains realized on our investments. Unlike the portion of the incentive fee based on income, there is no hurdle rate applicable to the portion of the incentive fee based on net capital gains. As a result, our investment advisor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obligated to pay our investment advisor incentive compensation even if we incur a loss and may pay more than 20.0% of our net capital gains because we cannot recover payments made in previous years.</w:t>
      </w:r>
    </w:p>
    <w:p>
      <w:pPr>
        <w:spacing w:after="0" w:line="117" w:lineRule="exact"/>
        <w:rPr>
          <w:sz w:val="20"/>
          <w:szCs w:val="20"/>
          <w:color w:val="auto"/>
        </w:rPr>
      </w:pPr>
    </w:p>
    <w:p>
      <w:pPr>
        <w:jc w:val="both"/>
        <w:ind w:firstLine="478"/>
        <w:spacing w:after="0" w:line="274" w:lineRule="auto"/>
        <w:rPr>
          <w:sz w:val="20"/>
          <w:szCs w:val="20"/>
          <w:color w:val="auto"/>
        </w:rPr>
      </w:pPr>
      <w:r>
        <w:rPr>
          <w:rFonts w:ascii="Arial" w:cs="Arial" w:eastAsia="Arial" w:hAnsi="Arial"/>
          <w:sz w:val="16"/>
          <w:szCs w:val="16"/>
          <w:color w:val="auto"/>
        </w:rPr>
        <w:t>Our investment advisor will be entitled to incentive compensation for each fiscal quarter in an amount equal to a percentage of the excess of our pre-incentive fee net investment income for that quarter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advisor incentive compensation for a fiscal quarter even if there is a decline in the value of our portfolio or we incur a net loss for that quarter. Further, if we pay an incentive fee of 20.0% of our realized capital gains (net of all realized capital losses and unrealized capital depreciation on a cumulative basis) and thereafter experience additional realized capital losses or unrealized capital depreciation, we will not be able to recover any portion of the incentive fee previously paid.</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the investment advisor to receive incentive fees, without necessarily resulting in an increase in our net earnings.</w:t>
      </w:r>
    </w:p>
    <w:p>
      <w:pPr>
        <w:spacing w:after="0" w:line="15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Given the structure of the Investment Advisory Agreement, any general increase in interest rates can be expected to lead to higher interest rates applicable to our debt investments and will likely have the effect of making it easier for the investment advisor to meet the quarterly hurdle rate for payment of income incentive fees under the Investment Advisory Agreement without any additional increase in relative performance on the part of the investment advisor. This may occur without a corresponding increase in distributions to our stockholders. In addition, in view of the catch-up provision applicable to income incentive fees under the Investment Advisory Agreement, the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the investment advisor’s income incentive fee resulting from such a general increase in interest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potential conflicts of interest related to obligations that our investment advisor may have to other clients.</w:t>
      </w:r>
    </w:p>
    <w:p>
      <w:pPr>
        <w:spacing w:after="0" w:line="158"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6"/>
          <w:szCs w:val="16"/>
          <w:color w:val="auto"/>
        </w:rPr>
        <w:t>Currently, the Company, the Funds, Fidus Credit Opportunities, L.P., Fidus Equity Opportunities Fund, L.P., and Fidus Equity Fund I, L.P. are the only investment vehicles managed by our investment advisor. The Investment Advisory Agreement does not limit our investment advisor’s ability to act as an investment advisor to other funds, including other BDCs, or other investment advisory clients. To the extent our investment advisor acts as an investment advisor to other funds or clients, including Fidus Credit Opportunities, L.P., Fidus Equity Opportunities Fund, L.P., and Fidus Equity Fund I, L.P., we may have conflicts of interest with our investment advisor or its other clients that elect to invest in similar types of securities as those in which we invest. Members of our investment advisor’s investment committee serve or may serve as officers, directors or principals of entities that operate in the same or a related line of business as we do, or of investment funds or other investment vehicles managed by our investment advisor. In serving in these multiple capacities, they may have obligations to other clients or investors in those entities, the fulfillment of which may not be in the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jc w:val="both"/>
        <w:spacing w:after="0" w:line="261" w:lineRule="auto"/>
        <w:rPr>
          <w:sz w:val="20"/>
          <w:szCs w:val="20"/>
          <w:color w:val="auto"/>
        </w:rPr>
      </w:pPr>
      <w:r>
        <w:rPr>
          <w:rFonts w:ascii="Arial" w:cs="Arial" w:eastAsia="Arial" w:hAnsi="Arial"/>
          <w:sz w:val="18"/>
          <w:szCs w:val="18"/>
          <w:color w:val="auto"/>
        </w:rPr>
        <w:t>best interests of us or our stockholders. Our investment advisor will seek to allocate investment opportunities among eligible accounts in a manner that is fair and equitable over time and consistent with an allocation policy approved by our board of directors.</w:t>
      </w:r>
    </w:p>
    <w:p>
      <w:pPr>
        <w:spacing w:after="0" w:line="117"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6"/>
          <w:szCs w:val="16"/>
          <w:color w:val="auto"/>
        </w:rPr>
        <w:t>To the extent our investment advisor forms affiliates, including Fidus Credit Opportunities, L.P., Fidus Equity Opportunities Fund, L.P., and Fidus Equity Fund I, L.P., we may co-invest on a concurrent basis with such affiliates, subject to compliance with applicable regulations and regulatory guidance and our allocation procedures. While we may co-invest with investment entities managed by our investment advisor or its affiliates, to the extent permitted by the 1940 Act and the rules and regulations thereunder, the 1940 Act imposes significant limits on co-investment. On January 4, 2017, the SEC granted us an exemptive order that expands our ability to co-invest in portfolio companies with certain of our affiliates managed by our investment advisor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We intend to co-invest, subject to the conditions included in the Order. However, neither we nor our affiliated funds are obligated to invest or co-invest when investment opportunities are referred to us or them.</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investment advisor or its investment committee may, from time to time, possess material non-public information, limiting our investment discretion.</w:t>
      </w:r>
    </w:p>
    <w:p>
      <w:pPr>
        <w:spacing w:after="0" w:line="117" w:lineRule="exact"/>
        <w:rPr>
          <w:sz w:val="20"/>
          <w:szCs w:val="20"/>
          <w:color w:val="auto"/>
        </w:rPr>
      </w:pPr>
    </w:p>
    <w:p>
      <w:pPr>
        <w:jc w:val="both"/>
        <w:ind w:firstLine="478"/>
        <w:spacing w:after="0" w:line="284" w:lineRule="auto"/>
        <w:rPr>
          <w:sz w:val="20"/>
          <w:szCs w:val="20"/>
          <w:color w:val="auto"/>
        </w:rPr>
      </w:pPr>
      <w:r>
        <w:rPr>
          <w:rFonts w:ascii="Arial" w:cs="Arial" w:eastAsia="Arial" w:hAnsi="Arial"/>
          <w:sz w:val="16"/>
          <w:szCs w:val="16"/>
          <w:color w:val="auto"/>
        </w:rPr>
        <w:t>The investment professionals of our investment advisor may serve as directors of, or in a similar capacity with, companies in which we invest, the securities of which are purchased or sold on our behalf.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conflicts related to other arrangements with our investment advisor.</w:t>
      </w:r>
    </w:p>
    <w:p>
      <w:pPr>
        <w:spacing w:after="0" w:line="158"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We entered into a license agreement with Fidus Partners, LLC under which Fidus Partners, LLC granted us a non-exclusive (provided that there is not a change in control of Fidus Partners, LLC), royalty-free license to use the name “Fidus.” Some of the members of our investment advisor’s investment committee and the senior origination professionals of our investment advisor are members of Fidus Partners, LLC. See “Management and Other Agreements — License Agreement.” In addition, we rent office space from our investment advisor and pay to our investment advisor our allocable portion of overhead and other expenses incurred in performing its obligations under the Administration Agreement, such as our allocable portion of the cost of our chief financial officer and chief compliance officer. This creates conflicts of interest that our board of directors must monitor.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Funds are licensed by the SBA, and, therefore, are subject to SBA regulations.</w:t>
      </w:r>
    </w:p>
    <w:p>
      <w:pPr>
        <w:spacing w:after="0" w:line="158"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6"/>
          <w:szCs w:val="16"/>
          <w:color w:val="auto"/>
        </w:rPr>
        <w:t>The Funds are licensed to operate as SBICs and are regulated by the SBA. Under current SBA regulations, a licensed SBIC can provide capital to eligible "small businesses" that have a tangible net worth not exceeding $19.5 million and an average annual net income after U.S. federal income taxes not exceeding $6.5 million for the two most recent fiscal years. In addition, a licensed SBIC must devote 25.0% of its investment capital to "smaller enterprises"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either the number of employees or the gross sales of the business.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certain prohibited industries. Further, the SBA regulations require that a licensed SBIC be periodically examined and audited by the SBA staff to determine its compliance with the relevant SBA regulations. Compliance with these SBA requirements may cause the Funds to forego attractive investment opportunities that are not permitted under the SBA regulations, and may cause the Funds to make investments they otherwise would not make in order to remain in compliance with these regulations.</w:t>
      </w:r>
    </w:p>
    <w:p>
      <w:pPr>
        <w:spacing w:after="0" w:line="117"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Failure to comply with the SBA regulations could result in the loss of the SBIC licenses and the resulting inability to participate in the SBA debenture program. The SBA prohibits, without prior SBA approval, a “change of control” of an SBIC or transfers that would result in any person (or a group of persons acting in concert) owning 10.0% or more of a class of capital stock of a licensed SBIC. Current SBA regulations provide the SBA with certain rights and remedies if an SBIC violates their terms. A key regulatory metric for SBA is the extent of “Capital Impairment,” which is the extent of realized (and, in certain circumstances, net unrealized) losses compared with the SBIC’s private capital commitments. Interest payments, management fees, organization and other expenses are included in determining “realized losses.” SBA regulations preclude the full amount of “unrealized appreciation” from portfolio companies from being considered when calculating Capital Impairment in certain circumstances. Remedies for regulatory violations are graduated in</w:t>
      </w:r>
    </w:p>
    <w:p>
      <w:pPr>
        <w:spacing w:after="0" w:line="14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jc w:val="both"/>
        <w:spacing w:after="0" w:line="241" w:lineRule="auto"/>
        <w:rPr>
          <w:sz w:val="20"/>
          <w:szCs w:val="20"/>
          <w:color w:val="auto"/>
        </w:rPr>
      </w:pPr>
      <w:r>
        <w:rPr>
          <w:rFonts w:ascii="Arial" w:cs="Arial" w:eastAsia="Arial" w:hAnsi="Arial"/>
          <w:sz w:val="18"/>
          <w:szCs w:val="18"/>
          <w:color w:val="auto"/>
        </w:rPr>
        <w:t>severity depending on the seriousness of Capital Impairment or other regulatory violations. For minor regulatory infractions, the SBA issues a warning. For more serious infractions, the use of SBA debentures may be limited or prohibited, outstanding debentures can be declared to be immediately due and payable, restrictions on distributions and making new investments may be imposed and management fees may be required to be reduced. In severe cases, the SBA may require the removal of a general partner of an SBIC or its officers, directors, managers or partners, or the SBA may obtain appointment of a receiver for the SBIC.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regulations limit the amount of SBA-guaranteed debt that may be borrowed by an SBIC.</w:t>
      </w:r>
    </w:p>
    <w:p>
      <w:pPr>
        <w:spacing w:after="0" w:line="158" w:lineRule="exact"/>
        <w:rPr>
          <w:sz w:val="20"/>
          <w:szCs w:val="20"/>
          <w:color w:val="auto"/>
        </w:rPr>
      </w:pPr>
    </w:p>
    <w:p>
      <w:pPr>
        <w:jc w:val="both"/>
        <w:ind w:firstLine="478"/>
        <w:spacing w:after="0" w:line="262" w:lineRule="auto"/>
        <w:rPr>
          <w:sz w:val="20"/>
          <w:szCs w:val="20"/>
          <w:color w:val="auto"/>
        </w:rPr>
      </w:pPr>
      <w:r>
        <w:rPr>
          <w:rFonts w:ascii="Arial" w:cs="Arial" w:eastAsia="Arial" w:hAnsi="Arial"/>
          <w:sz w:val="17"/>
          <w:szCs w:val="17"/>
          <w:color w:val="auto"/>
        </w:rPr>
        <w:t>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If the Funds borrow the maximum amount from the SBA and thereafter require additional capital, our cost of capital may increase, and there is no assurance that we will be able to obtain additional financing on acceptable terms.</w:t>
      </w:r>
    </w:p>
    <w:p>
      <w:pPr>
        <w:spacing w:after="0" w:line="11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Moreover, the Funds’ current status as SBICs does not automatically assure that they will continue to receive funding through the SBA debenture program. Receipt of SBA debenture funding is dependent upon the Funds’ continuing compliance with SBA regulations and policies and there being funding available. The amount of SBA debenture funding available to SBICs is dependent upon annual Congressional authorizations and in the future may be subject to annual Congressional appropriations. There can be no assurance that there will be sufficient SBA debenture funding available at the times desired by the Funds.</w:t>
      </w:r>
    </w:p>
    <w:p>
      <w:pPr>
        <w:spacing w:after="0" w:line="135"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The debentures issued by the Funds and guaranteed by the SBA have a maturity of ten years and bear interest semi-annually at fixed rates. Certain of the Funds’ SBA debentures begin to mature in 2025 and will require repayment on or before the respective maturity dates. The Funds will need to generate sufficient cash flow to make required debt payments on such debentures. If the Funds are unable to generate such cash flow, the SBA, as guarantor of the debentures, will have a superior claim to our assets over our stockholders in the event the Funds liquidate or the SBA exercises its remedies under such debentures as the result of a default by the Funds.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 Funds, as SBICs, are limited in their ability to make distributions to us, which could result in us being unable to meet the minimum distribution requirements to maintain our status as a RIC.</w:t>
      </w:r>
    </w:p>
    <w:p>
      <w:pPr>
        <w:spacing w:after="0" w:line="117" w:lineRule="exact"/>
        <w:rPr>
          <w:sz w:val="20"/>
          <w:szCs w:val="20"/>
          <w:color w:val="auto"/>
        </w:rPr>
      </w:pPr>
    </w:p>
    <w:p>
      <w:pPr>
        <w:jc w:val="both"/>
        <w:ind w:firstLine="478"/>
        <w:spacing w:after="0" w:line="253" w:lineRule="auto"/>
        <w:rPr>
          <w:sz w:val="20"/>
          <w:szCs w:val="20"/>
          <w:color w:val="auto"/>
        </w:rPr>
      </w:pPr>
      <w:r>
        <w:rPr>
          <w:rFonts w:ascii="Arial" w:cs="Arial" w:eastAsia="Arial" w:hAnsi="Arial"/>
          <w:sz w:val="17"/>
          <w:szCs w:val="17"/>
          <w:color w:val="auto"/>
        </w:rPr>
        <w:t>In order to maintain our tax treatment as a RIC, we are required to timely distribute to our stockholders on an annual basis 90.0% of our net ordinary income and net short-term capital gains in excess of net long-term capital losses. For this purpose, our taxable income will include the income of the Funds (and any other entities that are disregarded as separate from us for U.S. federal income tax purposes). The Funds’ ability to make distributions to us may be limited by the Small Business Investment Act of 1958. As a result, in order to maintain our tax treatment as a RIC, we may be required to make distributions attributable to the Funds’ income without receiving any corresponding cash distributions with respect to such income. We can make no assurances that the Funds will be able to make, or not be limited in making, distributions to us. If we are unable to satisfy the annual distribution requirements, we may fail to maintain our tax treatment as a RIC, which would result in the imposition of corporate-level U.S. federal income tax on our entire taxable income without regard to any distributions made by us. See “We will be subject to corporate-level U.S. federal income tax if we are unable to maintain our tax treatment as a RIC under Subchapter M of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will affect our cost of capital and net investment income.</w:t>
      </w:r>
    </w:p>
    <w:p>
      <w:pPr>
        <w:spacing w:after="0" w:line="158"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Most of our debt investments bear interest at fixed rates and the value of these investments could be negatively affected by increases in market interest rates. In addition, to the extent that we borrow additional funds to make investments, an increase in interest rates would make it more expensive for us to use debt to finance our investments. As a result, a significant increase in market interest rates could both reduce the value of our portfolio investments and increase our cost of capital, which would reduce our net investment income. Conversely, a decrease in interest rates may have an adverse impact on our returns by requiring us to seek lower yields on our debt investments and by increasing the risk that our portfolio companies will prepay the debt investments, resulting in the need to redeploy capital at potentially lower rates.</w:t>
      </w:r>
    </w:p>
    <w:p>
      <w:pPr>
        <w:spacing w:after="0" w:line="135" w:lineRule="exact"/>
        <w:rPr>
          <w:sz w:val="20"/>
          <w:szCs w:val="20"/>
          <w:color w:val="auto"/>
        </w:rPr>
      </w:pPr>
    </w:p>
    <w:p>
      <w:pPr>
        <w:ind w:right="320"/>
        <w:spacing w:after="0" w:line="308" w:lineRule="auto"/>
        <w:rPr>
          <w:sz w:val="20"/>
          <w:szCs w:val="20"/>
          <w:color w:val="auto"/>
        </w:rPr>
      </w:pPr>
      <w:r>
        <w:rPr>
          <w:rFonts w:ascii="Arial" w:cs="Arial" w:eastAsia="Arial" w:hAnsi="Arial"/>
          <w:sz w:val="18"/>
          <w:szCs w:val="18"/>
          <w:b w:val="1"/>
          <w:bCs w:val="1"/>
          <w:i w:val="1"/>
          <w:iCs w:val="1"/>
          <w:color w:val="auto"/>
        </w:rPr>
        <w:t>Inflation may adversely affect the business, results of operations and financial condition of our portfolio companies, which may, in turn, impact the valuation of such portfolio companies.</w:t>
      </w:r>
    </w:p>
    <w:p>
      <w:pPr>
        <w:spacing w:after="0" w:line="103"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Certain of our portfolio companies may be impacted by inflation, which may, in turn, impact the valuation of such portfolio companies. If such portfolio companies are unable to pass any increases in their costs along to their customers, it could adversely affect their results and their ability to pay interest and principal on our loans, particularly if interest rates rise in response to inflation. More recently, the Federal Reserve has indicated that it would likely raise interest rates as early as March 2022 in response to an increase in inflation.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Changes relating to the discontinuation of LIBOR may adversely affect the value of our portfolio of LIBOR-indexed, floating-rate debt securities.</w:t>
      </w:r>
    </w:p>
    <w:p>
      <w:pPr>
        <w:spacing w:after="0" w:line="181"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LIBOR is an index rate that historically has been widely used in lending transactions. LIBOR typically has been the reference rate used in floating-rate loans extended to our portfolio companies and, to some degree, is expected to continue to be a reference rate and other floating rates, such as the Secured Overnight Financing Rate (“SOFR”), in our prospective investments for a period of time as the market transitions to alternative rates. Uncertainty relating to the LIBOR calculation process, the valuation of LIBOR alternatives, and other economic consequences from the phasing out of LIBOR may adversely affect our results of operations, financial condition and liquidity.</w:t>
      </w:r>
    </w:p>
    <w:p>
      <w:pPr>
        <w:spacing w:after="0" w:line="135"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color w:val="auto"/>
        </w:rPr>
        <w:t>On March 5, 2021, the United Kingdom's Financial Conduct Authority (the "FCA"), which regulates LIBOR, announced that it will not compel panel banks to contribute to the overnight 1, 3, 6 and 12 months USD LIBOR tenors after June 30, 2023 and all other tenors after December 31, 2021. On November 16, 2021, the FCA issued a statement confirming that starting January 1, 2022, entities supervised by the FCA will be prohibited from using LIBORs, including USD LIBOR, that will be discontinued as of December 31, 2021 as well as, except in very limited circumstances, those tenors of USD LIBOR that will be discontinued or declared non-representative after June 30, 2023. While LIBOR will cease to exist or be declared non-representative, there continues to be uncertainty regarding the nature of potential changes to specific USD LIBOR tenors, the development and acceptance of alternative reference rates and other reforms.</w:t>
      </w:r>
    </w:p>
    <w:p>
      <w:pPr>
        <w:spacing w:after="0" w:line="137" w:lineRule="exact"/>
        <w:rPr>
          <w:sz w:val="20"/>
          <w:szCs w:val="20"/>
          <w:color w:val="auto"/>
        </w:rPr>
      </w:pPr>
    </w:p>
    <w:p>
      <w:pPr>
        <w:jc w:val="both"/>
        <w:ind w:firstLine="478"/>
        <w:spacing w:after="0" w:line="252" w:lineRule="auto"/>
        <w:rPr>
          <w:sz w:val="20"/>
          <w:szCs w:val="20"/>
          <w:color w:val="auto"/>
        </w:rPr>
      </w:pPr>
      <w:r>
        <w:rPr>
          <w:rFonts w:ascii="Arial" w:cs="Arial" w:eastAsia="Arial" w:hAnsi="Arial"/>
          <w:sz w:val="17"/>
          <w:szCs w:val="17"/>
          <w:color w:val="auto"/>
        </w:rPr>
        <w:t>Central banks and regulators in a number of major jurisdictions (for example, United States, United Kingdom, European Union, Switzerland and Japan) have convened working groups to find, and implement the transition to, suitable replacements for LIBORs and other interbank offered rates ("IBORs"). To identify a successor rate for USD LIBOR, the Alternative Reference Rates Committee (“ARRC”), U.S.-based group convened by the U.S. Federal Reserve Board and the Federal Reserve Bank of New York, was formed. The ARRC has identified SOFR as its preferred alternative rate for LIBOR. SOFR is a measure of the cost of borrowing cash overnight, collateralized by U.S. Treasury securities, and is based on directly observable U.S. Treasury-backed repurchase transactions. On July 29, 2021, the ARRC formally recommended SOFR as its preferred alternative replacement rate for LIBOR. On July 29, 2021, the ARRC also recommended a forward-looking term rate based on SOFR published by CME Group. Although SOFR appears to be the preferred replacement rate for USD LIBOR, at this time, it is not possible to predict the effect of any such changes, any establishment of alternative reference rates or other reforms to LIBOR that may be enacted in the United States, United Kingdom or elsewhere. Alternative reference rates that may replace LIBOR, including SOFR for USD transactions, may not yield the same or similar economic results as LIBOR over the lives of such transactions. There can be no guarantee that SOFR will become the dominant alternative to USD LIBOR or that SOFR will be widely used and other alternatives may or may not be developed and adopted with additional consequences.</w:t>
      </w:r>
    </w:p>
    <w:p>
      <w:pPr>
        <w:spacing w:after="0" w:line="129"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On April 6, 2021, legislation was signed into law in the state of New York that provides that contracts, securities and instruments governed by New York law that reference USD LIBOR and that either lack benchmark fallback provisions or include ineffective benchmark fallback provisions in connection with USD LIBOR no longer being published or becoming non-representative, will, by operation of law, refer to a replacement benchmark rate based on SOFR. Despite the adoption of the New York legislation, successful legal challenges against the legislation may render it partially or wholly unconstitutional or unenforceable, e.g., based on other federal or state law grounds.</w:t>
      </w:r>
    </w:p>
    <w:p>
      <w:pPr>
        <w:spacing w:after="0" w:line="135"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6"/>
          <w:szCs w:val="16"/>
          <w:color w:val="auto"/>
        </w:rPr>
        <w:t>The elimination of LIBOR or any other changes or reforms to the determination or supervision of LIBOR could have an adverse impact on the market value of and/or transferability of any LIBOR-linked securities, loans, and other financial obligations or extensions of credit held by or due to us, valuation measurements used by us that include LIBOR as an input, our operational processes or our overall financial condition or results of operations. In addition, while the majority of our LIBOR-linked loans contemplate that LIBOR may cease to exist and allow for amendment to a new base rate without the approval of 100% of the lenders, if LIBOR ceases to exist, we could be required, in certain situations, to still need to renegotiate the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credit agreements may bear interest at a lower interest rate, which could have an adverse impact on the value and liquidity of our investment in these portfolio companies and, as a result, on our results of operations. Such adverse impacts and the uncertainty of the transition could result in disputes and litigation with counterparties and borrowers regarding the implementation of alternative reference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involving derivatives and financial commitment transactions may be limited.</w:t>
      </w:r>
    </w:p>
    <w:p>
      <w:pPr>
        <w:spacing w:after="0" w:line="212" w:lineRule="exact"/>
        <w:rPr>
          <w:sz w:val="20"/>
          <w:szCs w:val="20"/>
          <w:color w:val="auto"/>
        </w:rPr>
      </w:pPr>
    </w:p>
    <w:p>
      <w:pPr>
        <w:jc w:val="both"/>
        <w:ind w:left="100" w:firstLine="478"/>
        <w:spacing w:after="0"/>
        <w:rPr>
          <w:sz w:val="20"/>
          <w:szCs w:val="20"/>
          <w:color w:val="auto"/>
        </w:rPr>
      </w:pPr>
      <w:r>
        <w:rPr>
          <w:rFonts w:ascii="Arial" w:cs="Arial" w:eastAsia="Arial" w:hAnsi="Arial"/>
          <w:sz w:val="18"/>
          <w:szCs w:val="18"/>
          <w:color w:val="auto"/>
        </w:rPr>
        <w:t>Through comprehensive new global regulatory regimes impacting derivatives (e.g., the Wall Street Reform and Consumer Protection Act of 2010 (“Dodd-Frank Act”), European Market Infrastructure Regulation (“EMIR”), Markets in Financial Investments Regulation (“MIFIR”)/Markets in Financial Instruments Directive (“MIFID II”)), certain over-the-counter derivatives transactions in which we may engage are either now or will soon be subject to various requirements, such as mandatory central clearing of transactions which include additional margin requirements and in certain cases trading on electronic platforms, pre-and post-trade transparency reporting requirements and mandatory bi-lateral exchange of initial margin for non-cleared swaps. The Dodd-Frank Act also created</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jc w:val="both"/>
        <w:ind w:left="100"/>
        <w:spacing w:after="0" w:line="276" w:lineRule="auto"/>
        <w:rPr>
          <w:sz w:val="20"/>
          <w:szCs w:val="20"/>
          <w:color w:val="auto"/>
        </w:rPr>
      </w:pPr>
      <w:r>
        <w:rPr>
          <w:rFonts w:ascii="Arial" w:cs="Arial" w:eastAsia="Arial" w:hAnsi="Arial"/>
          <w:sz w:val="16"/>
          <w:szCs w:val="16"/>
          <w:color w:val="auto"/>
        </w:rPr>
        <w:t>new categories of regulated market participants, such as “swap dealers,” “security-based swap dealers,” “major swap participants,” and “major security-based swap participants” who are subject to significant new capital, registration, recordkeeping, reporting, disclosure, business conduct and other regulatory requirements. The EU and some other jurisdictions are implementing similar requirements. Because these requirements are new and evolving (and some of the rules are not yet final), their ultimate impact remains unclear. However, even if the Company itself is not located in a particular jurisdiction or directly subject to the jurisdiction’s derivatives regulations, we may still be impacted to the extent we enter into a derivatives transaction with a regulated market participant or counterparty that is organized in that jurisdiction or otherwise subject to that jurisdiction’s derivatives regulations.</w:t>
      </w:r>
    </w:p>
    <w:p>
      <w:pPr>
        <w:spacing w:after="0" w:line="162" w:lineRule="exact"/>
        <w:rPr>
          <w:sz w:val="20"/>
          <w:szCs w:val="20"/>
          <w:color w:val="auto"/>
        </w:rPr>
      </w:pPr>
    </w:p>
    <w:p>
      <w:pPr>
        <w:jc w:val="both"/>
        <w:ind w:left="100" w:firstLine="478"/>
        <w:spacing w:after="0" w:line="252" w:lineRule="auto"/>
        <w:rPr>
          <w:sz w:val="20"/>
          <w:szCs w:val="20"/>
          <w:color w:val="auto"/>
        </w:rPr>
      </w:pPr>
      <w:r>
        <w:rPr>
          <w:rFonts w:ascii="Arial" w:cs="Arial" w:eastAsia="Arial" w:hAnsi="Arial"/>
          <w:sz w:val="17"/>
          <w:szCs w:val="17"/>
          <w:color w:val="auto"/>
        </w:rPr>
        <w:t>Based on information available as of the date of this annual report on Form 10-K, the effect of such requirements will be likely to (directly or indirectly) increase our overall costs of entering into derivatives transactions. In particular, even if they are not directly applicable to us, new margin requirements, position limits and significantly higher capital charges resulting from new global capital regulations may cause an increase in the pricing of derivatives transactions entered into by market participants to whom such requirements apply or, may otherwise, affect our overall ability to enter into derivatives transactions with certain counterparties. Such new global capital regulations and the need to satisfy the various requirements by counterparties are resulting in increased funding costs, and increased overall transaction costs, significantly affecting balance sheets, and thereby resulting in changes to financing terms and potentially impacts our ability to obtain financing. Administrative costs, due to new requirements related to registration, recordkeeping, reporting, and compliance, even if not directly applicable to us, may also be reflected in our derivatives transactions. New requirements to trade certain derivatives transactions on electronic trading platforms and trade reporting requirements may lead to (among other things) fragmentation of the markets, higher transaction costs or reduced availability of derivatives, and/or a reduced ability to hedge, all of which could adversely affect the performance of certain of our trading strategies. In addition, changes to derivatives regulations may impact the tax and/or accounting treatment of certain derivatives, which could adversely impact us.</w:t>
      </w:r>
    </w:p>
    <w:p>
      <w:pPr>
        <w:spacing w:after="0" w:line="183" w:lineRule="exact"/>
        <w:rPr>
          <w:sz w:val="20"/>
          <w:szCs w:val="20"/>
          <w:color w:val="auto"/>
        </w:rPr>
      </w:pPr>
    </w:p>
    <w:p>
      <w:pPr>
        <w:jc w:val="both"/>
        <w:ind w:left="100" w:firstLine="478"/>
        <w:spacing w:after="0" w:line="269" w:lineRule="auto"/>
        <w:rPr>
          <w:sz w:val="20"/>
          <w:szCs w:val="20"/>
          <w:color w:val="auto"/>
        </w:rPr>
      </w:pPr>
      <w:r>
        <w:rPr>
          <w:rFonts w:ascii="Arial" w:cs="Arial" w:eastAsia="Arial" w:hAnsi="Arial"/>
          <w:sz w:val="16"/>
          <w:szCs w:val="16"/>
          <w:color w:val="auto"/>
        </w:rPr>
        <w:t>In February 2021, Rule 18f-4 under the 1940 Act came into effect, changing the rules regarding the ability of a BDC (or a registered investment company) to use derivatives and other transactions that create future payment or delivery obligations. BDCs that use derivatives would be subject to a value-at-risk leverage limit, certain other derivatives risk management program and testing requirements and requirements related to board reporting. These new requirements would apply unless the BDC qualified as a “limited derivatives user” as defined in Rule 18f-4 became effective. A BDC that enters into reverse repurchase agreements or similar financing transactions would need to aggregate the amount of indebtedness associated with the reverse repurchase agreements or similar financing transactions could either (i) comply with the asset coverage requirements of the Sections 18 and 61 of the 1940 Act when engaging in reverse repurchase agreements or (ii) choose to treat such agreements as derivative transactions under Rule 18f-4 under the 1940 Act. Under Rule 18f-4,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requirement, it is required to treat unfunded commitments as a derivatives transaction subject to the requirements of the rule. Collectively, these requirements may limit our ability to use derivatives and/or enter into certain other financial contracts.</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Global economic, political and market conditions may adversely affect our business, results of operations and financial condition, including our revenue growth and profitability.</w:t>
      </w:r>
    </w:p>
    <w:p>
      <w:pPr>
        <w:spacing w:after="0" w:line="117" w:lineRule="exact"/>
        <w:rPr>
          <w:sz w:val="20"/>
          <w:szCs w:val="20"/>
          <w:color w:val="auto"/>
        </w:rPr>
      </w:pPr>
    </w:p>
    <w:p>
      <w:pPr>
        <w:jc w:val="both"/>
        <w:ind w:firstLine="837"/>
        <w:spacing w:after="0" w:line="284" w:lineRule="auto"/>
        <w:rPr>
          <w:sz w:val="20"/>
          <w:szCs w:val="20"/>
          <w:color w:val="auto"/>
        </w:rPr>
      </w:pPr>
      <w:r>
        <w:rPr>
          <w:rFonts w:ascii="Arial" w:cs="Arial" w:eastAsia="Arial" w:hAnsi="Arial"/>
          <w:sz w:val="16"/>
          <w:szCs w:val="16"/>
          <w:color w:val="auto"/>
        </w:rPr>
        <w:t>We and our portfolio companies are subject to regulation by laws at the U.S. federal, state and local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Any such new or changed laws or regulations could have a material adverse effect on our business, and political uncertainty could increase regulatory uncertainty in the near term.</w:t>
      </w:r>
    </w:p>
    <w:p>
      <w:pPr>
        <w:spacing w:after="0" w:line="101"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The effects of legislative and regulatory proposals directed at the financial services industry or affecting taxation could negatively impact the operations, cash flows or financial condition of us and our portfolio companies, impose additional costs on us or our portfolio companies, intensify the regulatory supervision of us or our portfolio companies or otherwise adversely affect our business or the business of our portfolio companies. In addition, if we do not comply with applicable laws and regulations, we could lose any licenses that we then hold for the conduct of business and could be subject to civil fines and criminal penalties.</w:t>
      </w:r>
    </w:p>
    <w:p>
      <w:pPr>
        <w:spacing w:after="0" w:line="135"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operations, cash flows or financial condition, impose additional costs on us, intensify the regulatory supervision of us or otherwise adversely affect our business, financial condition and results of operations.</w:t>
      </w:r>
    </w:p>
    <w:p>
      <w:pPr>
        <w:spacing w:after="0" w:line="135"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Actual and proposed changes to the complex system of laws and regulations governing the banking industry further pose risks to the success of our operations, cash flows or financial conditions. Recent increases to the asset threshold for designating financial institutions as “systemically important financial institutions,” as well as proposed changes to the Volcker Rule, are just two examples;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jc w:val="both"/>
        <w:spacing w:after="0" w:line="248" w:lineRule="auto"/>
        <w:rPr>
          <w:sz w:val="20"/>
          <w:szCs w:val="20"/>
          <w:color w:val="auto"/>
        </w:rPr>
      </w:pPr>
      <w:r>
        <w:rPr>
          <w:rFonts w:ascii="Arial" w:cs="Arial" w:eastAsia="Arial" w:hAnsi="Arial"/>
          <w:sz w:val="18"/>
          <w:szCs w:val="18"/>
          <w:color w:val="auto"/>
        </w:rPr>
        <w:t>the effect of these change and any further rules or regulations are and could be complex and far-reaching, and the changes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128"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Until we know what policy changes are made and how those changes impact business and the business of our competitors over the long term, we will not know if, overall, it will benefit from them or be negatively affected by them.</w:t>
      </w:r>
    </w:p>
    <w:p>
      <w:pPr>
        <w:spacing w:after="0" w:line="117"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including any austerity measures taken in exchange for bailout of certain nations, and any future debt crisis in Europe or any similar crisis elsewhere could have a detrimental impact on the global economic recovery, sovereign and non-sovereign debt in certain countries and the financial condition of financial institutions generally.</w:t>
      </w:r>
    </w:p>
    <w:p>
      <w:pPr>
        <w:spacing w:after="0" w:line="135"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6"/>
          <w:szCs w:val="16"/>
          <w:color w:val="auto"/>
        </w:rPr>
        <w:t>The decision made in the United Kingdom referendum to leave the European Union has led to volatility in global financial markets, and in particular in the markets of the United Kingdom and across Europe, and may also lead to weakening in consumer, corporate and financial confidence in the United Kingdom and Europe. Under the terms of the withdrawal agreement negotiated and agreed to between the United Kingdom and the European Union, the United Kingdom’s departure from the European Union was followed by a transition period which ran until December 31, 2020, during which the U.K. continued to apply European Union law and was treated for all material purposes as if it were still a member of the European Union. On December 24, 2020, the EU and United Kingdom signed a trade deal (the “Trade Agreement”) that applied provisionally from January 1, 2021 until the end of April 2021, when the European Parliament approved the Trade Agreement. That Agreement now governs the relationship between the U.K. and EU, implementing significant regulation around trade, transport of goods and travel restrictions between the United Kingdom and the European Union.</w:t>
      </w:r>
    </w:p>
    <w:p>
      <w:pPr>
        <w:spacing w:after="0" w:line="114"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6"/>
          <w:szCs w:val="16"/>
          <w:color w:val="auto"/>
        </w:rPr>
        <w:t>Notwithstanding the foregoing, the longer-term economic, legal, political and social implications of Brexit are unclear at this stage and are likely to continue to lead to ongoing political and economic uncertainty and periods of increased volatility in both the U.K. and in wider European markets for some time. In particular, Brexit could lead to calls for similar referenda in other European jurisdictions, which could cause increased economic volatility in the European and global markets. This mid- to long-term uncertainty could have adverse effects on the economy generally and on our ability to earn attractive returns. This volatility and uncertainty may have an adverse effect on the economy generally and on our ability—and the ability of our portfolio companies —to execute our respective strategies and to receive attractive returns. In particular, currency volatility could mean that our returns are adversely affected by market movements and could make it more difficult, or more expensive, for us to execute prudent currency hedging policies. Potential declines in the value of the British Pound and/or the euro against other currencies, along with the potential downgrading of the United Kingdom’s sovereign credit rating, may also have an impact on the performance of any of our portfolio companies located in the United Kingdom or Europe.</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currently operating in a period of significant capital markets disruption and economic uncertainty, which may have a negative impact on our business, financial condition and operations.</w:t>
      </w:r>
    </w:p>
    <w:p>
      <w:pPr>
        <w:spacing w:after="0" w:line="63"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From time to time, capital markets may experience periods of disruption and instability. The U.S. capital markets have experienced extreme volatility and disruption following the global outbreak of COVID-19 that began in December 2019. Some economists and major investment banks have expressed concern that the continued spread of the COVID-19 globally could lead to a world-wide economic downturn. Even after the COVID-19 pandemic subsides, the U.S. economy, as well as most other major economies, may continue to experience a recession, and we anticipate our businesses would be materially and adversely affected by a prolonged recession in the United States and other major markets. Disruptions in the capital markets have increased the spread between the yields realized on risk-free and higher risk securities, resulting in illiquidity in parts of the capital markets.</w:t>
      </w:r>
    </w:p>
    <w:p>
      <w:pPr>
        <w:spacing w:after="0" w:line="108" w:lineRule="exact"/>
        <w:rPr>
          <w:sz w:val="20"/>
          <w:szCs w:val="20"/>
          <w:color w:val="auto"/>
        </w:rPr>
      </w:pPr>
    </w:p>
    <w:p>
      <w:pPr>
        <w:jc w:val="both"/>
        <w:ind w:firstLine="478"/>
        <w:spacing w:after="0" w:line="251" w:lineRule="auto"/>
        <w:rPr>
          <w:sz w:val="20"/>
          <w:szCs w:val="20"/>
          <w:color w:val="auto"/>
        </w:rPr>
      </w:pPr>
      <w:r>
        <w:rPr>
          <w:rFonts w:ascii="Arial" w:cs="Arial" w:eastAsia="Arial" w:hAnsi="Arial"/>
          <w:sz w:val="17"/>
          <w:szCs w:val="17"/>
          <w:color w:val="auto"/>
        </w:rPr>
        <w:t>The COVID-19 outbreak, including new variants of COVID-19, such as the Delta and Omicron variants, continues to have, and any future outbreaks could have, an adverse impact on the ability of lenders to originate loans, the volume and type of loans originated, the ability of borrowers to make payments and the volume and type of amendments and waivers granted to borrowers and remedial actions taken in the event of a borrower default, each of which could negatively impact the amount and quality of loans available for investment by the Fund and returns to the Fund, among other things. The global impact of the COVID-19 pandemic is rapidly evolving, and health advisors warn that recurring COVID-19 outbreaks will continue if reopening is pursued too soon or in the wrong manner, which may lead to the re-introduction or continuation of certain public health restrictions (such as instituting quarantines, prohibitions, and restrictions on travel and the closure of offices, businesses, schools, retail stores and other public venues). Some form of economic, social and/or travel restrictions may be in place for extended periods of time. General uncertainty surrounding the dangers and impact of COVID-19, including the preventative measures taken in response thereto and additional uncertainty regarding new variants of COVID-19, continues to create significant disruption in supply chains and economic activity. With respect to the U.S. credit markets (in particular for middle-market loans), the COVID-19 outbreak has resulted in, and until fully resolved is likely to continue to result in, the following among other things: (i) government imposition of various forms of capacity and operating restrictions, resulting in significant disruption to the businesses of many middle-market loan borrowers, including supply chain disruptions and labor shortages, and, while these effects are hoped to be temporary, some effects could be persistent or even permanent; (ii) increased draws by borrowers on revolving lines of credit and other financing instruments; (iii) increased requests by borrowers for amendments and waivers of their credit agreements to avoid default, increased defaults by such borrowers and/or increased difficulty in obtaining refinancing at the</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jc w:val="both"/>
        <w:spacing w:after="0" w:line="294" w:lineRule="auto"/>
        <w:rPr>
          <w:sz w:val="20"/>
          <w:szCs w:val="20"/>
          <w:color w:val="auto"/>
        </w:rPr>
      </w:pPr>
      <w:r>
        <w:rPr>
          <w:rFonts w:ascii="Arial" w:cs="Arial" w:eastAsia="Arial" w:hAnsi="Arial"/>
          <w:sz w:val="16"/>
          <w:szCs w:val="16"/>
          <w:color w:val="auto"/>
        </w:rPr>
        <w:t>maturity dates of their loans; (iv)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middle-market businesses.</w:t>
      </w:r>
    </w:p>
    <w:p>
      <w:pPr>
        <w:spacing w:after="0" w:line="93"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6"/>
          <w:szCs w:val="16"/>
          <w:color w:val="auto"/>
        </w:rPr>
        <w:t>Disruptions in the capital markets caused by the COVID-19 pandemic have increased the spread between the yields realized on risk-free and higher risk securities, resulting in illiquidity in parts of the capital markets. These conditions and future market disruptions and/or illiquidity could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our portfolio companies and/or us. These events have limited and could continue to limit our investment originations, limit our ability to grow and have a material negative impact on our operating results and the fair values of our debt and equity investments. We may have to access, if available, alternative markets for debt and equity capital, and a severe disruption in the global financial markets, deterioration in credit and financing conditions or uncertainty regarding U.S. government spending and deficit levels or other global economic conditions could have a material adverse effect on our business, financial condition and results of operations.</w:t>
      </w:r>
    </w:p>
    <w:p>
      <w:pPr>
        <w:spacing w:after="0" w:line="114"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Additionally, the recent disruption in economic activity caused by the COVID-19 pandemic may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will record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135"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While we intend to source and invest in new loan transactions to U.S. middle market companies, we cannot be certain that we will be able to do so successfully or consistently during the continuation of the COVID-19 pandemic. A lack of suitable investment opportunities may impair our ability to make new investments, and may reduce our earnings and dividends as a result.</w:t>
      </w:r>
    </w:p>
    <w:p>
      <w:pPr>
        <w:spacing w:after="0" w:line="128" w:lineRule="exact"/>
        <w:rPr>
          <w:sz w:val="20"/>
          <w:szCs w:val="20"/>
          <w:color w:val="auto"/>
        </w:rPr>
      </w:pPr>
    </w:p>
    <w:p>
      <w:pPr>
        <w:jc w:val="both"/>
        <w:ind w:firstLine="478"/>
        <w:spacing w:after="0" w:line="255" w:lineRule="auto"/>
        <w:rPr>
          <w:sz w:val="20"/>
          <w:szCs w:val="20"/>
          <w:color w:val="auto"/>
        </w:rPr>
      </w:pPr>
      <w:r>
        <w:rPr>
          <w:rFonts w:ascii="Arial" w:cs="Arial" w:eastAsia="Arial" w:hAnsi="Arial"/>
          <w:sz w:val="17"/>
          <w:szCs w:val="17"/>
          <w:color w:val="auto"/>
        </w:rPr>
        <w:t>If economic conditions caused by the COVID-19 pandemic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 While economic activity is well improved from the beginning of the COVID-19 pandemic, we continue to observe supply chain interruptions, labor difficulties, commodity inflation and elements of economic and financial market instability both globally and in the United States. Additionally, continued travel restrictions may prolong the global economic downturn.</w:t>
      </w:r>
    </w:p>
    <w:p>
      <w:pPr>
        <w:spacing w:after="0" w:line="126" w:lineRule="exact"/>
        <w:rPr>
          <w:sz w:val="20"/>
          <w:szCs w:val="20"/>
          <w:color w:val="auto"/>
        </w:rPr>
      </w:pPr>
    </w:p>
    <w:p>
      <w:pPr>
        <w:jc w:val="both"/>
        <w:ind w:firstLine="478"/>
        <w:spacing w:after="0" w:line="255" w:lineRule="auto"/>
        <w:rPr>
          <w:sz w:val="20"/>
          <w:szCs w:val="20"/>
          <w:color w:val="auto"/>
        </w:rPr>
      </w:pPr>
      <w:r>
        <w:rPr>
          <w:rFonts w:ascii="Arial" w:cs="Arial" w:eastAsia="Arial" w:hAnsi="Arial"/>
          <w:sz w:val="17"/>
          <w:szCs w:val="17"/>
          <w:color w:val="auto"/>
        </w:rPr>
        <w:t>We cannot be certain as to the duration or magnitude of the economic impact of the COVID-19 pandemic in the markets in which we and our portfolio companies operate, including with respect to travel restrictions, business closures, mitigation efforts (whether voluntary, suggested, or mandated by law) and corresponding declines in economic activity that may negatively impact the U.S. economy and the markets for the various types of goods and services provided by U.S. middle market companies. Depending on the duration, magnitude and severity of these conditions and their related economic and market impacts, certain of our portfolio companies may suffer declines in earnings and could experience financial distress, which could cause them to default on their financial obligations to us and their other lenders. In consideration of these and related factors, we may make downgrades with respect to other portfolio companies in the future as conditions warrant and new information comes to light.</w:t>
      </w:r>
    </w:p>
    <w:p>
      <w:pPr>
        <w:spacing w:after="0" w:line="126"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color w:val="auto"/>
        </w:rPr>
        <w:t>In addition, due to the outbreak in the United States, certain personnel of our investment advisor are currently working remotely, which may introduce additional operational risk to us. Staff members of certain of our other service providers may also work remotely during the COVID-19 outbreak. An extended period of remote working could lead to service limitations or failures that could impact us or our performance.</w:t>
      </w:r>
    </w:p>
    <w:p>
      <w:pPr>
        <w:spacing w:after="0" w:line="110"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As of the date of this annual report on Form 10-K, it is impossible to determine the scope of the COVID-19 outbreak, or any future outbreaks, how long any such outbreak, market disruption or uncertainties may last, the effect any governmental actions will have or the full potential impact on us and our portfolio companies. Any potential impact to our results of operations will depend to a large extent on future developments and new information that could emerge regarding the duration and severity of COVID-19, including any COVID-19 variants, and the actions taken by authorities and other entities to contain COVID-19 or treat its impact, all of which are beyond our control.</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COVID-19 pandemic or any outbreak of other existing or new epidemic diseases, or the threat thereof, and the resulting financial and economic market uncertainty could have a significant adverse impact on the fair value of our investments or the conduct of our business.</w:t>
      </w:r>
    </w:p>
    <w:p>
      <w:pPr>
        <w:spacing w:after="0" w:line="93"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The COVID-19 pandemic may cause the valuation of our investments to differ materially from the values that we may ultimately realize. Our valuations, and particularly valuations of private investments and private companies, will be inherently uncertain, may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jc w:val="both"/>
        <w:spacing w:after="0" w:line="243" w:lineRule="auto"/>
        <w:rPr>
          <w:sz w:val="20"/>
          <w:szCs w:val="20"/>
          <w:color w:val="auto"/>
        </w:rPr>
      </w:pPr>
      <w:r>
        <w:rPr>
          <w:rFonts w:ascii="Arial" w:cs="Arial" w:eastAsia="Arial" w:hAnsi="Arial"/>
          <w:sz w:val="18"/>
          <w:szCs w:val="18"/>
          <w:color w:val="auto"/>
        </w:rPr>
        <w:t>fluctuate over short periods of time and are often based on estimates, comparisons and qualitative evaluations of private information that may not show the complete impact of the COVID-19 pandemic and the resulting measures taken in response thereto. As a result, our valuations may not show the complete or continuing impact of the COVID-19 pandemic and the resulting measures taken in response thereto. These potential impacts, while uncertain, could have a significant impact on us and the fair value of our investments</w:t>
      </w:r>
      <w:r>
        <w:rPr>
          <w:rFonts w:ascii="Arial" w:cs="Arial" w:eastAsia="Arial" w:hAnsi="Arial"/>
          <w:sz w:val="18"/>
          <w:szCs w:val="18"/>
          <w:b w:val="1"/>
          <w:bCs w:val="1"/>
          <w:i w:val="1"/>
          <w:iCs w:val="1"/>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operating results.</w:t>
      </w:r>
    </w:p>
    <w:p>
      <w:pPr>
        <w:spacing w:after="0" w:line="15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our ability or inability to make investments in companies that meet our investment criteria,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be subject to corporate-level U.S. federal income tax if we are unable to maintain our tax treatment as a RIC under Subchapter M of the Code.</w:t>
      </w:r>
    </w:p>
    <w:p>
      <w:pPr>
        <w:spacing w:after="0" w:line="192" w:lineRule="exact"/>
        <w:rPr>
          <w:sz w:val="20"/>
          <w:szCs w:val="20"/>
          <w:color w:val="auto"/>
        </w:rPr>
      </w:pPr>
    </w:p>
    <w:p>
      <w:pPr>
        <w:jc w:val="both"/>
        <w:ind w:firstLine="478"/>
        <w:spacing w:after="0" w:line="251" w:lineRule="auto"/>
        <w:rPr>
          <w:sz w:val="20"/>
          <w:szCs w:val="20"/>
          <w:color w:val="auto"/>
        </w:rPr>
      </w:pPr>
      <w:r>
        <w:rPr>
          <w:rFonts w:ascii="Arial" w:cs="Arial" w:eastAsia="Arial" w:hAnsi="Arial"/>
          <w:sz w:val="17"/>
          <w:szCs w:val="17"/>
          <w:color w:val="auto"/>
        </w:rPr>
        <w:t>We have elected to be treated as a RIC under Subchapter M of the Code; however, no assurance can be given that we will be able to maintain our RIC tax treatment. To maintain our tax treatment as a RIC under Subchapter M of the Code and to avoid the imposition of U.S. federal income taxes on income and gains distributed to our stockholders, we must meet certain requirements, including source-of-income, asset diversification and annual distribution requirements. The source-of-income requirement will be satisfied if we derive at least 90.0% of our gross income for each year from dividends, interest, gains from sale of securities or similar sources. To maintain our tax treatment as a RIC, we must also meet certain asset diversification requirements at the end of each calendar quarter. Failure to meet these requirements may result in our losing our RIC tax treatment or our having to dispose of certain investments quickly in order to prevent the loss of RIC tax treatment. Because most of our investments will be in private or thinly traded public companies, any such dispositions could be made at disadvantageous prices and may result in substantial losses. The annual distribution requirement applicable to RICs will be satisfied if we timely distribute at least 90.0% of our net ordinary income and net short-term capital gains in excess of net long-term capital losses, if any, to our stockholders on an annual basis. In addition, we will be subject to a 4.0% nondeductible U.S. federal excise tax to the extent that we do not satisfy certain additional minimum distribution requirements on a calendar-year basis. We will be subject, to the extent we use debt financing, to certain asset coverage ratio requirements under the 1940 Act and financial covenants under loan and credit agreements that could, under certain circumstances, restrict us from making annual distributions necessary to maintain our tax treatment as a RIC. If we are unable to obtain cash from other sources, we may fail to maintain our tax treatment as a RIC and, thus, may be subject to U.S. federal corporate income tax on our entire taxable income without regard to any distributions made by us. If we fail to maintain our tax treatment as a RIC for any reason and become subject to U.S. corporate income tax, the resulting tax liability could substantially reduce our net assets, the amount of income available for distributions to stockholders and the amount of our distributions and the amount of funds available for new investments. Such a failure could have a material adverse effect on us and our stockholders.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117"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of the risk factors described in this annual report on Form 10-K, including the COVID-19 pandemic described above. For example, if the capacity and operating restrictions on businesses, supply chain disruptions and labor shortages, including the United States, as a result of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 facilities or other leverage, we may be limited in our ability to make distributions. All distributions will be made at the discretion of our board of directors and will depend on our earnings, our financial condition, maintenance of RIC tax treatment, compliance with applicable BDC regulations, SBA regulations, state corporate laws affecting the distribution of corporate assets and such other factors as our board of directors may deem relevant from time to time. We cannot assure you that we will make distributions to our stockholders in the future.</w:t>
      </w:r>
    </w:p>
    <w:p>
      <w:pPr>
        <w:spacing w:after="0" w:line="117"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The above-referenced restrictions on distributions may also inhibit our ability to make required interest payments to holders of our debt securities, which may cause a default under the terms of our then-existing debt agreements. Such a default could materially increase our cost of raising capital, as well as cause us to incur penalties under the terms of our then-existing debt agreements.</w:t>
      </w:r>
    </w:p>
    <w:p>
      <w:pPr>
        <w:spacing w:after="0" w:line="128"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When we make quarterly distributions, we will be required to determine the extent to which such distributions are paid out of current and accumulated earnings and profits, recognized capital gain or capital. To the extent there is a return of capital, an investor gets his or her own invested capital returned to him or her, but reduced by the amount of the Company’s expenses and any sales load he or she may have paid. In addition, investors will be required to reduce their basis in our stock for U.S. federal income tax purposes.</w:t>
      </w:r>
    </w:p>
    <w:p>
      <w:pPr>
        <w:spacing w:after="0" w:line="13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We may choose to pay dividends in our own stock, in which case you may be required to pay tax in excess of the cash you receive.</w:t>
      </w:r>
    </w:p>
    <w:p>
      <w:pPr>
        <w:spacing w:after="0" w:line="104"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7"/>
          <w:szCs w:val="17"/>
          <w:color w:val="auto"/>
        </w:rPr>
        <w:t>Under certain applicable provisions of the Code and the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their distributions in cash, we must allocate the cash available for distribution among the shareholders electing to receive cash (with the balance of the distribution paid in shares of our common stock). If we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w:t>
      </w:r>
    </w:p>
    <w:p>
      <w:pPr>
        <w:spacing w:after="0" w:line="186"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Furthermore, with respect to non-U.S. stockholders, we may be required to withhold U.S. tax with respect to such dividends, including in respect of all or a portion of such dividend that is payable in stock. If a significant number of our stockholders determine to sell shares of our stock in order to pay taxes owed on dividends, it may put downward pressure on the trading price of our stock.</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17"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37"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7"/>
          <w:szCs w:val="17"/>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referred to as "spillover dividends", the dividend will be treated for all US federal income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2021 until as late as December 31, 2022. If we choose to pay a spillover dividend, we will incur the 4% U.S. federal excise tax on some or all of the distribution.</w:t>
      </w:r>
    </w:p>
    <w:p>
      <w:pPr>
        <w:spacing w:after="0" w:line="127"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above under “We may choose to pay dividends in our own stock, in which case you may be required to pay tax in excess of the cash you receive.”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81"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For U.S. federal income tax purposes, we are required to include in our income certain amounts that we have not yet received in cash, such as OID, which may arise if we receive warrants in connection with the making of a loan or in other circumstances, and contractual PIK interest, which represents contractual interest added to the loan balance and due at the end of the loan term. Such OID, or increases in loan balances as a result of contracted PIK arrangements, will be included in our income before we receive any corresponding cash payments. We also may be required to include in our income certain other amounts that we will not receive in cash.</w:t>
      </w:r>
    </w:p>
    <w:p>
      <w:pPr>
        <w:spacing w:after="0" w:line="135"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Since in certain cases we may be required to recognize income before or without receiving cash representing such income, we may have difficulty meeting the requirement to distribute on an annual basis at least 90.0% of our net ordinary income and net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7"/>
          <w:szCs w:val="17"/>
          <w:color w:val="auto"/>
        </w:rPr>
        <w:t>short-term capital gains in excess of net long-term capital losses, if any, to maintain our tax treatment as a RIC. In such a case, we may have to sell some of our investments at times and/or at prices we would not consider advantageous, raise additional debt or equity capital or forgo new investment opportunities to satisfy the annual distribution requirements. In such circumstances, if we are unable to obtain such cash from other sources, we may fail to maintain our tax treatment as a RIC and thus be subject to corporate-level U.S. federal income tax. See “We will be subject to corporate-level U.S. federal income tax if we are unable to maintain our tax treatment as a RIC under Subchapter M of the Code.”</w:t>
      </w:r>
    </w:p>
    <w:p>
      <w:pPr>
        <w:spacing w:after="0" w:line="120"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 it received that was based on accrued income that we never receive as a result of a default by an entity on the obligation that resulted in the accrual of such income. That part of the incentive fee payable by us that relates to our net investment income will be computed and paid on income that may include interest that has been accrued but not yet received in cash, such as market discount, debt instruments with PIK interest, preferred stock with PIK dividends and zero coupon securities.</w:t>
      </w:r>
    </w:p>
    <w:p>
      <w:pPr>
        <w:spacing w:after="0" w:line="135"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To the extent we invest in OID instruments, including PIK loans, zero coupon bonds, and debt securities with attached warrants, investors will be exposed to the risks associated with the inclusion of such non-cash income in taxable and accounting income prior to receipt of cash, including the following risks:</w:t>
      </w:r>
    </w:p>
    <w:p>
      <w:pPr>
        <w:spacing w:after="0" w:line="168" w:lineRule="exact"/>
        <w:rPr>
          <w:sz w:val="20"/>
          <w:szCs w:val="20"/>
          <w:color w:val="auto"/>
        </w:rPr>
      </w:pPr>
    </w:p>
    <w:p>
      <w:pPr>
        <w:ind w:left="920" w:right="20" w:hanging="440"/>
        <w:spacing w:after="0" w:line="235"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interest payments deferred on a PIK loan are subject to the risk that the borrower may default when the deferred payments are due in cash at the maturity of the loan;</w:t>
      </w:r>
    </w:p>
    <w:p>
      <w:pPr>
        <w:spacing w:after="0" w:line="175" w:lineRule="exact"/>
        <w:rPr>
          <w:rFonts w:ascii="Arial" w:cs="Arial" w:eastAsia="Arial" w:hAnsi="Arial"/>
          <w:sz w:val="18"/>
          <w:szCs w:val="18"/>
          <w:color w:val="auto"/>
        </w:rPr>
      </w:pPr>
    </w:p>
    <w:p>
      <w:pPr>
        <w:ind w:left="920" w:right="20" w:hanging="440"/>
        <w:spacing w:after="0" w:line="235"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interest rates on PIK loans are higher to reflect the time-value of money on deferred interest payments and the higher credit risk of borrowers who may need to defer interest payments;</w:t>
      </w:r>
    </w:p>
    <w:p>
      <w:pPr>
        <w:spacing w:after="0" w:line="175" w:lineRule="exact"/>
        <w:rPr>
          <w:rFonts w:ascii="Arial" w:cs="Arial" w:eastAsia="Arial" w:hAnsi="Arial"/>
          <w:sz w:val="18"/>
          <w:szCs w:val="18"/>
          <w:color w:val="auto"/>
        </w:rPr>
      </w:pPr>
    </w:p>
    <w:p>
      <w:pPr>
        <w:ind w:left="920" w:right="20" w:hanging="440"/>
        <w:spacing w:after="0" w:line="235"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PIK instruments may have unreliable valuations because the accruals require judgments about ultimate collectability of the deferred payments and the value of the associated collateral;</w:t>
      </w:r>
    </w:p>
    <w:p>
      <w:pPr>
        <w:spacing w:after="0" w:line="175" w:lineRule="exact"/>
        <w:rPr>
          <w:rFonts w:ascii="Arial" w:cs="Arial" w:eastAsia="Arial" w:hAnsi="Arial"/>
          <w:sz w:val="18"/>
          <w:szCs w:val="18"/>
          <w:color w:val="auto"/>
        </w:rPr>
      </w:pPr>
    </w:p>
    <w:p>
      <w:pPr>
        <w:jc w:val="both"/>
        <w:ind w:left="920" w:right="20" w:hanging="440"/>
        <w:spacing w:after="0" w:line="224"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election to defer PIK interest payments by adding them to principal increases our gross assets and, thus, increases future base management fees to the investment advisor and, because interest payments will then be payable on a larger principal amount, the PIK election also increases the investment advisor’s future income incentive fees at a compounding rate;</w:t>
      </w:r>
    </w:p>
    <w:p>
      <w:pPr>
        <w:spacing w:after="0" w:line="176" w:lineRule="exact"/>
        <w:rPr>
          <w:rFonts w:ascii="Arial" w:cs="Arial" w:eastAsia="Arial" w:hAnsi="Arial"/>
          <w:sz w:val="18"/>
          <w:szCs w:val="18"/>
          <w:color w:val="auto"/>
        </w:rPr>
      </w:pPr>
    </w:p>
    <w:p>
      <w:pPr>
        <w:ind w:left="920" w:right="20" w:hanging="440"/>
        <w:spacing w:after="0" w:line="235"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prices of OID instruments are more volatile because they are affected to a greater extent by interest rate changes than instruments that pay interest periodically in cash;</w:t>
      </w:r>
    </w:p>
    <w:p>
      <w:pPr>
        <w:spacing w:after="0" w:line="175" w:lineRule="exact"/>
        <w:rPr>
          <w:rFonts w:ascii="Arial" w:cs="Arial" w:eastAsia="Arial" w:hAnsi="Arial"/>
          <w:sz w:val="18"/>
          <w:szCs w:val="18"/>
          <w:color w:val="auto"/>
        </w:rPr>
      </w:pPr>
    </w:p>
    <w:p>
      <w:pPr>
        <w:ind w:left="920" w:hanging="440"/>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deferral of interest on a PIK loan increases its loan-to-value ratio, which is a measure of the riskiness of a loan;</w:t>
      </w:r>
    </w:p>
    <w:p>
      <w:pPr>
        <w:spacing w:after="0" w:line="198" w:lineRule="exact"/>
        <w:rPr>
          <w:rFonts w:ascii="Arial" w:cs="Arial" w:eastAsia="Arial" w:hAnsi="Arial"/>
          <w:sz w:val="18"/>
          <w:szCs w:val="18"/>
          <w:color w:val="auto"/>
        </w:rPr>
      </w:pPr>
    </w:p>
    <w:p>
      <w:pPr>
        <w:ind w:left="920" w:hanging="440"/>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OID creates the risk of non-refundable cash payments to the investment advisor based on non-cash accruals that may never be realized;</w:t>
      </w:r>
    </w:p>
    <w:p>
      <w:pPr>
        <w:spacing w:after="0" w:line="209" w:lineRule="exact"/>
        <w:rPr>
          <w:rFonts w:ascii="Arial" w:cs="Arial" w:eastAsia="Arial" w:hAnsi="Arial"/>
          <w:sz w:val="17"/>
          <w:szCs w:val="17"/>
          <w:color w:val="auto"/>
        </w:rPr>
      </w:pPr>
    </w:p>
    <w:p>
      <w:pPr>
        <w:ind w:left="920" w:right="20" w:hanging="440"/>
        <w:spacing w:after="0" w:line="289" w:lineRule="auto"/>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U.S. federal income tax purposes, we will be required to make distributions of OID income to shareholders without receiving any cash and such distributions have to be paid from offering proceeds or the sale of assets without investors being given any notice of this fact; and</w:t>
      </w:r>
    </w:p>
    <w:p>
      <w:pPr>
        <w:spacing w:after="0" w:line="137" w:lineRule="exact"/>
        <w:rPr>
          <w:rFonts w:ascii="Arial" w:cs="Arial" w:eastAsia="Arial" w:hAnsi="Arial"/>
          <w:sz w:val="16"/>
          <w:szCs w:val="16"/>
          <w:color w:val="auto"/>
        </w:rPr>
      </w:pPr>
    </w:p>
    <w:p>
      <w:pPr>
        <w:jc w:val="both"/>
        <w:ind w:left="920" w:right="20" w:hanging="440"/>
        <w:spacing w:after="0" w:line="224"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required recognition of OID, including PIK, interest for U.S. federal income tax purposes may have a negative impact on liquidity, because it represents a non-cash component of the our taxable income that must, nevertheless, be distributed in cash to investors to avoid it being subject to corporate level taxation.</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have a current tax liability on distributions you elect to reinvest in our common stock but would not receive cash to pay such tax liability.</w:t>
      </w:r>
    </w:p>
    <w:p>
      <w:pPr>
        <w:spacing w:after="0" w:line="181" w:lineRule="exact"/>
        <w:rPr>
          <w:sz w:val="20"/>
          <w:szCs w:val="20"/>
          <w:color w:val="auto"/>
        </w:rPr>
      </w:pPr>
    </w:p>
    <w:p>
      <w:pPr>
        <w:jc w:val="both"/>
        <w:ind w:firstLine="478"/>
        <w:spacing w:after="0" w:line="294" w:lineRule="auto"/>
        <w:rPr>
          <w:sz w:val="20"/>
          <w:szCs w:val="20"/>
          <w:color w:val="auto"/>
        </w:rPr>
      </w:pPr>
      <w:r>
        <w:rPr>
          <w:rFonts w:ascii="Arial" w:cs="Arial" w:eastAsia="Arial" w:hAnsi="Arial"/>
          <w:sz w:val="16"/>
          <w:szCs w:val="16"/>
          <w:color w:val="auto"/>
        </w:rPr>
        <w:t>If you participate in our dividend reinvestment plan, you will be deemed to have received, and for U.S. federal income tax purposes will be taxed on, the amount reinvested in our common stock to the extent the amount reinvested was not a tax-free return of capital. As a result, unless you are a tax-exempt entity, you may have to use funds from other sources to pay your tax liability on the value of our common stock received as a result of the distribution.</w:t>
      </w:r>
    </w:p>
    <w:p>
      <w:pPr>
        <w:spacing w:after="0" w:line="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17"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color w:val="auto"/>
        </w:rPr>
        <w:t>We have elected to be taxed for U.S. federal income tax purposes as a RIC under Subchapter M of the Code. If we continue to meet certain requirements, including source-of-income, asset diversification and distribution requirements, and if we continue to be regulated as a BDC, we will continue to qualify to be taxed as a RIC and therefore will not have to pay corporate-level U.S. federal income tax on income that we timely distribute to our stockholders, allowing us to substantially reduce or eliminate our corporate-level income tax liability. As a BDC, we are generally required to meet a coverage ratio of total assets to total senior securities, which includes all of our borrowings (other than SBA leverage) and any preferred stock we may issue in the future, of at least 150.0% at the time we issue any debt or preferred stock. This requirement limits the amount of our leverage. Because we will continue to need capital to grow</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jc w:val="both"/>
        <w:spacing w:after="0" w:line="261" w:lineRule="auto"/>
        <w:rPr>
          <w:sz w:val="20"/>
          <w:szCs w:val="20"/>
          <w:color w:val="auto"/>
        </w:rPr>
      </w:pPr>
      <w:r>
        <w:rPr>
          <w:rFonts w:ascii="Arial" w:cs="Arial" w:eastAsia="Arial" w:hAnsi="Arial"/>
          <w:sz w:val="18"/>
          <w:szCs w:val="18"/>
          <w:color w:val="auto"/>
        </w:rPr>
        <w:t>our investment portfolio, this limitation may prevent us from incurring debt or issuing preferred stock and require us to raise additional equity at a time when it may be disadvantageous to do so.</w:t>
      </w:r>
    </w:p>
    <w:p>
      <w:pPr>
        <w:spacing w:after="0" w:line="117"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6"/>
          <w:szCs w:val="16"/>
          <w:color w:val="auto"/>
        </w:rPr>
        <w:t>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BDC, we generally are not permitted to issue equity securities priced below net asset value without stockholder approval. At our Annual Stockholders Meeting on July 14, 2021, our stockholders voted to allow us to issue common stock at a price below net asset value per share for a period of one year ending on the earlier of June 14, 2022 or the date of our 2022 Annual Meeting of Stockholders. We expect to present to our stockholders a similar proposal at our 2022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17"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Our board of directors has the authority, except as otherwise provided by the 1940 Act, to modify or waive certain of our operating policies and strategies without prior notice and without stockholder approval. Under Maryland law, we also cannot be dissolved without prior stockholder approval except by judicial action. In addition, upon approval of a majority of our stockholders, we may elect to withdraw our status as a BDC. If we, or Fund I, decide to withdraw our election, or if we otherwise fail to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 We cannot predict the effect any changes to our current operating policies and strategies would have on our business, operating results or the value of our common stock. Nevertheless, any such changes could adversely affect our business and impair our ability to make distributions.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raise, and the way in which we raise, additional capital which may have a negative effect on our growth.</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business will require capital to operate and grow. We may acquire such additional capital from the following sources:</w:t>
      </w:r>
    </w:p>
    <w:p>
      <w:pPr>
        <w:spacing w:after="0" w:line="158" w:lineRule="exact"/>
        <w:rPr>
          <w:sz w:val="20"/>
          <w:szCs w:val="20"/>
          <w:color w:val="auto"/>
        </w:rPr>
      </w:pPr>
    </w:p>
    <w:p>
      <w:pPr>
        <w:jc w:val="both"/>
        <w:ind w:firstLine="478"/>
        <w:spacing w:after="0" w:line="294" w:lineRule="auto"/>
        <w:rPr>
          <w:sz w:val="20"/>
          <w:szCs w:val="20"/>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Currently we, through the Funds, issue debt securities guaranteed by the SBA and have access to funds under a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In the future, we may issue debt securities or preferred stock and/or borrow money from banks or other financial institutions, which we refer to collectively as senior securities. As a result of issuing senior securities, we will be exposed to additional risks, including, but not limited to, the following:</w:t>
      </w:r>
    </w:p>
    <w:p>
      <w:pPr>
        <w:spacing w:after="0" w:line="93" w:lineRule="exact"/>
        <w:rPr>
          <w:sz w:val="20"/>
          <w:szCs w:val="20"/>
          <w:color w:val="auto"/>
        </w:rPr>
      </w:pPr>
    </w:p>
    <w:p>
      <w:pPr>
        <w:jc w:val="both"/>
        <w:ind w:left="1080" w:right="2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the provisions of the 1940 Act, we are permitted, as a BDC, to issue senior securities only in amounts such that our asset coverage, as defined in the 1940 Act, equals at least 200.0% after each issuance of senior securities (or 150.0%, if certain requirements are met). If the value of our assets declines, we may be unable to satisfy this test. If that happens, we may sell a portion of our investments and, depending on the nature of our leverage, repay a portion of our debt at a time when such sales and/or repayments may be disadvantageous. Further, we will not be permitted to declare or make any distribution to stockholders or repurchase shares until such time as we satisfy this test.</w:t>
      </w:r>
    </w:p>
    <w:p>
      <w:pPr>
        <w:ind w:left="1080" w:right="40" w:hanging="424"/>
        <w:spacing w:after="0" w:line="21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amounts that we use to service our debt or make payments on preferred stock will not be available for distributions to our common stockholders.</w:t>
      </w:r>
    </w:p>
    <w:p>
      <w:pPr>
        <w:jc w:val="both"/>
        <w:ind w:left="1080" w:right="20" w:hanging="424"/>
        <w:spacing w:after="0" w:line="211"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likely that any senior securities or other indebtedness we issue will be governed by an indenture or other instrument containing covenants restricting our operating flexibility. Additionally, some of these securities or other indebtedness may be rated by rating agencies, and in obtaining a rating for such securities and other indebtedness, we may be required to abide by operating and investment guidelines that further restrict operating and financial flexibility.</w:t>
      </w:r>
    </w:p>
    <w:p>
      <w:pPr>
        <w:spacing w:after="0" w:line="1" w:lineRule="exact"/>
        <w:rPr>
          <w:rFonts w:ascii="Arial" w:cs="Arial" w:eastAsia="Arial" w:hAnsi="Arial"/>
          <w:sz w:val="18"/>
          <w:szCs w:val="18"/>
          <w:color w:val="auto"/>
        </w:rPr>
      </w:pPr>
    </w:p>
    <w:p>
      <w:pPr>
        <w:ind w:left="1080" w:hanging="424"/>
        <w:spacing w:after="0" w:line="234"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indirectly, our stockholders will bear the cost of issuing and servicing such securities and other indebtedness.</w:t>
      </w:r>
    </w:p>
    <w:p>
      <w:pPr>
        <w:jc w:val="both"/>
        <w:ind w:left="1080" w:right="20" w:hanging="424"/>
        <w:spacing w:after="0" w:line="21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Preferred stock or any convertible or exchangeable securities that we issue in the future may have rights, preferences and privileges more favorable than those of our common stock, including separate voting rights and could delay or prevent a transaction or a change in control to the detriment of the holders of our common stock.</w:t>
      </w:r>
    </w:p>
    <w:p>
      <w:pPr>
        <w:spacing w:after="0" w:line="135"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i w:val="1"/>
          <w:iCs w:val="1"/>
          <w:color w:val="auto"/>
        </w:rPr>
        <w:t xml:space="preserve">Additional Common Stock. </w:t>
      </w:r>
      <w:r>
        <w:rPr>
          <w:rFonts w:ascii="Arial" w:cs="Arial" w:eastAsia="Arial" w:hAnsi="Arial"/>
          <w:sz w:val="18"/>
          <w:szCs w:val="18"/>
          <w:color w:val="auto"/>
        </w:rPr>
        <w:t>Under the provisions of the 1940 Act, we are not generally able to issue and sell our common stock at a price below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 value per share. We may, however, sell our common stock, warrants, options or rights to acquire our common stock, at a price below the current net asset value of the common stock if our board of directors determines that such sale is in the best interests of our stockholders, and our stockholders approve such sale. At our Annual Stockholders Meeting on July 14, 2021, our stockholders voted to allow us to issue common stock at a price below net asset value per share for a period of one year ending on the earlier of June 14, 2022 or the date of our 2022 Annual Meeting of Stockholders. We expect to present to our stockholders a similar proposal at our 2022 Annual Meeting of Stockholders. The maximum number of shares issuable below net asset value pursuant to the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jc w:val="both"/>
        <w:spacing w:after="0" w:line="271" w:lineRule="auto"/>
        <w:rPr>
          <w:sz w:val="20"/>
          <w:szCs w:val="20"/>
          <w:color w:val="auto"/>
        </w:rPr>
      </w:pPr>
      <w:r>
        <w:rPr>
          <w:rFonts w:ascii="Arial" w:cs="Arial" w:eastAsia="Arial" w:hAnsi="Arial"/>
          <w:sz w:val="16"/>
          <w:szCs w:val="16"/>
          <w:color w:val="auto"/>
        </w:rPr>
        <w:t>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 In any such case, however, the price at which our common stock is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 and the regulations and staff interpretations thereunder.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about U.S. Presidential Administration initiatives could negatively impact our business, financial condition and results of operations.</w:t>
      </w:r>
    </w:p>
    <w:p>
      <w:pPr>
        <w:spacing w:after="0" w:line="22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The U.S. government has recently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16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A particular area identified as subject to potential change, amendment or repeal includes the Dodd-Frank Act, including the Volcker Rule and various swaps and derivatives regulations, credit risk retention requirements and the authorities of the Federal Reserve, the Financial Stability Oversight Council and the SEC. Given the uncertainty associated with the manner in which and whether the provisions of the Dodd-Frank Act will be implemented, repealed, amended, or replaced, the full impact such requirements will have on our business, results of operations or financial condition is unclear. The changes resulting from the Dodd-Frank Act or any changes to the regulations already implemented thereunder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or financial condition. While we cannot predict what effect any changes in the laws or regulations or their interpretations would have on us as a result of recent financial reform legislation, these changes could be materially adverse to us and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relating to taxes could have a negative effect on the Company.</w:t>
      </w:r>
    </w:p>
    <w:p>
      <w:pPr>
        <w:spacing w:after="0" w:line="19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auto"/>
        </w:rPr>
        <w:t>Legislative or other actions relating to taxes could have a negative effect on the Company and its investors. The rules dealing with U.S. federal income taxation are constantly under review by persons involved in the legislative process and by the IRS and the U.S. Treasury Department. We cannot predict with certainty how any changes in the tax laws might affect the Company, its investments or its investors. New legislation and any U.S. Treasury regulations, administrative interpretations or court decisions interpreting such legislation could significantly and negatively affect the Company’s ability to qualify for tax treatment as a RIC or the U.S. federal income tax consequences to the Company and its investors of such qualification, or could have other adverse consequences. You are urged to consult with your tax advisor with respect to the impact of the status of any legislative, regulatory or administrative developments and proposals and their potential effect on your investment in our securities.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There is uncertainty surrounding potential legal, regulatory and policy changes by new presidential administrations in the United States that may directly affect financial institutions and the global economy.</w:t>
      </w:r>
    </w:p>
    <w:p>
      <w:pPr>
        <w:spacing w:after="0" w:line="157"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Changes in federal policy, including tax policies, and at regulatory agencies are expected to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personnel or policy changes may adversely affect our operating environment and therefore our business, financial condition, results of operations and growth prospects.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may adversely affect our business or cause us to alter our business strategy.</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3" w:name="page44"/>
    <w:bookmarkEnd w:id="43"/>
    <w:p>
      <w:pPr>
        <w:jc w:val="both"/>
        <w:ind w:firstLine="478"/>
        <w:spacing w:after="0" w:line="243" w:lineRule="auto"/>
        <w:rPr>
          <w:sz w:val="20"/>
          <w:szCs w:val="20"/>
          <w:color w:val="auto"/>
        </w:rPr>
      </w:pPr>
      <w:r>
        <w:rPr>
          <w:rFonts w:ascii="Arial" w:cs="Arial" w:eastAsia="Arial" w:hAnsi="Arial"/>
          <w:sz w:val="18"/>
          <w:szCs w:val="18"/>
          <w:color w:val="auto"/>
        </w:rPr>
        <w:t>We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 In addition, any change to the SBA’s current debenture program could have a significant impact on our ability to obtain low-cost leverage and, therefore, our competitive advantage over other funds.</w:t>
      </w:r>
    </w:p>
    <w:p>
      <w:pPr>
        <w:spacing w:after="0" w:line="134" w:lineRule="exact"/>
        <w:rPr>
          <w:sz w:val="20"/>
          <w:szCs w:val="20"/>
          <w:color w:val="auto"/>
        </w:rPr>
      </w:pPr>
    </w:p>
    <w:p>
      <w:pPr>
        <w:jc w:val="both"/>
        <w:ind w:right="80" w:firstLine="478"/>
        <w:spacing w:after="0" w:line="243" w:lineRule="auto"/>
        <w:rPr>
          <w:sz w:val="20"/>
          <w:szCs w:val="20"/>
          <w:color w:val="auto"/>
        </w:rPr>
      </w:pPr>
      <w:r>
        <w:rPr>
          <w:rFonts w:ascii="Arial" w:cs="Arial" w:eastAsia="Arial" w:hAnsi="Arial"/>
          <w:sz w:val="18"/>
          <w:szCs w:val="18"/>
          <w:color w:val="auto"/>
        </w:rPr>
        <w:t>Legal, tax and regulatory changes could occur that may adversely affect us. For example, from time to time the market for private equity transactions has been (and is currently being) adversely affected by a decrease in the availability of senior and subordinated financings for transactions, in part in response to credit market disruptions and/or regulatory pressures on providers of financing to reduce or eliminate their exposure to the risks involved in such transactions.</w:t>
      </w:r>
    </w:p>
    <w:p>
      <w:pPr>
        <w:spacing w:after="0" w:line="134"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Additionally, any changes to the laws and regulations governing our operations related to permitted investments may cause us to alter our investment strategy in order to meet our investment objectives. Such changes could result in material differences to the strategies and plans set forth in this Annual Report and may shift our investment focus from the areas of expertise of our investment advisor to other types of investments in which our investment advisor may have little or no expertise or experience. Any such changes, if they occur, could have a material adverse effect on our results of operations and the value of your investment.</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cannot predict how new tax legislation will affect us, our investments, or our stockholders, and any such legislation could adversely affect our business.</w:t>
      </w:r>
    </w:p>
    <w:p>
      <w:pPr>
        <w:spacing w:after="0" w:line="117"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shares.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tariff and import/export regulations may have a negative effect on our portfolio companies and, in turn, harm us.</w:t>
      </w:r>
    </w:p>
    <w:p>
      <w:pPr>
        <w:spacing w:after="0" w:line="158"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color w:val="auto"/>
        </w:rPr>
        <w:t>There has been ongoing discussion and commentary regarding potential significant changes to U.S. trade policies, treaties and tariffs. The current U.S. presidential administration, along with the U.S. Congress, has created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and have a material adverse effect on their business, financial condition and results of operations, which in turn would negatively impact us.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and exit investment transactions with our affiliates will be restricted.</w:t>
      </w:r>
    </w:p>
    <w:p>
      <w:pPr>
        <w:spacing w:after="0" w:line="158" w:lineRule="exact"/>
        <w:rPr>
          <w:sz w:val="20"/>
          <w:szCs w:val="20"/>
          <w:color w:val="auto"/>
        </w:rPr>
      </w:pPr>
    </w:p>
    <w:p>
      <w:pPr>
        <w:jc w:val="both"/>
        <w:ind w:firstLine="478"/>
        <w:spacing w:after="0" w:line="252" w:lineRule="auto"/>
        <w:rPr>
          <w:sz w:val="20"/>
          <w:szCs w:val="20"/>
          <w:color w:val="auto"/>
        </w:rPr>
      </w:pPr>
      <w:r>
        <w:rPr>
          <w:rFonts w:ascii="Arial" w:cs="Arial" w:eastAsia="Arial" w:hAnsi="Arial"/>
          <w:sz w:val="17"/>
          <w:szCs w:val="17"/>
          <w:color w:val="auto"/>
        </w:rPr>
        <w:t>Except in those instances where we have received prior exemptive relief from the SEC, we will be prohibited under the 1940 Act from knowingly participating in certain transactions with our affiliates without the prior approval of our Independent Directors. We, our investment advisor, the Funds, and Fidus Credit Opportunities, L.P. received exemptive relief from the SEC under the 1940 Act, which permits us to co-invest with other funds managed by our investment advisor or its affiliates in a manner consistent with our investment objective, positions, policies, strategies and restrictions as well as regulatory requirements and other pertinent factors. In addition, any person that owns, directly or indirectly, 5.0% or more of our outstanding voting securities is deemed our affiliate for purposes of the 1940 Act and we are generally prohibited from buying or selling any security from or to such affiliate, absent the prior approval of our Independent Directors. The 1940 Act also prohibits “joint” transactions with an affiliate, which could include investments in the same portfolio company (whether at the same or different times), without prior approval of our Independent Directors. If a person acquires more than 25.0% of our voting securities, we will be prohibited from buying or selling any security from or to such person, or entering into joint transactions with such person, absent the prior approval of the SEC. These restrictions could limit or prohibit us from making certain attractive investments that we might otherwise make absent such restrictions.</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investment advisor can resign on 60 days’ notice, and we may not be able to find a suitable replacement within that time, resulting in a disruption in our operations that could adversely affect our financial condition, business and results of operations.</w:t>
      </w:r>
    </w:p>
    <w:p>
      <w:pPr>
        <w:spacing w:after="0" w:line="117"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Our investment advisor has the right, under the Investment Advisory Agreement, to resign at any time upon not less than 60 days’ written notice, whether we have found a replacement or not. If our investment advisor resigns, we may not be able to find a new investment advisor and administrator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jc w:val="both"/>
        <w:spacing w:after="0" w:line="284" w:lineRule="auto"/>
        <w:rPr>
          <w:sz w:val="20"/>
          <w:szCs w:val="20"/>
          <w:color w:val="auto"/>
        </w:rPr>
      </w:pPr>
      <w:r>
        <w:rPr>
          <w:rFonts w:ascii="Arial" w:cs="Arial" w:eastAsia="Arial" w:hAnsi="Arial"/>
          <w:sz w:val="16"/>
          <w:szCs w:val="16"/>
          <w:color w:val="auto"/>
        </w:rPr>
        <w:t>affected and the market price of our shares may decline. In addition, investment activities are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0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Our investment advisor can resign from its role as our administrator under the Administration Agreement, and we may not be able to find a suitable replacement, resulting in a disruption in our operations that could adversely affect our financial condition, business and results of operations.</w:t>
      </w:r>
    </w:p>
    <w:p>
      <w:pPr>
        <w:spacing w:after="0" w:line="70"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6"/>
          <w:szCs w:val="16"/>
          <w:color w:val="auto"/>
        </w:rPr>
        <w:t>Our investment advisor also has the right to resign under the Administration Agreement, whether we have found a replacement or not. If our investment advisor resigns as our administrator, we may not be able to find a new administrator or hire internal management with similar expertise and ability to provide the same or equivalent services on acceptable terms,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administrative activities are likely to suffer if we are unable to identify and reach an agreement with a service provider or individuals with the expertise possessed by our investment advisor. Even if we are able to retain a comparable service provider or individuals to perform such services, whether internal or external, their integration into our business and lack of familiarity with our investment objective may result in additional costs and time delays that may adversely affect our financial condition, business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and external cyber threats, as well as other disasters, could impair our ability to conduct business effectively.</w:t>
      </w:r>
    </w:p>
    <w:p>
      <w:pPr>
        <w:spacing w:after="0" w:line="198" w:lineRule="exact"/>
        <w:rPr>
          <w:sz w:val="20"/>
          <w:szCs w:val="20"/>
          <w:color w:val="auto"/>
        </w:rPr>
      </w:pPr>
    </w:p>
    <w:p>
      <w:pPr>
        <w:jc w:val="both"/>
        <w:ind w:firstLine="478"/>
        <w:spacing w:after="0" w:line="284" w:lineRule="auto"/>
        <w:rPr>
          <w:sz w:val="20"/>
          <w:szCs w:val="20"/>
          <w:color w:val="auto"/>
        </w:rPr>
      </w:pPr>
      <w:r>
        <w:rPr>
          <w:rFonts w:ascii="Arial" w:cs="Arial" w:eastAsia="Arial" w:hAnsi="Arial"/>
          <w:sz w:val="16"/>
          <w:szCs w:val="16"/>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55" w:lineRule="exact"/>
        <w:rPr>
          <w:sz w:val="20"/>
          <w:szCs w:val="20"/>
          <w:color w:val="auto"/>
        </w:rPr>
      </w:pPr>
    </w:p>
    <w:p>
      <w:pPr>
        <w:jc w:val="both"/>
        <w:ind w:firstLine="478"/>
        <w:spacing w:after="0" w:line="268" w:lineRule="auto"/>
        <w:rPr>
          <w:sz w:val="20"/>
          <w:szCs w:val="20"/>
          <w:color w:val="auto"/>
        </w:rPr>
      </w:pPr>
      <w:r>
        <w:rPr>
          <w:rFonts w:ascii="Arial" w:cs="Arial" w:eastAsia="Arial" w:hAnsi="Arial"/>
          <w:sz w:val="16"/>
          <w:szCs w:val="16"/>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malware and computer virus attacks, or system failures and disruptions.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investment advisor’s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18" w:lineRule="exact"/>
        <w:rPr>
          <w:sz w:val="20"/>
          <w:szCs w:val="20"/>
          <w:color w:val="auto"/>
        </w:rPr>
      </w:pPr>
    </w:p>
    <w:p>
      <w:pPr>
        <w:jc w:val="both"/>
        <w:ind w:firstLine="478"/>
        <w:spacing w:after="0" w:line="262" w:lineRule="auto"/>
        <w:rPr>
          <w:sz w:val="20"/>
          <w:szCs w:val="20"/>
          <w:color w:val="auto"/>
        </w:rPr>
      </w:pPr>
      <w:r>
        <w:rPr>
          <w:rFonts w:ascii="Arial" w:cs="Arial" w:eastAsia="Arial" w:hAnsi="Arial"/>
          <w:sz w:val="17"/>
          <w:szCs w:val="17"/>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18" w:lineRule="exact"/>
        <w:rPr>
          <w:sz w:val="20"/>
          <w:szCs w:val="20"/>
          <w:color w:val="auto"/>
        </w:rPr>
      </w:pPr>
    </w:p>
    <w:p>
      <w:pPr>
        <w:jc w:val="both"/>
        <w:ind w:firstLine="525"/>
        <w:spacing w:after="0" w:line="238" w:lineRule="auto"/>
        <w:rPr>
          <w:sz w:val="20"/>
          <w:szCs w:val="20"/>
          <w:color w:val="auto"/>
        </w:rPr>
      </w:pPr>
      <w:r>
        <w:rPr>
          <w:rFonts w:ascii="Arial" w:cs="Arial" w:eastAsia="Arial" w:hAnsi="Arial"/>
          <w:sz w:val="18"/>
          <w:szCs w:val="18"/>
          <w:color w:val="auto"/>
        </w:rPr>
        <w:t>Third parties with which we do business may also be sources of cybersecurity or other technological risks. We outsource certain functions and these relationships allow for the storage and processing of our information, as well as counterparty, employee, and borrower information. Cybersecurity failures or breaches by service providers (including, but not limited to, accountants and custodians), and the issuers of securities in which we invest, also have the ability to cause disruptions and impact business operations, potentially resulting in financial losses, interference with our ability to calculate its NAV, impediments to trading, the inability of our stockholders to transact business, violations of applicable privacy and other laws, regulatory fines, penalties, reputation damages, reimbursement of other compensation costs, or additional compliance costs. While we engage in actions to reduce our exposure resulting from outsourcing, ongoing threats may result in unauthorized access, loss, exposure or destruction of data, or other cybersecurity incidents with increased</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5" w:name="page46"/>
    <w:bookmarkEnd w:id="45"/>
    <w:p>
      <w:pPr>
        <w:jc w:val="both"/>
        <w:ind w:right="20"/>
        <w:spacing w:after="0" w:line="261" w:lineRule="auto"/>
        <w:rPr>
          <w:sz w:val="20"/>
          <w:szCs w:val="20"/>
          <w:color w:val="auto"/>
        </w:rPr>
      </w:pPr>
      <w:r>
        <w:rPr>
          <w:rFonts w:ascii="Arial" w:cs="Arial" w:eastAsia="Arial" w:hAnsi="Arial"/>
          <w:sz w:val="18"/>
          <w:szCs w:val="18"/>
          <w:color w:val="auto"/>
        </w:rPr>
        <w:t>costs and other consequences, including those as described above. In addition, substantial costs may be incurred in order to prevent any cyber incidents in the future.</w:t>
      </w:r>
    </w:p>
    <w:p>
      <w:pPr>
        <w:spacing w:after="0" w:line="171" w:lineRule="exact"/>
        <w:rPr>
          <w:sz w:val="20"/>
          <w:szCs w:val="20"/>
          <w:color w:val="auto"/>
        </w:rPr>
      </w:pPr>
    </w:p>
    <w:p>
      <w:pPr>
        <w:jc w:val="both"/>
        <w:ind w:right="20" w:firstLine="547"/>
        <w:spacing w:after="0" w:line="270" w:lineRule="auto"/>
        <w:rPr>
          <w:sz w:val="20"/>
          <w:szCs w:val="20"/>
          <w:color w:val="auto"/>
        </w:rPr>
      </w:pPr>
      <w:r>
        <w:rPr>
          <w:rFonts w:ascii="Arial" w:cs="Arial" w:eastAsia="Arial" w:hAnsi="Arial"/>
          <w:sz w:val="17"/>
          <w:szCs w:val="17"/>
          <w:color w:val="auto"/>
        </w:rPr>
        <w:t>Privacy and information security laws and regulation changes, and compliance with those changes, may result in cost increases due to system changes and the development of new administrative processes. In addition, we may be required to expend significant additional resources to modify our protective measures and to investigate and remediate vulnerabilities or other exposures arising from operational and security risks.</w:t>
      </w:r>
    </w:p>
    <w:p>
      <w:pPr>
        <w:spacing w:after="0" w:line="110"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We and our service providers are currently impacted by operating restrictions and similar measures being enacted by governments and private businesses in response to the global COVID-19 pandemic, which are obstructing the regular functioning of business workforces (including requiring employees to work from remote locations). Policies of extended periods of remote working, whether by us or by our Service Providers, could strain technology resources, introduce operational risks and otherwise heighten the risks described above. Remote working environments may be less secure and more susceptible to hacking attacks, including phishing and social engineering attempts that seek to exploit the weakness in a remote work environment. Accordingly, the risks described above are heightened under current conditions, which may continue for an unknown duration.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factors may adversely affect our business or cause us to alter our business strategy.</w:t>
      </w:r>
    </w:p>
    <w:p>
      <w:pPr>
        <w:spacing w:after="0" w:line="15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 which may, in turn, impact the valuation of such portfolio companies.</w:t>
      </w:r>
    </w:p>
    <w:p>
      <w:pPr>
        <w:spacing w:after="0" w:line="117" w:lineRule="exact"/>
        <w:rPr>
          <w:sz w:val="20"/>
          <w:szCs w:val="20"/>
          <w:color w:val="auto"/>
        </w:rPr>
      </w:pPr>
    </w:p>
    <w:p>
      <w:pPr>
        <w:jc w:val="both"/>
        <w:ind w:firstLine="478"/>
        <w:spacing w:after="0" w:line="255" w:lineRule="auto"/>
        <w:rPr>
          <w:sz w:val="20"/>
          <w:szCs w:val="20"/>
          <w:color w:val="auto"/>
        </w:rPr>
      </w:pPr>
      <w:r>
        <w:rPr>
          <w:rFonts w:ascii="Arial" w:cs="Arial" w:eastAsia="Arial" w:hAnsi="Arial"/>
          <w:sz w:val="17"/>
          <w:szCs w:val="17"/>
          <w:color w:val="auto"/>
        </w:rPr>
        <w:t>There may be evidence of global climate change. Climate change creates physical and financial risk and certain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which may, in turn, impact the valuation of such portfolio companies. Extreme weather conditions in general require more system backup, adding to costs, and can contribute to increased system stresses, including service interruptions.</w:t>
      </w:r>
    </w:p>
    <w:p>
      <w:pPr>
        <w:spacing w:after="0" w:line="126"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In December 2015, the United Nations, of which the United States is a member, adopted a climate accord (the “Paris Agreement”) with the long-term goal of limiting global warming and the short-term goal of significantly reducing greenhouse gas emissions. On November 4, 2016, the past administration announced that the United States would cease participation in the Paris Agreement with the withdrawal taking effect on November 4, 2020. However, on January 20, 2021, President Joseph R. Biden signed an executive order to rejoin the Paris Agreement. As a result, some of our portfolio companies may become subject to new or strengthened regulations or legislation, which could increase their operating costs and/or decrease their revenues, which may, in turn, impact the valuation of such portfolio companies.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58" w:lineRule="exact"/>
        <w:rPr>
          <w:sz w:val="20"/>
          <w:szCs w:val="20"/>
          <w:color w:val="auto"/>
        </w:rPr>
      </w:pPr>
    </w:p>
    <w:p>
      <w:pPr>
        <w:jc w:val="both"/>
        <w:ind w:firstLine="478"/>
        <w:spacing w:after="0" w:line="252" w:lineRule="auto"/>
        <w:rPr>
          <w:sz w:val="20"/>
          <w:szCs w:val="20"/>
          <w:color w:val="auto"/>
        </w:rPr>
      </w:pPr>
      <w:r>
        <w:rPr>
          <w:rFonts w:ascii="Arial" w:cs="Arial" w:eastAsia="Arial" w:hAnsi="Arial"/>
          <w:sz w:val="17"/>
          <w:szCs w:val="17"/>
          <w:color w:val="auto"/>
        </w:rPr>
        <w:t>Many of our portfolio companies are susceptible to economic slowdowns or recessions (including industry specific downturns) and may be unable to repay our debt investments during these periods. The COVID-19 pandemic has disrupted economic markets, and the prolonged economic impact is uncertain. Many manufacturers of goods in China and other countries in Asia have seen a downturn in production due to the suspension of business and temporary closure of factories in an attempt to curb the spread of the illness, and supply chain disruptions have also impacted productions. As the impact of COVID-19 spreads to other parts of the world, similar impacts may occur with respect to affected countries. 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 In addition, as discussed above, continued uncertainty surrounding the effect of implemented trade deals between the United Kingdom and the European Union following the United Kingdom’s exit from the European Union and uncertainty between the United States and other countries, including China, with respect to trade policies, treaties,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jc w:val="both"/>
        <w:ind w:right="20"/>
        <w:spacing w:after="0" w:line="261" w:lineRule="auto"/>
        <w:rPr>
          <w:sz w:val="20"/>
          <w:szCs w:val="20"/>
          <w:color w:val="auto"/>
        </w:rPr>
      </w:pPr>
      <w:r>
        <w:rPr>
          <w:rFonts w:ascii="Arial" w:cs="Arial" w:eastAsia="Arial" w:hAnsi="Arial"/>
          <w:sz w:val="18"/>
          <w:szCs w:val="18"/>
          <w:color w:val="auto"/>
        </w:rPr>
        <w:t>and tariffs, among other factors, have caused disruption in the global markets. There can be no assurance that market conditions will not worsen in the future.</w:t>
      </w:r>
    </w:p>
    <w:p>
      <w:pPr>
        <w:spacing w:after="0" w:line="117" w:lineRule="exact"/>
        <w:rPr>
          <w:sz w:val="20"/>
          <w:szCs w:val="20"/>
          <w:color w:val="auto"/>
        </w:rPr>
      </w:pPr>
    </w:p>
    <w:p>
      <w:pPr>
        <w:jc w:val="both"/>
        <w:ind w:firstLine="478"/>
        <w:spacing w:after="0" w:line="279" w:lineRule="auto"/>
        <w:rPr>
          <w:sz w:val="20"/>
          <w:szCs w:val="20"/>
          <w:color w:val="auto"/>
        </w:rPr>
      </w:pPr>
      <w:r>
        <w:rPr>
          <w:rFonts w:ascii="Arial" w:cs="Arial" w:eastAsia="Arial" w:hAnsi="Arial"/>
          <w:sz w:val="16"/>
          <w:szCs w:val="16"/>
          <w:color w:val="auto"/>
        </w:rPr>
        <w:t>In an economic downturn, we may have non-performing assets or non-performing assets may increase, and the value of our portfolio is likely to decrease during these periods. Adverse economic conditions may also decrease the value of any collateral securing some of our debt investments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our investments and harm our operating results.</w:t>
      </w:r>
    </w:p>
    <w:p>
      <w:pPr>
        <w:spacing w:after="0" w:line="105"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The occurrence of recessionary conditions and/or negative developments in the domestic and international credit markets may significantly affect the markets in which we do business, the value of our investments, and our ongoing operations, costs and profitability. Any such unfavorable economic conditions, including rising interest rates, may also increase our funding costs, limit our access to capital markets or negatively impact our ability to obtain financing, particularly from the debt markets. In addition, any future financial market uncertainty could lead to financial market disruptions and could further impact our ability to obtain financing. These events could limit our investment originations, limit our ability to grow and negatively impact our operating results and financial condition.</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Terrorist attacks, acts of war, or natural disasters may affect any market for our common stock, impact the businesses in which we invest and harm our business, operating results and financial condition.</w:t>
      </w:r>
    </w:p>
    <w:p>
      <w:pPr>
        <w:spacing w:after="0" w:line="117"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7"/>
          <w:szCs w:val="17"/>
          <w:color w:val="auto"/>
        </w:rPr>
        <w:t xml:space="preserve">Portfolio investments may be affected by force majeure events </w:t>
      </w:r>
      <w:r>
        <w:rPr>
          <w:rFonts w:ascii="Arial" w:cs="Arial" w:eastAsia="Arial" w:hAnsi="Arial"/>
          <w:sz w:val="17"/>
          <w:szCs w:val="17"/>
          <w:i w:val="1"/>
          <w:iCs w:val="1"/>
          <w:color w:val="auto"/>
        </w:rPr>
        <w:t>(i.e.,</w:t>
      </w:r>
      <w:r>
        <w:rPr>
          <w:rFonts w:ascii="Arial" w:cs="Arial" w:eastAsia="Arial" w:hAnsi="Arial"/>
          <w:sz w:val="17"/>
          <w:szCs w:val="17"/>
          <w:color w:val="auto"/>
        </w:rPr>
        <w:t xml:space="preserve"> events beyond the control of the party claiming that the event has occurred, including, without limitation, acts of God, fire, flood, earthquakes, war, terrorism and labor strikes). Some force majeure events may adversely affect the ability of a party (including a portfolio company or a counterparty to us or a portfolio company) to perform its obligations until it is able to remedy the force majeure event. In addition, the cost to a portfolio company of repairing or replacing damaged assets resulting from such force majeure events could be considerable. Additionally, a major governmental intervention into industry, including the nationalization of an industry or the assertion of control over one or more companies or its assets, could result in a loss to us, including if its investment in such issuer is cancelled, unwound or acquired (which could be without what we consider to be adequate compensation). To the extent we are exposed to investments in portfolio companies that as a group are exposed to such force majeure events, the risks and potential losses to us are enhanced.</w:t>
      </w:r>
    </w:p>
    <w:p>
      <w:pPr>
        <w:spacing w:after="0" w:line="127"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The continued threat of global terrorism and the impact of military and other action will likely continue to cause volatility in the economies of certain countries, contribute to increased market volatility and economic uncertainties or deterioration in the United States and worldwide and various aspects thereof, including in prices of commodities. Our portfolio investments may involve significant strategic assets having a national or regional profile. The nature of these assets could expose them to a greater risk of being the subject of a terrorist attack than other assets or businesses. Acts of war could similarly lead to such volatility. For example, in response to the conflict between Russia and Ukraine, the United States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stock to decline. In addition, these market and economic disruptions could negatively impact the operating results of our portfolio companies, which may, in turn, impact the valuation of such portfolio companies, and impact our business, operating resulting and financial condition.</w:t>
      </w:r>
    </w:p>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investments in certain industry sectors, such as the energy sector, may be subject to significant political, economic and capacity risks that may increase the possibility that we lose all or a part of our investment.</w:t>
      </w:r>
    </w:p>
    <w:p>
      <w:pPr>
        <w:spacing w:after="0" w:line="117" w:lineRule="exact"/>
        <w:rPr>
          <w:sz w:val="20"/>
          <w:szCs w:val="20"/>
          <w:color w:val="auto"/>
        </w:rPr>
      </w:pPr>
    </w:p>
    <w:p>
      <w:pPr>
        <w:jc w:val="both"/>
        <w:ind w:firstLine="469"/>
        <w:spacing w:after="0" w:line="257" w:lineRule="auto"/>
        <w:rPr>
          <w:sz w:val="20"/>
          <w:szCs w:val="20"/>
          <w:color w:val="auto"/>
        </w:rPr>
      </w:pPr>
      <w:r>
        <w:rPr>
          <w:rFonts w:ascii="Arial" w:cs="Arial" w:eastAsia="Arial" w:hAnsi="Arial"/>
          <w:sz w:val="17"/>
          <w:szCs w:val="17"/>
          <w:color w:val="auto"/>
        </w:rPr>
        <w:t>The revenues and profitability of certain portfolio companies may be significantly affected by the future prices of and the demand for oil, natural gas liquids and natural gas, which are inherently uncertain. Investments in energy companies may have significant shortfalls in projected cash flow if prices decline from levels projected at the time the investment is made. Various factors beyond our control could affect energy prices, including worldwide supplies, political instability or armed conflicts in oil, natural gas liquids and natural gas producing regions, the price of foreign imports, the level of consumer demand, the price and availability of alternative fuels, capacity constraints and changes in existing government regulation, taxation and price controls. Energy prices have fluctuated greatly during the past, and energy markets may continue to be volatile.</w:t>
      </w:r>
    </w:p>
    <w:p>
      <w:pPr>
        <w:spacing w:after="0" w:line="121"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i w:val="1"/>
          <w:iCs w:val="1"/>
          <w:color w:val="231F20"/>
        </w:rPr>
        <w:t>Changes in healthcare laws and other regulations applicable to some of our portfolio companies’ businesses may constrain their ability to offer their products and services.</w:t>
      </w:r>
    </w:p>
    <w:p>
      <w:pPr>
        <w:spacing w:after="0" w:line="117" w:lineRule="exact"/>
        <w:rPr>
          <w:sz w:val="20"/>
          <w:szCs w:val="20"/>
          <w:color w:val="auto"/>
        </w:rPr>
      </w:pPr>
    </w:p>
    <w:p>
      <w:pPr>
        <w:jc w:val="both"/>
        <w:ind w:left="120" w:right="120" w:firstLine="416"/>
        <w:spacing w:after="0" w:line="284" w:lineRule="auto"/>
        <w:rPr>
          <w:sz w:val="20"/>
          <w:szCs w:val="20"/>
          <w:color w:val="auto"/>
        </w:rPr>
      </w:pPr>
      <w:r>
        <w:rPr>
          <w:rFonts w:ascii="Arial" w:cs="Arial" w:eastAsia="Arial" w:hAnsi="Arial"/>
          <w:sz w:val="16"/>
          <w:szCs w:val="16"/>
          <w:color w:val="231F20"/>
        </w:rPr>
        <w:t>Changes in healthcare or other laws and regulations applicable to the businesses of some of our portfolio companies may occur that could increase their compliance and other costs of doing business, require significant systems enhancements, or render their products or services less profitable or obsolete, any of which could have a material adverse effect on their results of operations. There has also been an increased political and regulatory focus on healthcare laws in recent years, and new legislation could have a material effect on the business and operations of some of our portfolio companies.</w:t>
      </w:r>
    </w:p>
    <w:p>
      <w:pPr>
        <w:spacing w:after="0" w:line="10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7" w:name="page48"/>
    <w:bookmarkEnd w:id="47"/>
    <w:p>
      <w:pPr>
        <w:jc w:val="both"/>
        <w:spacing w:after="0" w:line="362" w:lineRule="auto"/>
        <w:rPr>
          <w:sz w:val="20"/>
          <w:szCs w:val="20"/>
          <w:color w:val="auto"/>
        </w:rPr>
      </w:pPr>
      <w:r>
        <w:rPr>
          <w:rFonts w:ascii="Arial" w:cs="Arial" w:eastAsia="Arial" w:hAnsi="Arial"/>
          <w:sz w:val="15"/>
          <w:szCs w:val="15"/>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8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6"/>
          <w:szCs w:val="16"/>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 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142"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the information resources of us or our portfolio companies. These incidents may be an intentional attack or an unintentional event and could involve gaining unauthorized access to our information systems or those of our portfolio companies for purposes of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 and insurance costs, litigation and damage to business relationships. As our and our portfolio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companies’ reliance on technology has increased, so have the risks posed to our information systems, both internal and those provided by third-party service providers, and the information systems of our portfolio companies. We have implemented processes, procedures and internal controls to help mitigate cybersecurity risks and cyber intrusions, but these measures, as well as our increased awareness of the nature and extent of a risk of a cyber-incident, do not guarantee that a cyber-incident will not occur and/or that our financial results, operations or confidential information will not be negatively impacted by such an incident.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portfolio companies may be risky, and we could lose all or part of our investment.</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Investing in lower middle-market companies involves a number of significant risks. Among other things, these companies:</w:t>
      </w:r>
    </w:p>
    <w:p>
      <w:pPr>
        <w:spacing w:after="0" w:line="158" w:lineRule="exact"/>
        <w:rPr>
          <w:sz w:val="20"/>
          <w:szCs w:val="20"/>
          <w:color w:val="auto"/>
        </w:rPr>
      </w:pPr>
    </w:p>
    <w:p>
      <w:pPr>
        <w:jc w:val="both"/>
        <w:ind w:left="1060" w:right="260" w:hanging="404"/>
        <w:spacing w:after="0" w:line="233"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may have limited financial resources and may be unable to meet their obligations under their debt instruments that we hold, which may be accompanied by a deterioration in the value of any collateral and a reduction in the likelihood of us realizing any guarantees from subsidiaries or affiliates of portfolio companies that we may have obtained in connection with our investment;</w:t>
      </w:r>
    </w:p>
    <w:p>
      <w:pPr>
        <w:ind w:left="1060" w:right="260" w:hanging="404"/>
        <w:spacing w:after="0" w:line="21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have shorter operating histories, narrower product lines and smaller market shares, which tend to render them more vulnerable to competitors’ actions and market conditions, as well as general economic downturns, than larger businesses;</w:t>
      </w:r>
    </w:p>
    <w:p>
      <w:pPr>
        <w:ind w:left="1060" w:right="260" w:hanging="404"/>
        <w:spacing w:after="0" w:line="246"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jc w:val="both"/>
        <w:ind w:left="1060" w:right="260" w:hanging="404"/>
        <w:spacing w:after="0" w:line="213"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p>
      <w:pPr>
        <w:spacing w:after="0" w:line="2" w:lineRule="exact"/>
        <w:rPr>
          <w:rFonts w:ascii="Arial" w:cs="Arial" w:eastAsia="Arial" w:hAnsi="Arial"/>
          <w:sz w:val="18"/>
          <w:szCs w:val="18"/>
          <w:color w:val="auto"/>
        </w:rPr>
      </w:pPr>
    </w:p>
    <w:p>
      <w:pPr>
        <w:jc w:val="both"/>
        <w:ind w:left="1060" w:right="260" w:hanging="404"/>
        <w:spacing w:after="0" w:line="218"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generally have less publicly available information about their businesses, operations and financial condition. If we are unable to uncover all material information about these companies, we may not make a fully informed investment decision, and may lose all or part of our investment.</w:t>
      </w:r>
    </w:p>
    <w:p>
      <w:pPr>
        <w:spacing w:after="0" w:line="135"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In addition, in the course of providing significant managerial assistance to certain portfolio companies, certain of our management and directors may serve as directors on the boards of such companies. To the extent that litigation arises out of investments in these portfolio companies, our management and directors may be named as defendants in such litigation, which could result in an expenditure of funds (through our indemnification of such officers and directors) and the diversion of management time and resources.</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58"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All of our assets may be invested in illiquid securities, and a substantial portion of our investments in leveraged companies will be subject to legal and other restrictions on resale or will otherwise be less liquid than more broadly traded public securities. The illiquidity of these investments may make it difficult for us to sell such investments when desired. In addition, if we are required to liquidate all or a portion of our portfolio quickly, we may realize significantly less than the value at which we have previously recorded these investments. As a result, we do not expect to achieve liquidity in our investments in the near-term. However, to maintain the elections to be regulated as a BDC and as a RIC, we may have to dispose of investments if they do not satisfy one or more of the applicable criteria under the respective regulatory frameworks. We may also face other restrictions on our ability to liquidate an investment in a portfolio company to the extent that we or our investment advisor have material nonpublic information regarding such portfolio company.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have the funds to make additional investments in our portfolio companies which could impair the value of our portfolio.</w:t>
      </w:r>
    </w:p>
    <w:p>
      <w:pPr>
        <w:spacing w:after="0" w:line="169"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7"/>
          <w:szCs w:val="17"/>
          <w:color w:val="auto"/>
        </w:rPr>
        <w:t>After our initial investment in a portfolio company, we may be called upon from time to time to provide additional funds to such company or have the opportunity to increase our investment through the exercise of a warrant to purchase common stock.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yield on the investment. Even if we have sufficient capital to make a desired follow-on investment, we may elect not to make a follow-on investment because we may not want to increase our level of risk, because we prefer other opportunities or because we are inhibited by compliance with BDC requirements, SBA regulations or the desire to maintain our RIC tax treatment. Our ability to make follow-on investments may also be limited by our investment advisor’s allocation policy.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companies may incur debt that ranks equally with, or senior to, our investments in such companies.</w:t>
      </w:r>
    </w:p>
    <w:p>
      <w:pPr>
        <w:spacing w:after="0" w:line="158"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6"/>
          <w:szCs w:val="16"/>
          <w:color w:val="auto"/>
        </w:rPr>
        <w:t>We will invest in second lien and subordinated debt as well as equity issued by lower middle-market companies. The portfolio companies generally have, or may be permitted to incur, other debt that ranks equally with, or senior to, the debt in which we invest. By their terms, such senior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may be circumstances where our debt investments could be subordinated to claims of other creditors or could be subject to lender liability claims.</w:t>
      </w:r>
    </w:p>
    <w:p>
      <w:pPr>
        <w:spacing w:after="0" w:line="192" w:lineRule="exact"/>
        <w:rPr>
          <w:sz w:val="20"/>
          <w:szCs w:val="20"/>
          <w:color w:val="auto"/>
        </w:rPr>
      </w:pPr>
    </w:p>
    <w:p>
      <w:pPr>
        <w:jc w:val="both"/>
        <w:ind w:firstLine="478"/>
        <w:spacing w:after="0" w:line="279" w:lineRule="auto"/>
        <w:rPr>
          <w:sz w:val="20"/>
          <w:szCs w:val="20"/>
          <w:color w:val="auto"/>
        </w:rPr>
      </w:pPr>
      <w:r>
        <w:rPr>
          <w:rFonts w:ascii="Arial" w:cs="Arial" w:eastAsia="Arial" w:hAnsi="Arial"/>
          <w:sz w:val="16"/>
          <w:szCs w:val="16"/>
          <w:color w:val="auto"/>
        </w:rPr>
        <w:t>Even though we may have structured certain of our investments as senior loans,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10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70"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6"/>
          <w:szCs w:val="16"/>
          <w:color w:val="auto"/>
        </w:rPr>
        <w:t>Certain loans we make to portfolio companies are and will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9" w:name="page50"/>
    <w:bookmarkEnd w:id="49"/>
    <w:p>
      <w:pPr>
        <w:jc w:val="both"/>
        <w:ind w:firstLine="478"/>
        <w:spacing w:after="0" w:line="243" w:lineRule="auto"/>
        <w:rPr>
          <w:sz w:val="20"/>
          <w:szCs w:val="20"/>
          <w:color w:val="auto"/>
        </w:rPr>
      </w:pPr>
      <w:r>
        <w:rPr>
          <w:rFonts w:ascii="Arial" w:cs="Arial" w:eastAsia="Arial" w:hAnsi="Arial"/>
          <w:sz w:val="18"/>
          <w:szCs w:val="18"/>
          <w:color w:val="auto"/>
        </w:rPr>
        <w:t>The rights we may have with respect to the collateral securing the loans we make to portfolio companies with senior debt outstanding may also be limited pursuant to the terms of one or more intercreditor agreements entered into with the holders of senior debt. Under an intercreditor agreement, at any time that obligations having the benefit of the first priority liens are outstanding, any of the following actions that may be taken in respect to the collateral will be at the direction of the holders of the obligations secured by the first priority liens:</w:t>
      </w:r>
    </w:p>
    <w:p>
      <w:pPr>
        <w:spacing w:after="0" w:line="336" w:lineRule="exact"/>
        <w:rPr>
          <w:sz w:val="20"/>
          <w:szCs w:val="20"/>
          <w:color w:val="auto"/>
        </w:rPr>
      </w:pPr>
    </w:p>
    <w:p>
      <w:pPr>
        <w:ind w:left="980" w:hanging="378"/>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cause the commencement of enforcement proceedings against the collateral;</w:t>
      </w:r>
    </w:p>
    <w:p>
      <w:pPr>
        <w:spacing w:after="0" w:line="11" w:lineRule="exact"/>
        <w:rPr>
          <w:rFonts w:ascii="Arial" w:cs="Arial" w:eastAsia="Arial" w:hAnsi="Arial"/>
          <w:sz w:val="18"/>
          <w:szCs w:val="18"/>
          <w:color w:val="auto"/>
        </w:rPr>
      </w:pPr>
    </w:p>
    <w:p>
      <w:pPr>
        <w:ind w:left="980" w:hanging="378"/>
        <w:spacing w:after="0" w:line="23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control the conduct of such proceedings;</w:t>
      </w:r>
    </w:p>
    <w:p>
      <w:pPr>
        <w:ind w:left="980" w:hanging="378"/>
        <w:spacing w:after="0" w:line="23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of amendments to collateral documents;</w:t>
      </w:r>
    </w:p>
    <w:p>
      <w:pPr>
        <w:ind w:left="980" w:hanging="378"/>
        <w:spacing w:after="0" w:line="23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releases of liens on the collateral; and</w:t>
      </w:r>
    </w:p>
    <w:p>
      <w:pPr>
        <w:ind w:left="980" w:hanging="378"/>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waivers of past defaults under collateral documents.</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may not have the ability to control or direct such actions, even if our rights are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hold the debt securities of leveraged companies that may, due to the significant volatility of such companies, enter into bankruptcy proceedings.</w:t>
      </w:r>
    </w:p>
    <w:p>
      <w:pPr>
        <w:spacing w:after="0" w:line="192" w:lineRule="exact"/>
        <w:rPr>
          <w:sz w:val="20"/>
          <w:szCs w:val="20"/>
          <w:color w:val="auto"/>
        </w:rPr>
      </w:pPr>
    </w:p>
    <w:p>
      <w:pPr>
        <w:jc w:val="both"/>
        <w:ind w:firstLine="478"/>
        <w:spacing w:after="0" w:line="253" w:lineRule="auto"/>
        <w:rPr>
          <w:sz w:val="20"/>
          <w:szCs w:val="20"/>
          <w:color w:val="auto"/>
        </w:rPr>
      </w:pPr>
      <w:r>
        <w:rPr>
          <w:rFonts w:ascii="Arial" w:cs="Arial" w:eastAsia="Arial" w:hAnsi="Arial"/>
          <w:sz w:val="17"/>
          <w:szCs w:val="17"/>
          <w:color w:val="auto"/>
        </w:rPr>
        <w:t>Leveraged companies may experience bankruptcy or similar financial distress. The bankruptcy process has a number of significant inherent risks. Many events in a bankruptcy proceeding are the product of contested matters and adversary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in connection with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Any unrealized depreciation we experience on our investment portfolio may be an indication of future realized losses, which could reduce our income available for distribution.</w:t>
      </w:r>
    </w:p>
    <w:p>
      <w:pPr>
        <w:spacing w:after="0" w:line="117"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As a BDC, we are required to carry our investments at fair value as determined in good faith by our board of directors. Decreases in the fair values of our investments will be recorded as unrealized depreciation. Any unrealized depreciation in our investment portfolio could be an indication of a portfolio company's inability to meet its repayment obligations to us with respect to the affected investments. This could result in realized losses in the future and ultimately in reductions of our income available for distribution in future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5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termination of its loans and foreclosure on its assets. This could trigger cross-defaults under other agreements and jeopardize the portfolio company’s ability to meet its obligations under the debt or equity securities that we hold. We may incur expenses to the extent necessary to seek recovery upon default or to negotiate new terms, which may include the waiver of certain financial covenants, reduced interest and/or loss of principal, with a defaulting portfolio company.</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To the extent OID and PIK-interest constitute a portion of our income, we will be exposed to typical risks associated with such income being required to be included in taxable and accounting income prior to receipt of cash representing such income.</w:t>
      </w:r>
    </w:p>
    <w:p>
      <w:pPr>
        <w:spacing w:after="0" w:line="15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Our investments may include original-issue-discount instruments and contractual PIK-interest arrangements. To the extent OID or PIK-interest constitutes a portion of our income, we are exposed to typical risks associated with such income being required to be included in taxable and accounting income prior to receipt of cash, including the following:</w:t>
      </w:r>
    </w:p>
    <w:p>
      <w:pPr>
        <w:spacing w:after="0" w:line="168" w:lineRule="exact"/>
        <w:rPr>
          <w:sz w:val="20"/>
          <w:szCs w:val="20"/>
          <w:color w:val="auto"/>
        </w:rPr>
      </w:pPr>
    </w:p>
    <w:p>
      <w:pPr>
        <w:jc w:val="both"/>
        <w:ind w:left="800" w:right="20"/>
        <w:spacing w:after="0" w:line="224" w:lineRule="auto"/>
        <w:rPr>
          <w:sz w:val="20"/>
          <w:szCs w:val="20"/>
          <w:color w:val="auto"/>
        </w:rPr>
      </w:pPr>
      <w:r>
        <w:rPr>
          <w:rFonts w:ascii="Arial" w:cs="Arial" w:eastAsia="Arial" w:hAnsi="Arial"/>
          <w:sz w:val="18"/>
          <w:szCs w:val="18"/>
          <w:color w:val="auto"/>
        </w:rPr>
        <w:t>The higher interest rates of OID and PIK instruments reflect the payment deferral, which results in a higher principal amount at the maturity of the instrument as compared to the original principal amount of the instrument, and increased credit risk associated with these instruments, and OID and PIK instruments generally represent a significantly higher credit risk than coupon loans.</w:t>
      </w:r>
    </w:p>
    <w:p>
      <w:pPr>
        <w:spacing w:after="0" w:line="176" w:lineRule="exact"/>
        <w:rPr>
          <w:sz w:val="20"/>
          <w:szCs w:val="20"/>
          <w:color w:val="auto"/>
        </w:rPr>
      </w:pPr>
    </w:p>
    <w:p>
      <w:pPr>
        <w:jc w:val="both"/>
        <w:ind w:left="800" w:right="20"/>
        <w:spacing w:after="0" w:line="235" w:lineRule="auto"/>
        <w:rPr>
          <w:sz w:val="20"/>
          <w:szCs w:val="20"/>
          <w:color w:val="auto"/>
        </w:rPr>
      </w:pPr>
      <w:r>
        <w:rPr>
          <w:rFonts w:ascii="Arial" w:cs="Arial" w:eastAsia="Arial" w:hAnsi="Arial"/>
          <w:sz w:val="18"/>
          <w:szCs w:val="18"/>
          <w:color w:val="auto"/>
        </w:rPr>
        <w:t>Even if the accounting conditions for income accrual are met, the borrower could still default when our actual collection is supposed to occur at the maturity of the obligation.</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0" w:name="page51"/>
    <w:bookmarkEnd w:id="50"/>
    <w:p>
      <w:pPr>
        <w:jc w:val="both"/>
        <w:ind w:left="800" w:right="20"/>
        <w:spacing w:after="0" w:line="224" w:lineRule="auto"/>
        <w:rPr>
          <w:sz w:val="20"/>
          <w:szCs w:val="20"/>
          <w:color w:val="auto"/>
        </w:rPr>
      </w:pPr>
      <w:r>
        <w:rPr>
          <w:rFonts w:ascii="Arial" w:cs="Arial" w:eastAsia="Arial" w:hAnsi="Arial"/>
          <w:sz w:val="18"/>
          <w:szCs w:val="18"/>
          <w:color w:val="auto"/>
        </w:rPr>
        <w:t>OID and PIK instruments may have unreliable valuations because their continuing accruals require continuing judgments about the collectability of the deferred payments and the value of any associated collateral. OID and PIK-income may also create uncertainty about the source of our cash distributions.</w:t>
      </w:r>
    </w:p>
    <w:p>
      <w:pPr>
        <w:spacing w:after="0" w:line="176" w:lineRule="exact"/>
        <w:rPr>
          <w:sz w:val="20"/>
          <w:szCs w:val="20"/>
          <w:color w:val="auto"/>
        </w:rPr>
      </w:pPr>
    </w:p>
    <w:p>
      <w:pPr>
        <w:jc w:val="both"/>
        <w:ind w:left="800" w:right="20"/>
        <w:spacing w:after="0" w:line="259" w:lineRule="auto"/>
        <w:rPr>
          <w:sz w:val="20"/>
          <w:szCs w:val="20"/>
          <w:color w:val="auto"/>
        </w:rPr>
      </w:pPr>
      <w:r>
        <w:rPr>
          <w:rFonts w:ascii="Arial" w:cs="Arial" w:eastAsia="Arial" w:hAnsi="Arial"/>
          <w:sz w:val="16"/>
          <w:szCs w:val="16"/>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160" w:lineRule="exact"/>
        <w:rPr>
          <w:sz w:val="20"/>
          <w:szCs w:val="20"/>
          <w:color w:val="auto"/>
        </w:rPr>
      </w:pPr>
    </w:p>
    <w:p>
      <w:pPr>
        <w:jc w:val="both"/>
        <w:ind w:left="800" w:right="20"/>
        <w:spacing w:after="0" w:line="219" w:lineRule="auto"/>
        <w:rPr>
          <w:sz w:val="20"/>
          <w:szCs w:val="20"/>
          <w:color w:val="auto"/>
        </w:rPr>
      </w:pPr>
      <w:r>
        <w:rPr>
          <w:rFonts w:ascii="Arial" w:cs="Arial" w:eastAsia="Arial" w:hAnsi="Arial"/>
          <w:sz w:val="18"/>
          <w:szCs w:val="18"/>
          <w:color w:val="auto"/>
        </w:rPr>
        <w:t>For accounting purposes, any cash distributions to stockholders representing OID and PIK-income are not treated as coming from paid-in capital, even though the cash to pay them comes from the offering proceeds. As a result, despite the fact that a distribution representing OID and PIK-income could be paid out of amounts invested by our stockholders, the 1940 Act does not require that stockholders be given notice of this fact by reporting it as a return of capital.</w:t>
      </w:r>
    </w:p>
    <w:p>
      <w:pPr>
        <w:spacing w:after="0" w:line="176" w:lineRule="exact"/>
        <w:rPr>
          <w:sz w:val="20"/>
          <w:szCs w:val="20"/>
          <w:color w:val="auto"/>
        </w:rPr>
      </w:pPr>
    </w:p>
    <w:p>
      <w:pPr>
        <w:jc w:val="both"/>
        <w:ind w:left="800" w:right="20"/>
        <w:spacing w:after="0" w:line="235" w:lineRule="auto"/>
        <w:rPr>
          <w:sz w:val="20"/>
          <w:szCs w:val="20"/>
          <w:color w:val="auto"/>
        </w:rPr>
      </w:pPr>
      <w:r>
        <w:rPr>
          <w:rFonts w:ascii="Arial" w:cs="Arial" w:eastAsia="Arial" w:hAnsi="Arial"/>
          <w:sz w:val="18"/>
          <w:szCs w:val="18"/>
          <w:color w:val="auto"/>
        </w:rPr>
        <w:t>In certain cases, we may recognize taxable income before or without receiving corresponding cash payments and, as a result, we may have difficulty meeting the annual distribution requirement necessary to maintain our tax treatment as a RIC.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control many of our portfolio companies.</w:t>
      </w:r>
    </w:p>
    <w:p>
      <w:pPr>
        <w:spacing w:after="0" w:line="158"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We do not expect to control many of our portfolio companies, even though we may have board representation or board observation rights, and the debt agreements may contain certain restrictive covenants. As a result, we are subject to the risk that a portfolio company in which we invest may make business decisions with which we disagree and the management of such company, as representatives of the holders of the company’s common equity, may take risks or otherwise act in ways that do not serve our interests as debt investors. Due to the lack of liquidity for our investments in private companies in the lower middle-market, we may not be able to dispose of our interests in our portfolio companies as readily as we would like or at an appropriate valuation. As a result, a portfolio company may make decisions that could decrease the value of our portfolio holdings.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therefore, we are not limited with respect to the proportion of our assets that may be invested in securities of a single issuer.</w:t>
      </w:r>
    </w:p>
    <w:p>
      <w:pPr>
        <w:spacing w:after="0" w:line="117" w:lineRule="exact"/>
        <w:rPr>
          <w:sz w:val="20"/>
          <w:szCs w:val="20"/>
          <w:color w:val="auto"/>
        </w:rPr>
      </w:pPr>
    </w:p>
    <w:p>
      <w:pPr>
        <w:jc w:val="both"/>
        <w:ind w:firstLine="478"/>
        <w:spacing w:after="0" w:line="253" w:lineRule="auto"/>
        <w:rPr>
          <w:sz w:val="20"/>
          <w:szCs w:val="20"/>
          <w:color w:val="auto"/>
        </w:rPr>
      </w:pPr>
      <w:r>
        <w:rPr>
          <w:rFonts w:ascii="Arial" w:cs="Arial" w:eastAsia="Arial" w:hAnsi="Arial"/>
          <w:sz w:val="17"/>
          <w:szCs w:val="17"/>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and the aggregate returns we realize may be significantly adversely affected if a small number of investments perform poorly or if we need to write down the value of any one investment. Additionally, while we are not targeting any specific industries, our investments may be concentrated in relatively few industries. As a result, a downturn in any particular industry in which we are invested could also significantly impact the aggregate returns we realize. We may also be more susceptible to any single economic or regulatory occurrence than a diversified investment company. Beyond the asset diversification requirements applicable to RICs, we do not have fixed guidelines for diversification, and our investments could be concentrated in relatively few portfolio companies.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Prepayments of our debt investments by our portfolio companies could adversely impact our results of operations and reduce our return on equity.</w:t>
      </w:r>
    </w:p>
    <w:p>
      <w:pPr>
        <w:spacing w:after="0" w:line="181"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We are subject to the risk that the investments we make in our portfolio companies may be repaid prior to maturity. When this occurs, we will generally reinvest these proceeds in temporary investments (cash equivalents), pending future investments in new portfolio companies. These temporary investments will typically have substantially lower yields than the debt being repaid, and we could experience significant delays in reinvesting these amounts. In addition, any future investment of such amounts in a new portfolio company may also be at lower yields than the investment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58"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color w:val="auto"/>
        </w:rPr>
        <w:t>Certain investments that we have made in the past and may make in the future include warrants or other equity or equity-related securities. Typically we make non-control equity investments in portfolio companies. Our goal is to realize gains upon our disposition of such equity interests. However, the equity interests we receive may not appreciate in value and, in fact, may decline in value. We also may be unable to realize any value if a portfolio company does not have a liquidity event, such as a sale of the business, recapitalization or public offering, which would allow us to sell the underlying equity interests. We often seek puts or similar rights to give us the right to sell our equity securities back to the portfolio company issuer. We may be unable to exercise these put rights for the consideration provided in our investment documents if the issuer is in financial distress. Accordingly, we may not be able to realize gains from our</w:t>
      </w:r>
    </w:p>
    <w:p>
      <w:pPr>
        <w:spacing w:after="0" w:line="13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equity interests, and any gains that we do realize on the disposition of any equity interests may not be sufficient to offset any other losses we experience.</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our primary investments are deemed not to be qualifying assets, we could be precluded from investing in our desired manner or deemed to be in violation of the 1940 Act.</w:t>
      </w:r>
    </w:p>
    <w:p>
      <w:pPr>
        <w:spacing w:after="0" w:line="117" w:lineRule="exact"/>
        <w:rPr>
          <w:sz w:val="20"/>
          <w:szCs w:val="20"/>
          <w:color w:val="auto"/>
        </w:rPr>
      </w:pPr>
    </w:p>
    <w:p>
      <w:pPr>
        <w:jc w:val="both"/>
        <w:ind w:firstLine="478"/>
        <w:spacing w:after="0" w:line="252" w:lineRule="auto"/>
        <w:rPr>
          <w:sz w:val="20"/>
          <w:szCs w:val="20"/>
          <w:color w:val="auto"/>
        </w:rPr>
      </w:pPr>
      <w:r>
        <w:rPr>
          <w:rFonts w:ascii="Arial" w:cs="Arial" w:eastAsia="Arial" w:hAnsi="Arial"/>
          <w:sz w:val="17"/>
          <w:szCs w:val="17"/>
          <w:color w:val="auto"/>
        </w:rPr>
        <w:t>In order to maintain our status as a BDC, we may not acquire any assets other than “qualifying assets” unless, at the time of and after giving effect to such acquisition, at least 70.0% of our total assets are qualifying assets. We believe that most of the investments that we may acquire in the future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violate the 1940 Act provisions applicable to BDCs and be precluded from making follow-on investments in existing portfolio companies (which could result in the dilution of our position) or required to dispose of investments at inappropriate times in order to come into compliance with the 1940 Act. If we need to dispose of such investments quickly, it could be difficult to dispose of such investments on favorable terms. We may not be able to find a buyer for such investments and, even if we do find a buyer, we may have to sell the investments at a substantial loss. Any such outcomes would have a material adverse effect on our business, financial condition, results of operations and cash flows. Furthermore, any failure to comply with the requirements imposed on BDCs by the 1940 Act could cause the SEC to bring an enforcement action against us and/or expose us to claims of private litigants.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58"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A significant portion of our investments involve private securities and we expect that a significant portion of our investments will continue to involve private securities. In connection with the disposition of an investment in private securities, we may be required to make representations about the business and financial affairs of the portfolio company typical of those made in connection with the sale of a business. Additionally, customary terms of such sales agreements generally provide adjustments to the initial purchase price determined on the closing date if the portfolio company's net working capital varies from preliminary amounts utilized in determining the initial purchase price; such adjustments could subsequently result in upward or downward revisions to the initial purchase price and impact our amount of realized gain or loss on sale.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its return of distributions previously made to it.</w:t>
      </w:r>
    </w:p>
    <w:p>
      <w:pPr>
        <w:spacing w:after="0" w:line="1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be unable to invest a significant portion of any net proceeds from an offering or from exiting an investment or other capital on acceptable terms, which could harm our financial condition and operating results.</w:t>
      </w:r>
    </w:p>
    <w:p>
      <w:pPr>
        <w:spacing w:after="0" w:line="117"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We may be unable to invest the net proceeds of any offering or from exiting an investment or other sources of capital on acceptable terms within the time period that we anticipate or at all. Delays in investing such capital may cause our performance to be worse than that of fully invested BDCs or other lenders or investors pursuing comparable investment strategies.</w:t>
      </w:r>
    </w:p>
    <w:p>
      <w:pPr>
        <w:spacing w:after="0" w:line="128"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color w:val="auto"/>
        </w:rPr>
        <w:t>Depending on market conditions and the amount of the capital involved, it may take us a substantial period of time to invest substantially all the capital in securities meeting our investment objective. During this period, we will invest such capital primarily in short-term securities consistent with our BDC election and our election to be taxed as a RIC, which may produce returns that are significantly lower than the returns which we expect to achieve when our portfolio is fully invested in longer-term investments in pursuit of our investment objective. Any distributions that we pay during such period may be substantially lower than the distributions that we may be able to pay when our portfolio is fully invested. In addition, until such time as the net proceeds of any offering or from exiting an investment or other sources capital are invested in new investments meeting our investment objective, the market price for our common stock may decline.</w:t>
      </w:r>
    </w:p>
    <w:p>
      <w:pPr>
        <w:spacing w:after="0" w:line="137"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Our investment advisor’s liability is limited under the Investment Advisory Agreement, and we have agreed to indemnify our investment advisor against certain liabilities, which may lead our investment advisor to act in a riskier manner on our behalf than it would when acting for its own account.</w:t>
      </w:r>
    </w:p>
    <w:p>
      <w:pPr>
        <w:spacing w:after="0" w:line="47"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Under the Investment Advisory Agreement, our investment advisor does not assume any responsibility to us other than to render the services called for under that agreement, and it is not responsible for any action of our board of directors in following or declining to follow our investment advisor’s advice or recommendations. Under the terms of the Investment Advisory Agreement, our investment advisor and its officers, directors, members, managers, partners, stockholders and employees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misconduct, bad faith or reckless disregard of our investment advisor’s duties under the Investment Advisory Agreement. In addition, we have agreed to indemnify our investment advisor and its officers, directors, members, managers, partners, stockholders and employees from and against any claims or liabilities, including reasonable legal fees and other expenses reasonably incurred, arising out of or in connection with our</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jc w:val="both"/>
        <w:spacing w:after="0" w:line="294" w:lineRule="auto"/>
        <w:rPr>
          <w:sz w:val="20"/>
          <w:szCs w:val="20"/>
          <w:color w:val="auto"/>
        </w:rPr>
      </w:pPr>
      <w:r>
        <w:rPr>
          <w:rFonts w:ascii="Arial" w:cs="Arial" w:eastAsia="Arial" w:hAnsi="Arial"/>
          <w:sz w:val="16"/>
          <w:szCs w:val="16"/>
          <w:color w:val="auto"/>
        </w:rPr>
        <w:t>business and operations or any action taken or omitted on our behalf pursuant to authority granted by the Investment Advisory Agreement, except where attributable to gross negligence, willful misconduct, bad faith or reckless disregard of such person’s duties under the Investment Advisory Agreement. These protections may lead our investment advisor to act in a riskier manner when acting on our behalf than it would when acting for its own account.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Shares of closed-end investment companies, including business development companies, frequently trade at a discount to their net asset value.</w:t>
      </w:r>
    </w:p>
    <w:p>
      <w:pPr>
        <w:spacing w:after="0" w:line="181"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6"/>
          <w:szCs w:val="16"/>
          <w:color w:val="auto"/>
        </w:rPr>
        <w:t>Shares of closed-end investment companies, including BDCs, frequently trade at a discount from net asset value. This characteristic of closed-end investment companies and BDCs is separate and distinct from the risk that our net asset value per share may decline. We cannot predict whether our common stock will trade at, above or below net asset value. In addition, if our common stock trades below net asset value, we will generally not be able to issue additional common stock at the market price without first obtaining the approval of our stockholders and our Independent Directors. On July 14, 2021 our stockholders voted to allow us to sell or otherwise issue common stock at a price below net asset value per share for a period of one year ending on the earlier of June 14, 2021 or the date of our 2022 Annual Meeting of Stockholders. We expect to present to our stockholders a similar proposal at our 2022 Annual Meeting of Stockholders. Selling or otherwise issuing shares of FIC’s common stock below its then current net asset value per share would result in a dilution of FIC’s existing common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conditions may increase the risks associated with our business and an investment in us.</w:t>
      </w:r>
    </w:p>
    <w:p>
      <w:pPr>
        <w:spacing w:after="0" w:line="158"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7"/>
          <w:szCs w:val="17"/>
          <w:color w:val="auto"/>
        </w:rPr>
        <w:t>The current worldwide financial market situation may contribute to increased market volatility, may have long-term effects on the U.S. and worldwide financial markets and may cause economic uncertainties or deterioration in the U.S. and worldwide. These conditions raised the level of many of the risks described herein and, if repeated or continued, could have an adverse effect on our portfolio companies and on their results of operations, financial conditions, access to credit and capital. The stress in the credit market and upon banks has led other creditors to tighten credit and the terms of credit. In certain cases, senior lenders to our portfolio companies can block payments by our portfolio companies in respect of our loans to such portfolio companies. In turn, these could have adverse effects on our business, financial condition, results of operations, distributions to our stockholders, access to capital, valuation of our assets and our stock price. Notwithstanding any recent gains across either the equity or debt markets, these conditions may continue for a prolonged period of time or worsen in the future.</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in the future, we sell common stock at a discount to our net asset value per share, stockholders who do not participate in such sale will experience immediate dilution in an amount that may be material.</w:t>
      </w:r>
    </w:p>
    <w:p>
      <w:pPr>
        <w:spacing w:after="0" w:line="117"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6"/>
          <w:szCs w:val="16"/>
          <w:color w:val="auto"/>
        </w:rPr>
        <w:t>On July 14, 2021, our stockholders approved our ability to sell or otherwise issue shares of our common stock at a discount from net asset value per share, as long as the cumulative number of shares sold pursuant to such authority does not exceed 25.0% of our then outstanding common stock immediately prior to each such sale, for a period of one year ending on the earlier of June 14, 2022 or the date of our 2022 Annual Meeting of Stockholders. Our stockholders will be asked to vote on a similar proposal at our 2022 Annual Meeting of Stockholders. If we sell or otherwise issue shares of our common stock at a discount to net asset value, it will pose a risk of dilution to our stockholders. In particular, stockholders who do not purchase additional shares at or below the discounted price in proportion to their current ownership will experience an immediate decrease in net asset value per share (as well as in the aggregate net asset value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issuances or sale. In addition, such issuances or sales may adversely affect the price at which our common stock trades. For additional information and hypothetical examples of these risks, see “Sales of Common Stock Below Net Asset Value,” and for actual dilution illustrations specific to an offering, see the prospectus supplement pursuant to which such sale is made.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asset value may have changed significantly since our last valuation.</w:t>
      </w:r>
    </w:p>
    <w:p>
      <w:pPr>
        <w:spacing w:after="0" w:line="15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board of directors determines the fair value of our portfolio investments on a quarterly basis based on input from our investment advisor, our audit committee and, as to certain of our investments, a third party independent valuation firm. While the board of directors will review our net asset value per share in connection with any offering, it will not always have the benefit of input from the independent valuation firm when it does so. The fair value of various individual investments in our portfolio and/or the aggregate fair value of our investments may change significantly over time. If the fair value of our investment portfolio at December 31, 2021 is less than the fair value was at the time of an offering during 2021, then we may record an unrealized loss on our investment portfolio and may report a lower net asset value per share than was reflected in the Selected Consolidated Financial Data and the financial</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jc w:val="both"/>
        <w:spacing w:after="0" w:line="241" w:lineRule="auto"/>
        <w:rPr>
          <w:sz w:val="20"/>
          <w:szCs w:val="20"/>
          <w:color w:val="auto"/>
        </w:rPr>
      </w:pPr>
      <w:r>
        <w:rPr>
          <w:rFonts w:ascii="Arial" w:cs="Arial" w:eastAsia="Arial" w:hAnsi="Arial"/>
          <w:sz w:val="18"/>
          <w:szCs w:val="18"/>
          <w:color w:val="auto"/>
        </w:rPr>
        <w:t>statements included in the prospectus supplement of that offering. If the fair value of our investment portfolio at December 31, 2021 is greater than the fair value at the time of an offering during 2021, we may record an unrealized gain on our investment portfolio and may report a greater net asset value per share than so reflected in the prospectus supplement of that offering. Upon publication of this information in connection with our announcement of operating results for our fiscal year ended December 31, 2021, the market price of our common stock may fluctuate materially, and may be substantially less than the price per share you pay for our common stock in an offering.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fluctuate significantly.</w:t>
      </w:r>
    </w:p>
    <w:p>
      <w:pPr>
        <w:spacing w:after="0" w:line="158"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17" w:lineRule="exact"/>
        <w:rPr>
          <w:sz w:val="20"/>
          <w:szCs w:val="20"/>
          <w:color w:val="auto"/>
        </w:rPr>
      </w:pPr>
    </w:p>
    <w:p>
      <w:pPr>
        <w:ind w:left="1080" w:right="40" w:hanging="424"/>
        <w:spacing w:after="0" w:line="22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ind w:left="1080" w:right="40" w:hanging="424"/>
        <w:spacing w:after="0" w:line="21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exclusion of our common stock from certain market indices, such as the Russell 2000 Financial Services Index, could reduce the ability of certain institutional investors to own our common stock and could put short term pressure on our common stock;</w:t>
      </w:r>
    </w:p>
    <w:p>
      <w:pPr>
        <w:ind w:left="1080" w:hanging="424"/>
        <w:spacing w:after="0" w:line="23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ind w:left="1080" w:hanging="424"/>
        <w:spacing w:after="0" w:line="23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RIC or BDC status;</w:t>
      </w:r>
    </w:p>
    <w:p>
      <w:pPr>
        <w:ind w:left="1080" w:hanging="424"/>
        <w:spacing w:after="0" w:line="23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status as an SBIC for the Funds, or any other SBIC subsidiary we may form;</w:t>
      </w:r>
    </w:p>
    <w:p>
      <w:pPr>
        <w:ind w:left="1080" w:hanging="424"/>
        <w:spacing w:after="0" w:line="23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ind w:left="1080" w:hanging="424"/>
        <w:spacing w:after="0" w:line="23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ind w:left="1080" w:hanging="424"/>
        <w:spacing w:after="0" w:line="23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ind w:left="1080" w:hanging="424"/>
        <w:spacing w:after="0" w:line="23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ind w:left="1080" w:hanging="424"/>
        <w:spacing w:after="0" w:line="23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departure of our investment advisor’s key personnel;</w:t>
      </w:r>
    </w:p>
    <w:p>
      <w:pPr>
        <w:ind w:left="1080" w:hanging="424"/>
        <w:spacing w:after="0" w:line="23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ind w:left="1080" w:hanging="424"/>
        <w:spacing w:after="0" w:line="23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an above average degree of risk.</w:t>
      </w:r>
    </w:p>
    <w:p>
      <w:pPr>
        <w:spacing w:after="0" w:line="158"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therefore, an investment in our securities may not be suitable for someone with lower risk tolerance.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substantial amounts of our common stock may have an adverse effect on the market price of our common stock.</w:t>
      </w:r>
    </w:p>
    <w:p>
      <w:pPr>
        <w:spacing w:after="0" w:line="158"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As of March 1, 2022, we had 24,437,400 shares of common stock outstanding. Sales of substantial amounts of our common stock, or the availability of shares for sale, could adversely affect the prevailing market price of our common stock. If this occurs and continues, it could impair our ability to raise additional capital through the sale of equity securities should we desire to do so.</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issue preferred stock and/or debt securities, the net asset value and market value of our common stock may become more volatile.</w:t>
      </w:r>
    </w:p>
    <w:p>
      <w:pPr>
        <w:spacing w:after="0" w:line="169"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distribution rate on the preferred stock, or the interest rate on the debt securities, were to approach the net rate of return on our investment portfolio, the benefit of leverage to the holders of our common stock would be reduced. If the distribution rate on the preferred stock, or the interest rate on the debt securities, were to exceed the net rate of return on our portfolio, the use of leverage would result in a lower rate of return to the holders of common stock than if we had not issued the preferred stock and/or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and/or debt securities. This decline in net asset value would also tend to cause a greater decline in the market price for our common stock.</w:t>
      </w:r>
    </w:p>
    <w:p>
      <w:pPr>
        <w:spacing w:after="0" w:line="115"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distribution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w:t>
      </w:r>
    </w:p>
    <w:p>
      <w:pPr>
        <w:spacing w:after="0" w:line="13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color w:val="auto"/>
        </w:rPr>
        <w:t>and/or debt securities. Holders of preferred stock and/or debt securities may have different interests than holders of common stock and may at times have disproportionate influence over our affairs.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Provisions of the Maryland General Corporation Law and our charter and bylaws could deter takeover attempts and have an adverse effect on the price of our common stock.</w:t>
      </w:r>
    </w:p>
    <w:p>
      <w:pPr>
        <w:spacing w:after="0" w:line="117" w:lineRule="exact"/>
        <w:rPr>
          <w:sz w:val="20"/>
          <w:szCs w:val="20"/>
          <w:color w:val="auto"/>
        </w:rPr>
      </w:pPr>
    </w:p>
    <w:p>
      <w:pPr>
        <w:jc w:val="both"/>
        <w:ind w:firstLine="478"/>
        <w:spacing w:after="0" w:line="253" w:lineRule="auto"/>
        <w:rPr>
          <w:sz w:val="20"/>
          <w:szCs w:val="20"/>
          <w:color w:val="auto"/>
        </w:rPr>
      </w:pPr>
      <w:r>
        <w:rPr>
          <w:rFonts w:ascii="Arial" w:cs="Arial" w:eastAsia="Arial" w:hAnsi="Arial"/>
          <w:sz w:val="17"/>
          <w:szCs w:val="17"/>
          <w:color w:val="auto"/>
        </w:rPr>
        <w:t>The Maryland General Corporation Law contains provisions that may discourage, delay or make more difficult a change in control of us or the removal of our directors. In addition, our board of directors may, without stockholder action, authorize the issuance of shares of stock in one or more classes or series, including preferred stock. Our charter and bylaws contain provisions that limit liability and provide for indemnification of our directors and officers. These provisions and others also may have the effect of deterring hostile takeovers or delaying changes in control or management. We are generally prohibited from engaging in mergers and other business combinations with stockholders that beneficially own 10.0% or more of the voting power of our outstanding voting stock, or with their affiliates, for five years after the most recent date on which such stockholders became the beneficial owners of 10.0% or more of the voting power of our outstanding voting stock and thereafter unless our directors and stockholders approve the business combination in the prescribed manner. See “Description of Our Capital Stock - Business Combinations.” Maryland law may discourage third parties from trying to acquire control of us and increase the difficulty of consummating such an offer.</w:t>
      </w:r>
    </w:p>
    <w:p>
      <w:pPr>
        <w:spacing w:after="0" w:line="130"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7"/>
          <w:szCs w:val="17"/>
          <w:color w:val="auto"/>
        </w:rPr>
        <w:t>We have also adopted measures that may make it difficult for a third party to obtain control of us, including provisions of our charter authorizing our board of directors to classify or reclassify shares of our stock in one or more classes or series and to cause the issuance of additional shares of our stock, including preferred stock. In addition, we have adopted a classified board of directors. A classified board may render a change in control of us or removal of our incumbent management more difficult. These provisions, as well as other provisions of our charter and bylaws, may delay, defer or prevent a transaction or a change in control that might otherwise be in the best interests of our stockholders.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117" w:lineRule="exact"/>
        <w:rPr>
          <w:sz w:val="20"/>
          <w:szCs w:val="20"/>
          <w:color w:val="auto"/>
        </w:rPr>
      </w:pPr>
    </w:p>
    <w:p>
      <w:pPr>
        <w:jc w:val="both"/>
        <w:ind w:firstLine="469"/>
        <w:spacing w:after="0" w:line="271"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1" w:lineRule="exact"/>
        <w:rPr>
          <w:sz w:val="20"/>
          <w:szCs w:val="20"/>
          <w:color w:val="auto"/>
        </w:rPr>
      </w:pPr>
    </w:p>
    <w:p>
      <w:pPr>
        <w:jc w:val="both"/>
        <w:ind w:firstLine="469"/>
        <w:spacing w:after="0" w:line="298"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headquarters are located at 1603 Orrington Avenue, Suite 1005, Evanston, Illinois 60201, and are provided by our investment advisor pursuant to the Administration Agreement. Our investment advisor also maintains additional office space at 227 West Trade Street, Suite 1910, Charlotte, North Carolina 28202, and 1140 Avenue of the Americas,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Floor, New York, New York 10036. We believe that our office facilities are suitable and adequate to our business as we contemplate conducting it.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are not, and our investment advisor is not, currently subject to any material legal proceedings.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5" w:name="page56"/>
    <w:bookmarkEnd w:id="55"/>
    <w:p>
      <w:pPr>
        <w:ind w:left="53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Our common stock began trading on June 21, 2011 on the NASDAQ Global Market under the symbol “FDUS.” Effective January 3, 2012, our common stock was included in the NASDAQ Global Select Market. The last reported price for our common stock on March 1, 2022 was $18.49 per share. As of March 1, 2022, we had 20 stockholders of record.</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intend to continue to pay quarterly distributions to our stockholders. Our distributions may include returns of paid-in capital, as well as declared dividends from earnings and profits. Our quarterly distributions, if any, are determined by our board of directors. We have elected, and intend to qualify annually, to be treated as a RIC under Subchapter M of the Code. As long as we qualify for tax treatment as a RIC, we will not be taxed on our investment company taxable income or net capital gain, to the extent that such income or gain is distributed, or deemed to be distributed, to stockholders on a timely basis.</w:t>
      </w:r>
    </w:p>
    <w:p>
      <w:pPr>
        <w:spacing w:after="0" w:line="135"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On February 15, 2022, our board of directors declared a regular quarterly dividend of $0.36 per share and a supplemental dividend of $0.17 per share payable on March 25, 2022 to holders of record as of March 11, 2022.</w:t>
      </w:r>
    </w:p>
    <w:p>
      <w:pPr>
        <w:spacing w:after="0" w:line="117"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If we do not distribute a certain percentage of our income annually, we will suffer adverse tax consequences, including possible loss of our status as a RIC. We cannot assure stockholders that they will receive any distributions at a particular level.</w:t>
      </w:r>
    </w:p>
    <w:p>
      <w:pPr>
        <w:spacing w:after="0" w:line="110" w:lineRule="exact"/>
        <w:rPr>
          <w:sz w:val="20"/>
          <w:szCs w:val="20"/>
          <w:color w:val="auto"/>
        </w:rPr>
      </w:pPr>
    </w:p>
    <w:p>
      <w:pPr>
        <w:jc w:val="both"/>
        <w:ind w:firstLine="562"/>
        <w:spacing w:after="0" w:line="239" w:lineRule="auto"/>
        <w:rPr>
          <w:sz w:val="20"/>
          <w:szCs w:val="20"/>
          <w:color w:val="auto"/>
        </w:rPr>
      </w:pPr>
      <w:r>
        <w:rPr>
          <w:rFonts w:ascii="Arial" w:cs="Arial" w:eastAsia="Arial" w:hAnsi="Arial"/>
          <w:sz w:val="18"/>
          <w:szCs w:val="18"/>
          <w:color w:val="auto"/>
        </w:rPr>
        <w:t>We have adopted a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Under the terms of our dividend reinvestment plan, dividends will primarily be paid in newly issued shares of common stock. However, we reserve the right to purchase shares in the open market in connection with the implementation of the plan. This feature of the plan means that, under certain circumstances, we may issue shares of our common stock at a price below net asset value per share, which could cause our stockholders to experience dilution.</w:t>
      </w:r>
    </w:p>
    <w:p>
      <w:pPr>
        <w:spacing w:after="0" w:line="137"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6"/>
          <w:szCs w:val="16"/>
          <w:color w:val="auto"/>
        </w:rPr>
        <w:t>To maintain our tax treatment as a RIC, we must, among other things, distribute at least 90.0% of our net ordinary income and our net short-term capital gains in excess of our net long-term capital losses, if any. In order to avoid certain excise taxes imposed on RICs, we currently intend to distribute during each calendar year an amount at least equal to the sum of (1) 98.0% of our net ordinary income for the calendar year, (2) 98.2% of our capital gain net income for the calendar year and (3) any net ordinary income and capital gain net income that we recognized for preceding years, but were not distributed during such years, and on which we paid no U.S. federal income tax. We may retain for investment some or all of our net capital gain (i.e., net long-term capital gains in excess of net short-term capital losses) and treat such amounts as deemed distributions to our stockholders. If we do this, you will be treated as if you received an actual distribution of the capital gain we retain and then reinvested the net after-tax proceeds in our common stock. You also may be eligible to claim a tax credit (or, in certain circumstances, a tax refund) equal to your allocable share of the tax we paid on the capital gain deemed distributed to you. Please refer to “Business — Election to be Taxed as a RIC” for further information regarding the consequences of our retention of net capital gain.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 See “Business — Regulation” and “Business — Election to be Taxed as a RIC.”</w:t>
      </w:r>
    </w:p>
    <w:p>
      <w:pPr>
        <w:spacing w:after="0" w:line="117" w:lineRule="exact"/>
        <w:rPr>
          <w:sz w:val="20"/>
          <w:szCs w:val="20"/>
          <w:color w:val="auto"/>
        </w:rPr>
      </w:pPr>
    </w:p>
    <w:p>
      <w:pPr>
        <w:jc w:val="both"/>
        <w:ind w:firstLine="569"/>
        <w:spacing w:after="0" w:line="265" w:lineRule="auto"/>
        <w:rPr>
          <w:sz w:val="20"/>
          <w:szCs w:val="20"/>
          <w:color w:val="auto"/>
        </w:rPr>
      </w:pPr>
      <w:r>
        <w:rPr>
          <w:rFonts w:ascii="Arial" w:cs="Arial" w:eastAsia="Arial" w:hAnsi="Arial"/>
          <w:sz w:val="16"/>
          <w:szCs w:val="16"/>
          <w:color w:val="auto"/>
        </w:rPr>
        <w:t>We may make distributions that are payable in cash or shares of our common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the revenue procedure,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generally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6" w:name="page57"/>
    <w:bookmarkEnd w:id="56"/>
    <w:p>
      <w:pPr>
        <w:jc w:val="both"/>
        <w:ind w:firstLine="509"/>
        <w:spacing w:after="0" w:line="239" w:lineRule="auto"/>
        <w:rPr>
          <w:sz w:val="20"/>
          <w:szCs w:val="20"/>
          <w:color w:val="auto"/>
        </w:rPr>
      </w:pPr>
      <w:r>
        <w:rPr>
          <w:rFonts w:ascii="Arial" w:cs="Arial" w:eastAsia="Arial" w:hAnsi="Arial"/>
          <w:sz w:val="18"/>
          <w:szCs w:val="18"/>
          <w:color w:val="auto"/>
        </w:rPr>
        <w:t>Distributions in excess of our current and accumulated profits and earnings would be treated first as a return of capital to the extent of the stockholder’s tax basis, and any remaining distributions would be treated as a capital gain. The determination of the tax attributes of our distributions will be made annually as of the end of our fiscal year based upon our taxable income for the full year and distributions paid for the full year. Therefore, a determination made on a quarterly basis may not be representative of the actual tax attributes of our distributions for a full year. Each year, a statement on Form 1099-DIV identifying the source of the distribution will be sent to our U.S. stockholders of record. Our board of directors presently intends to declare and pay quarterly dividends. Our ability to pay dividends could be affected by future business performance, liquidity, capital needs, alternative investment opportunities and loan covenants.</w:t>
      </w:r>
    </w:p>
    <w:p>
      <w:pPr>
        <w:spacing w:after="0" w:line="137" w:lineRule="exact"/>
        <w:rPr>
          <w:sz w:val="20"/>
          <w:szCs w:val="20"/>
          <w:color w:val="auto"/>
        </w:rPr>
      </w:pPr>
    </w:p>
    <w:p>
      <w:pPr>
        <w:ind w:right="1780" w:firstLine="509"/>
        <w:spacing w:after="0" w:line="422" w:lineRule="auto"/>
        <w:rPr>
          <w:sz w:val="20"/>
          <w:szCs w:val="20"/>
          <w:color w:val="auto"/>
        </w:rPr>
      </w:pPr>
      <w:r>
        <w:rPr>
          <w:rFonts w:ascii="Arial" w:cs="Arial" w:eastAsia="Arial" w:hAnsi="Arial"/>
          <w:sz w:val="18"/>
          <w:szCs w:val="18"/>
          <w:color w:val="auto"/>
        </w:rPr>
        <w:t xml:space="preserve">The tax character of distributions declared and paid in 2021 is described in Note 12 to our consolidated financial statements. </w:t>
      </w:r>
      <w:r>
        <w:rPr>
          <w:rFonts w:ascii="Arial" w:cs="Arial" w:eastAsia="Arial" w:hAnsi="Arial"/>
          <w:sz w:val="18"/>
          <w:szCs w:val="18"/>
          <w:b w:val="1"/>
          <w:bCs w:val="1"/>
          <w:color w:val="auto"/>
        </w:rPr>
        <w:t>Stock Performance Graph</w:t>
      </w:r>
    </w:p>
    <w:p>
      <w:pPr>
        <w:spacing w:after="0" w:line="1" w:lineRule="exact"/>
        <w:rPr>
          <w:sz w:val="20"/>
          <w:szCs w:val="20"/>
          <w:color w:val="auto"/>
        </w:rPr>
      </w:pPr>
    </w:p>
    <w:p>
      <w:pPr>
        <w:jc w:val="both"/>
        <w:ind w:firstLine="562"/>
        <w:spacing w:after="0" w:line="276" w:lineRule="auto"/>
        <w:rPr>
          <w:sz w:val="20"/>
          <w:szCs w:val="20"/>
          <w:color w:val="auto"/>
        </w:rPr>
      </w:pPr>
      <w:r>
        <w:rPr>
          <w:rFonts w:ascii="Arial" w:cs="Arial" w:eastAsia="Arial" w:hAnsi="Arial"/>
          <w:sz w:val="16"/>
          <w:szCs w:val="16"/>
          <w:color w:val="auto"/>
        </w:rPr>
        <w:t>This graph compares the stockholder return on our common stock from December 31, 2016 to December 31, 2021 with that of the Russell 2000 Financial Services Index and the Standard &amp; Poor’s 500 Total Return Stock Index. This graph assumes that on December 31, 2016, $100 was invested in our common stock, the Russell 2000 Financial Services Index, and the Standard &amp; Poor’s 500 Total Return Stock Index. The graph also assumes the reinvestment of all cash dividends prior to any tax effect. The graph and other information furnished under this Part II Item 5 of this Annual Report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77470</wp:posOffset>
            </wp:positionV>
            <wp:extent cx="6172200" cy="32658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220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Outstanding Securities</w:t>
            </w:r>
          </w:p>
        </w:tc>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8320" w:type="dxa"/>
            <w:vAlign w:val="bottom"/>
            <w:gridSpan w:val="5"/>
          </w:tcPr>
          <w:p>
            <w:pPr>
              <w:jc w:val="right"/>
              <w:ind w:right="1030"/>
              <w:spacing w:after="0"/>
              <w:rPr>
                <w:sz w:val="20"/>
                <w:szCs w:val="20"/>
                <w:color w:val="auto"/>
              </w:rPr>
            </w:pPr>
            <w:r>
              <w:rPr>
                <w:rFonts w:ascii="Arial" w:cs="Arial" w:eastAsia="Arial" w:hAnsi="Arial"/>
                <w:sz w:val="18"/>
                <w:szCs w:val="18"/>
                <w:color w:val="auto"/>
              </w:rPr>
              <w:t>The following table shows our outstanding classes of securities as of December 31, 2021:</w:t>
            </w:r>
          </w:p>
        </w:tc>
        <w:tc>
          <w:tcPr>
            <w:tcW w:w="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8"/>
                <w:szCs w:val="18"/>
                <w:b w:val="1"/>
                <w:bCs w:val="1"/>
                <w:color w:val="auto"/>
                <w:w w:val="94"/>
              </w:rPr>
              <w:t>(c) Amount Held</w:t>
            </w:r>
          </w:p>
        </w:tc>
        <w:tc>
          <w:tcPr>
            <w:tcW w:w="420" w:type="dxa"/>
            <w:vAlign w:val="bottom"/>
          </w:tcPr>
          <w:p>
            <w:pPr>
              <w:spacing w:after="0"/>
              <w:rPr>
                <w:sz w:val="15"/>
                <w:szCs w:val="15"/>
                <w:color w:val="auto"/>
              </w:rPr>
            </w:pPr>
          </w:p>
        </w:tc>
        <w:tc>
          <w:tcPr>
            <w:tcW w:w="24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d) Amount Outstanding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 Title of Class</w:t>
            </w:r>
          </w:p>
        </w:tc>
        <w:tc>
          <w:tcPr>
            <w:tcW w:w="360" w:type="dxa"/>
            <w:vAlign w:val="bottom"/>
          </w:tcPr>
          <w:p>
            <w:pPr>
              <w:spacing w:after="0"/>
              <w:rPr>
                <w:sz w:val="15"/>
                <w:szCs w:val="15"/>
                <w:color w:val="auto"/>
              </w:rPr>
            </w:pPr>
          </w:p>
        </w:tc>
        <w:tc>
          <w:tcPr>
            <w:tcW w:w="2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8"/>
              </w:rPr>
              <w:t>(b) Amount Authorized</w:t>
            </w:r>
          </w:p>
        </w:tc>
        <w:tc>
          <w:tcPr>
            <w:tcW w:w="440" w:type="dxa"/>
            <w:vAlign w:val="bottom"/>
          </w:tcPr>
          <w:p>
            <w:pPr>
              <w:spacing w:after="0"/>
              <w:rPr>
                <w:sz w:val="15"/>
                <w:szCs w:val="15"/>
                <w:color w:val="auto"/>
              </w:rPr>
            </w:pPr>
          </w:p>
        </w:tc>
        <w:tc>
          <w:tcPr>
            <w:tcW w:w="1420" w:type="dxa"/>
            <w:vAlign w:val="bottom"/>
          </w:tcPr>
          <w:p>
            <w:pPr>
              <w:jc w:val="right"/>
              <w:ind w:right="10"/>
              <w:spacing w:after="0" w:line="176" w:lineRule="exact"/>
              <w:rPr>
                <w:sz w:val="20"/>
                <w:szCs w:val="20"/>
                <w:color w:val="auto"/>
              </w:rPr>
            </w:pPr>
            <w:r>
              <w:rPr>
                <w:rFonts w:ascii="Arial" w:cs="Arial" w:eastAsia="Arial" w:hAnsi="Arial"/>
                <w:sz w:val="18"/>
                <w:szCs w:val="18"/>
                <w:b w:val="1"/>
                <w:bCs w:val="1"/>
                <w:color w:val="auto"/>
                <w:w w:val="95"/>
              </w:rPr>
              <w:t>by us or for Our</w:t>
            </w:r>
          </w:p>
        </w:tc>
        <w:tc>
          <w:tcPr>
            <w:tcW w:w="420" w:type="dxa"/>
            <w:vAlign w:val="bottom"/>
          </w:tcPr>
          <w:p>
            <w:pPr>
              <w:spacing w:after="0"/>
              <w:rPr>
                <w:sz w:val="15"/>
                <w:szCs w:val="15"/>
                <w:color w:val="auto"/>
              </w:rPr>
            </w:pPr>
          </w:p>
        </w:tc>
        <w:tc>
          <w:tcPr>
            <w:tcW w:w="2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Exclusive of Amounts Shown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Account</w:t>
            </w:r>
          </w:p>
        </w:tc>
        <w:tc>
          <w:tcPr>
            <w:tcW w:w="420" w:type="dxa"/>
            <w:vAlign w:val="bottom"/>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 (c)</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line="196" w:lineRule="exact"/>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100,000,000</w:t>
            </w:r>
          </w:p>
        </w:tc>
        <w:tc>
          <w:tcPr>
            <w:tcW w:w="440" w:type="dxa"/>
            <w:vAlign w:val="bottom"/>
          </w:tcPr>
          <w:p>
            <w:pPr>
              <w:spacing w:after="0"/>
              <w:rPr>
                <w:sz w:val="17"/>
                <w:szCs w:val="17"/>
                <w:color w:val="auto"/>
              </w:rPr>
            </w:pPr>
          </w:p>
        </w:tc>
        <w:tc>
          <w:tcPr>
            <w:tcW w:w="14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24,437,400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BFF"/>
            </w:tcBorders>
            <w:shd w:val="clear" w:color="auto" w:fill="CCEBFF"/>
          </w:tcPr>
          <w:p>
            <w:pPr>
              <w:ind w:left="20"/>
              <w:spacing w:after="0" w:line="182" w:lineRule="exact"/>
              <w:rPr>
                <w:sz w:val="20"/>
                <w:szCs w:val="20"/>
                <w:color w:val="auto"/>
              </w:rPr>
            </w:pPr>
            <w:r>
              <w:rPr>
                <w:rFonts w:ascii="Arial" w:cs="Arial" w:eastAsia="Arial" w:hAnsi="Arial"/>
                <w:sz w:val="18"/>
                <w:szCs w:val="18"/>
                <w:color w:val="auto"/>
              </w:rPr>
              <w:t>SBA Debentures</w:t>
            </w:r>
          </w:p>
        </w:tc>
        <w:tc>
          <w:tcPr>
            <w:tcW w:w="360" w:type="dxa"/>
            <w:vAlign w:val="bottom"/>
            <w:tcBorders>
              <w:bottom w:val="single" w:sz="8" w:color="CCEBFF"/>
            </w:tcBorders>
            <w:shd w:val="clear" w:color="auto" w:fill="CCEB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BFF"/>
            </w:tcBorders>
            <w:shd w:val="clear" w:color="auto" w:fill="CCEBFF"/>
          </w:tcPr>
          <w:p>
            <w:pPr>
              <w:jc w:val="right"/>
              <w:spacing w:after="0" w:line="182" w:lineRule="exact"/>
              <w:rPr>
                <w:sz w:val="20"/>
                <w:szCs w:val="20"/>
                <w:color w:val="auto"/>
              </w:rPr>
            </w:pPr>
            <w:r>
              <w:rPr>
                <w:rFonts w:ascii="Arial" w:cs="Arial" w:eastAsia="Arial" w:hAnsi="Arial"/>
                <w:sz w:val="18"/>
                <w:szCs w:val="18"/>
                <w:color w:val="auto"/>
              </w:rPr>
              <w:t>325.0 million</w:t>
            </w:r>
          </w:p>
        </w:tc>
        <w:tc>
          <w:tcPr>
            <w:tcW w:w="440" w:type="dxa"/>
            <w:vAlign w:val="bottom"/>
            <w:tcBorders>
              <w:bottom w:val="single" w:sz="8" w:color="CCEBFF"/>
            </w:tcBorders>
            <w:shd w:val="clear" w:color="auto" w:fill="CCEBFF"/>
          </w:tcPr>
          <w:p>
            <w:pPr>
              <w:jc w:val="right"/>
              <w:spacing w:after="0"/>
              <w:rPr>
                <w:sz w:val="20"/>
                <w:szCs w:val="20"/>
                <w:color w:val="auto"/>
              </w:rPr>
            </w:pPr>
            <w:r>
              <w:rPr>
                <w:rFonts w:ascii="Arial" w:cs="Arial" w:eastAsia="Arial" w:hAnsi="Arial"/>
                <w:sz w:val="12"/>
                <w:szCs w:val="12"/>
                <w:color w:val="auto"/>
              </w:rPr>
              <w:t>(1)</w:t>
            </w:r>
          </w:p>
        </w:tc>
        <w:tc>
          <w:tcPr>
            <w:tcW w:w="1420" w:type="dxa"/>
            <w:vAlign w:val="bottom"/>
            <w:tcBorders>
              <w:bottom w:val="single" w:sz="8" w:color="CCEBFF"/>
            </w:tcBorders>
            <w:shd w:val="clear" w:color="auto" w:fill="CCEB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CEBFF"/>
            </w:tcBorders>
            <w:shd w:val="clear" w:color="auto" w:fill="CCEBFF"/>
          </w:tcPr>
          <w:p>
            <w:pPr>
              <w:jc w:val="right"/>
              <w:spacing w:after="0" w:line="182" w:lineRule="exact"/>
              <w:rPr>
                <w:sz w:val="20"/>
                <w:szCs w:val="20"/>
                <w:color w:val="auto"/>
              </w:rPr>
            </w:pPr>
            <w:r>
              <w:rPr>
                <w:rFonts w:ascii="Arial" w:cs="Arial" w:eastAsia="Arial" w:hAnsi="Arial"/>
                <w:sz w:val="18"/>
                <w:szCs w:val="18"/>
                <w:color w:val="auto"/>
              </w:rPr>
              <w:t>$</w:t>
            </w:r>
          </w:p>
        </w:tc>
        <w:tc>
          <w:tcPr>
            <w:tcW w:w="2440" w:type="dxa"/>
            <w:vAlign w:val="bottom"/>
            <w:tcBorders>
              <w:bottom w:val="single" w:sz="8" w:color="CCEBFF"/>
            </w:tcBorders>
            <w:shd w:val="clear" w:color="auto" w:fill="CCEBFF"/>
          </w:tcPr>
          <w:p>
            <w:pPr>
              <w:jc w:val="right"/>
              <w:spacing w:after="0" w:line="182" w:lineRule="exact"/>
              <w:rPr>
                <w:sz w:val="20"/>
                <w:szCs w:val="20"/>
                <w:color w:val="auto"/>
              </w:rPr>
            </w:pPr>
            <w:r>
              <w:rPr>
                <w:rFonts w:ascii="Arial" w:cs="Arial" w:eastAsia="Arial" w:hAnsi="Arial"/>
                <w:sz w:val="18"/>
                <w:szCs w:val="18"/>
                <w:color w:val="auto"/>
              </w:rPr>
              <w:t>107.0 million</w:t>
            </w:r>
          </w:p>
        </w:tc>
        <w:tc>
          <w:tcPr>
            <w:tcW w:w="60" w:type="dxa"/>
            <w:vAlign w:val="bottom"/>
            <w:tcBorders>
              <w:bottom w:val="single" w:sz="8" w:color="CCEBFF"/>
            </w:tcBorders>
            <w:shd w:val="clear" w:color="auto" w:fill="CCEB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Credit Facility</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100.0 million</w:t>
            </w:r>
          </w:p>
        </w:tc>
        <w:tc>
          <w:tcPr>
            <w:tcW w:w="440" w:type="dxa"/>
            <w:vAlign w:val="bottom"/>
          </w:tcPr>
          <w:p>
            <w:pPr>
              <w:spacing w:after="0"/>
              <w:rPr>
                <w:sz w:val="17"/>
                <w:szCs w:val="17"/>
                <w:color w:val="auto"/>
              </w:rPr>
            </w:pP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BFF"/>
          </w:tcPr>
          <w:p>
            <w:pPr>
              <w:ind w:left="20"/>
              <w:spacing w:after="0" w:line="202" w:lineRule="exact"/>
              <w:rPr>
                <w:sz w:val="20"/>
                <w:szCs w:val="20"/>
                <w:color w:val="auto"/>
              </w:rPr>
            </w:pPr>
            <w:r>
              <w:rPr>
                <w:rFonts w:ascii="Arial" w:cs="Arial" w:eastAsia="Arial" w:hAnsi="Arial"/>
                <w:sz w:val="18"/>
                <w:szCs w:val="18"/>
                <w:color w:val="auto"/>
              </w:rPr>
              <w:t>Notes</w:t>
            </w:r>
          </w:p>
        </w:tc>
        <w:tc>
          <w:tcPr>
            <w:tcW w:w="360" w:type="dxa"/>
            <w:vAlign w:val="bottom"/>
            <w:shd w:val="clear" w:color="auto" w:fill="CCEB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CCEBFF"/>
          </w:tcPr>
          <w:p>
            <w:pPr>
              <w:jc w:val="right"/>
              <w:spacing w:after="0" w:line="202" w:lineRule="exact"/>
              <w:rPr>
                <w:sz w:val="20"/>
                <w:szCs w:val="20"/>
                <w:color w:val="auto"/>
              </w:rPr>
            </w:pPr>
            <w:r>
              <w:rPr>
                <w:rFonts w:ascii="Arial" w:cs="Arial" w:eastAsia="Arial" w:hAnsi="Arial"/>
                <w:sz w:val="18"/>
                <w:szCs w:val="18"/>
                <w:color w:val="auto"/>
              </w:rPr>
              <w:t>250.0 million</w:t>
            </w:r>
          </w:p>
        </w:tc>
        <w:tc>
          <w:tcPr>
            <w:tcW w:w="440" w:type="dxa"/>
            <w:vAlign w:val="bottom"/>
            <w:shd w:val="clear" w:color="auto" w:fill="CCEBFF"/>
          </w:tcPr>
          <w:p>
            <w:pPr>
              <w:spacing w:after="0"/>
              <w:rPr>
                <w:sz w:val="17"/>
                <w:szCs w:val="17"/>
                <w:color w:val="auto"/>
              </w:rPr>
            </w:pPr>
          </w:p>
        </w:tc>
        <w:tc>
          <w:tcPr>
            <w:tcW w:w="1420" w:type="dxa"/>
            <w:vAlign w:val="bottom"/>
            <w:shd w:val="clear" w:color="auto" w:fill="CCEB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BFF"/>
          </w:tcPr>
          <w:p>
            <w:pPr>
              <w:jc w:val="right"/>
              <w:spacing w:after="0" w:line="202" w:lineRule="exact"/>
              <w:rPr>
                <w:sz w:val="20"/>
                <w:szCs w:val="20"/>
                <w:color w:val="auto"/>
              </w:rPr>
            </w:pPr>
            <w:r>
              <w:rPr>
                <w:rFonts w:ascii="Arial" w:cs="Arial" w:eastAsia="Arial" w:hAnsi="Arial"/>
                <w:sz w:val="18"/>
                <w:szCs w:val="18"/>
                <w:color w:val="auto"/>
              </w:rPr>
              <w:t>$</w:t>
            </w:r>
          </w:p>
        </w:tc>
        <w:tc>
          <w:tcPr>
            <w:tcW w:w="2440" w:type="dxa"/>
            <w:vAlign w:val="bottom"/>
            <w:shd w:val="clear" w:color="auto" w:fill="CCEBFF"/>
          </w:tcPr>
          <w:p>
            <w:pPr>
              <w:jc w:val="right"/>
              <w:spacing w:after="0" w:line="202" w:lineRule="exact"/>
              <w:rPr>
                <w:sz w:val="20"/>
                <w:szCs w:val="20"/>
                <w:color w:val="auto"/>
              </w:rPr>
            </w:pPr>
            <w:r>
              <w:rPr>
                <w:rFonts w:ascii="Arial" w:cs="Arial" w:eastAsia="Arial" w:hAnsi="Arial"/>
                <w:sz w:val="18"/>
                <w:szCs w:val="18"/>
                <w:color w:val="auto"/>
              </w:rPr>
              <w:t>250.0 million</w:t>
            </w:r>
          </w:p>
        </w:tc>
        <w:tc>
          <w:tcPr>
            <w:tcW w:w="60" w:type="dxa"/>
            <w:vAlign w:val="bottom"/>
            <w:shd w:val="clear" w:color="auto" w:fill="CCEBFF"/>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For more information regarding our limitations as to SBA debenture issuances, see “Regulation — Small Business Administration Regulations.”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Fees and Expenses</w:t>
      </w:r>
    </w:p>
    <w:p>
      <w:pPr>
        <w:spacing w:after="0" w:line="108" w:lineRule="exact"/>
        <w:rPr>
          <w:sz w:val="20"/>
          <w:szCs w:val="20"/>
          <w:color w:val="auto"/>
        </w:rPr>
      </w:pPr>
    </w:p>
    <w:p>
      <w:pPr>
        <w:jc w:val="both"/>
        <w:ind w:left="20" w:firstLine="741"/>
        <w:spacing w:after="0" w:line="243"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an offering will bear directly or indirectly. We caution you that some of the percentages indicated in the table below are estimates and may vary. Except where the context suggests otherwise, whenever there is a reference to fees or expenses paid by “you,” “us,” “the Company” or “Fidus,” or that “we” will pay fees or expenses, stockholders will indirectly bear such fees or expenses as investors in us.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shd w:val="clear" w:color="auto" w:fill="CCEBFF"/>
          </w:tcPr>
          <w:p>
            <w:pPr>
              <w:ind w:left="20"/>
              <w:spacing w:after="0"/>
              <w:rPr>
                <w:sz w:val="20"/>
                <w:szCs w:val="20"/>
                <w:color w:val="auto"/>
              </w:rPr>
            </w:pPr>
            <w:r>
              <w:rPr>
                <w:rFonts w:ascii="Arial" w:cs="Arial" w:eastAsia="Arial" w:hAnsi="Arial"/>
                <w:sz w:val="14"/>
                <w:szCs w:val="14"/>
                <w:b w:val="1"/>
                <w:bCs w:val="1"/>
                <w:color w:val="auto"/>
              </w:rPr>
              <w:t>Stockholder transaction expenses:</w:t>
            </w:r>
          </w:p>
        </w:tc>
        <w:tc>
          <w:tcPr>
            <w:tcW w:w="940" w:type="dxa"/>
            <w:vAlign w:val="bottom"/>
            <w:shd w:val="clear" w:color="auto" w:fill="CCEBFF"/>
          </w:tcPr>
          <w:p>
            <w:pPr>
              <w:spacing w:after="0"/>
              <w:rPr>
                <w:sz w:val="14"/>
                <w:szCs w:val="14"/>
                <w:color w:val="auto"/>
              </w:rPr>
            </w:pPr>
          </w:p>
        </w:tc>
        <w:tc>
          <w:tcPr>
            <w:tcW w:w="280" w:type="dxa"/>
            <w:vAlign w:val="bottom"/>
            <w:shd w:val="clear" w:color="auto" w:fill="CCEBFF"/>
          </w:tcPr>
          <w:p>
            <w:pPr>
              <w:spacing w:after="0"/>
              <w:rPr>
                <w:sz w:val="14"/>
                <w:szCs w:val="14"/>
                <w:color w:val="auto"/>
              </w:rPr>
            </w:pPr>
          </w:p>
        </w:tc>
        <w:tc>
          <w:tcPr>
            <w:tcW w:w="480" w:type="dxa"/>
            <w:vAlign w:val="bottom"/>
            <w:shd w:val="clear" w:color="auto" w:fill="CCEBFF"/>
          </w:tcPr>
          <w:p>
            <w:pPr>
              <w:spacing w:after="0"/>
              <w:rPr>
                <w:sz w:val="14"/>
                <w:szCs w:val="14"/>
                <w:color w:val="auto"/>
              </w:rPr>
            </w:pPr>
          </w:p>
        </w:tc>
      </w:tr>
      <w:tr>
        <w:trPr>
          <w:trHeight w:val="175"/>
        </w:trPr>
        <w:tc>
          <w:tcPr>
            <w:tcW w:w="9540" w:type="dxa"/>
            <w:vAlign w:val="bottom"/>
          </w:tcPr>
          <w:p>
            <w:pPr>
              <w:ind w:left="20"/>
              <w:spacing w:after="0"/>
              <w:rPr>
                <w:sz w:val="20"/>
                <w:szCs w:val="20"/>
                <w:color w:val="auto"/>
              </w:rPr>
            </w:pPr>
            <w:r>
              <w:rPr>
                <w:rFonts w:ascii="Arial" w:cs="Arial" w:eastAsia="Arial" w:hAnsi="Arial"/>
                <w:sz w:val="14"/>
                <w:szCs w:val="14"/>
                <w:color w:val="auto"/>
              </w:rPr>
              <w:t>Sales load (as a percentage of offering price)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3"/>
              </w:rPr>
              <w:t>(1)</w:t>
            </w:r>
          </w:p>
        </w:tc>
      </w:tr>
      <w:tr>
        <w:trPr>
          <w:trHeight w:val="176"/>
        </w:trPr>
        <w:tc>
          <w:tcPr>
            <w:tcW w:w="9540" w:type="dxa"/>
            <w:vAlign w:val="bottom"/>
            <w:shd w:val="clear" w:color="auto" w:fill="CCEBFF"/>
          </w:tcPr>
          <w:p>
            <w:pPr>
              <w:ind w:left="20"/>
              <w:spacing w:after="0"/>
              <w:rPr>
                <w:sz w:val="20"/>
                <w:szCs w:val="20"/>
                <w:color w:val="auto"/>
              </w:rPr>
            </w:pPr>
            <w:r>
              <w:rPr>
                <w:rFonts w:ascii="Arial" w:cs="Arial" w:eastAsia="Arial" w:hAnsi="Arial"/>
                <w:sz w:val="14"/>
                <w:szCs w:val="14"/>
                <w:color w:val="auto"/>
              </w:rPr>
              <w:t>Offering Expenses born by us (as a percentage of offering price)</w:t>
            </w:r>
          </w:p>
        </w:tc>
        <w:tc>
          <w:tcPr>
            <w:tcW w:w="940" w:type="dxa"/>
            <w:vAlign w:val="bottom"/>
            <w:shd w:val="clear" w:color="auto" w:fill="CCEB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BFF"/>
          </w:tcPr>
          <w:p>
            <w:pPr>
              <w:spacing w:after="0"/>
              <w:rPr>
                <w:sz w:val="15"/>
                <w:szCs w:val="15"/>
                <w:color w:val="auto"/>
              </w:rPr>
            </w:pPr>
          </w:p>
        </w:tc>
        <w:tc>
          <w:tcPr>
            <w:tcW w:w="480" w:type="dxa"/>
            <w:vAlign w:val="bottom"/>
            <w:shd w:val="clear" w:color="auto" w:fill="CCEBFF"/>
          </w:tcPr>
          <w:p>
            <w:pPr>
              <w:jc w:val="center"/>
              <w:spacing w:after="0"/>
              <w:rPr>
                <w:sz w:val="20"/>
                <w:szCs w:val="20"/>
                <w:color w:val="auto"/>
              </w:rPr>
            </w:pPr>
            <w:r>
              <w:rPr>
                <w:rFonts w:ascii="Arial" w:cs="Arial" w:eastAsia="Arial" w:hAnsi="Arial"/>
                <w:sz w:val="14"/>
                <w:szCs w:val="14"/>
                <w:color w:val="auto"/>
                <w:w w:val="93"/>
              </w:rPr>
              <w:t>(2)</w:t>
            </w:r>
          </w:p>
        </w:tc>
      </w:tr>
      <w:tr>
        <w:trPr>
          <w:trHeight w:val="175"/>
        </w:trPr>
        <w:tc>
          <w:tcPr>
            <w:tcW w:w="9540" w:type="dxa"/>
            <w:vAlign w:val="bottom"/>
          </w:tcPr>
          <w:p>
            <w:pPr>
              <w:ind w:left="20"/>
              <w:spacing w:after="0"/>
              <w:rPr>
                <w:sz w:val="20"/>
                <w:szCs w:val="20"/>
                <w:color w:val="auto"/>
              </w:rPr>
            </w:pPr>
            <w:r>
              <w:rPr>
                <w:rFonts w:ascii="Arial" w:cs="Arial" w:eastAsia="Arial" w:hAnsi="Arial"/>
                <w:sz w:val="14"/>
                <w:szCs w:val="14"/>
                <w:color w:val="auto"/>
              </w:rPr>
              <w:t>Dividend reinvestment plan expenses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3"/>
              </w:rPr>
              <w:t>(3)</w:t>
            </w:r>
          </w:p>
        </w:tc>
      </w:tr>
      <w:tr>
        <w:trPr>
          <w:trHeight w:val="176"/>
        </w:trPr>
        <w:tc>
          <w:tcPr>
            <w:tcW w:w="9540" w:type="dxa"/>
            <w:vAlign w:val="bottom"/>
            <w:shd w:val="clear" w:color="auto" w:fill="CCEBFF"/>
          </w:tcPr>
          <w:p>
            <w:pPr>
              <w:ind w:left="20"/>
              <w:spacing w:after="0"/>
              <w:rPr>
                <w:sz w:val="20"/>
                <w:szCs w:val="20"/>
                <w:color w:val="auto"/>
              </w:rPr>
            </w:pPr>
            <w:r>
              <w:rPr>
                <w:rFonts w:ascii="Arial" w:cs="Arial" w:eastAsia="Arial" w:hAnsi="Arial"/>
                <w:sz w:val="14"/>
                <w:szCs w:val="14"/>
                <w:color w:val="auto"/>
              </w:rPr>
              <w:t>Total stockholder transaction expenses paid by us (as a percentage of offering price)</w:t>
            </w:r>
          </w:p>
        </w:tc>
        <w:tc>
          <w:tcPr>
            <w:tcW w:w="940" w:type="dxa"/>
            <w:vAlign w:val="bottom"/>
            <w:shd w:val="clear" w:color="auto" w:fill="CCEB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BFF"/>
          </w:tcPr>
          <w:p>
            <w:pPr>
              <w:spacing w:after="0"/>
              <w:rPr>
                <w:sz w:val="15"/>
                <w:szCs w:val="15"/>
                <w:color w:val="auto"/>
              </w:rPr>
            </w:pPr>
          </w:p>
        </w:tc>
        <w:tc>
          <w:tcPr>
            <w:tcW w:w="480" w:type="dxa"/>
            <w:vAlign w:val="bottom"/>
            <w:shd w:val="clear" w:color="auto" w:fill="CCEBFF"/>
          </w:tcPr>
          <w:p>
            <w:pPr>
              <w:jc w:val="center"/>
              <w:spacing w:after="0"/>
              <w:rPr>
                <w:sz w:val="20"/>
                <w:szCs w:val="20"/>
                <w:color w:val="auto"/>
              </w:rPr>
            </w:pPr>
            <w:r>
              <w:rPr>
                <w:rFonts w:ascii="Arial" w:cs="Arial" w:eastAsia="Arial" w:hAnsi="Arial"/>
                <w:sz w:val="14"/>
                <w:szCs w:val="14"/>
                <w:color w:val="auto"/>
                <w:w w:val="93"/>
              </w:rPr>
              <w:t>(4)</w:t>
            </w:r>
          </w:p>
        </w:tc>
      </w:tr>
      <w:tr>
        <w:trPr>
          <w:trHeight w:val="176"/>
        </w:trPr>
        <w:tc>
          <w:tcPr>
            <w:tcW w:w="9540" w:type="dxa"/>
            <w:vAlign w:val="bottom"/>
          </w:tcPr>
          <w:p>
            <w:pPr>
              <w:ind w:left="20"/>
              <w:spacing w:after="0" w:line="175" w:lineRule="exact"/>
              <w:rPr>
                <w:sz w:val="20"/>
                <w:szCs w:val="20"/>
                <w:color w:val="auto"/>
              </w:rPr>
            </w:pPr>
            <w:r>
              <w:rPr>
                <w:rFonts w:ascii="Arial" w:cs="Arial" w:eastAsia="Arial" w:hAnsi="Arial"/>
                <w:sz w:val="14"/>
                <w:szCs w:val="14"/>
                <w:b w:val="1"/>
                <w:bCs w:val="1"/>
                <w:color w:val="auto"/>
              </w:rPr>
              <w:t xml:space="preserve">Annual expenses (as a percentage of net assets attributable to common stock) </w:t>
            </w:r>
            <w:r>
              <w:rPr>
                <w:rFonts w:ascii="Arial" w:cs="Arial" w:eastAsia="Arial" w:hAnsi="Arial"/>
                <w:sz w:val="19"/>
                <w:szCs w:val="19"/>
                <w:b w:val="1"/>
                <w:bCs w:val="1"/>
                <w:color w:val="auto"/>
                <w:vertAlign w:val="superscript"/>
              </w:rPr>
              <w:t>(5)</w:t>
            </w:r>
            <w:r>
              <w:rPr>
                <w:rFonts w:ascii="Arial" w:cs="Arial" w:eastAsia="Arial" w:hAnsi="Arial"/>
                <w:sz w:val="14"/>
                <w:szCs w:val="14"/>
                <w:b w:val="1"/>
                <w:bCs w:val="1"/>
                <w:color w:val="auto"/>
              </w:rPr>
              <w:t>:</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5"/>
        </w:trPr>
        <w:tc>
          <w:tcPr>
            <w:tcW w:w="9540" w:type="dxa"/>
            <w:vAlign w:val="bottom"/>
            <w:shd w:val="clear" w:color="auto" w:fill="CCEBFF"/>
          </w:tcPr>
          <w:p>
            <w:pPr>
              <w:ind w:left="20"/>
              <w:spacing w:after="0"/>
              <w:rPr>
                <w:sz w:val="20"/>
                <w:szCs w:val="20"/>
                <w:color w:val="auto"/>
              </w:rPr>
            </w:pPr>
            <w:r>
              <w:rPr>
                <w:rFonts w:ascii="Arial" w:cs="Arial" w:eastAsia="Arial" w:hAnsi="Arial"/>
                <w:sz w:val="14"/>
                <w:szCs w:val="14"/>
                <w:color w:val="auto"/>
              </w:rPr>
              <w:t>Base management fee</w:t>
            </w:r>
          </w:p>
        </w:tc>
        <w:tc>
          <w:tcPr>
            <w:tcW w:w="1220" w:type="dxa"/>
            <w:vAlign w:val="bottom"/>
            <w:gridSpan w:val="2"/>
            <w:shd w:val="clear" w:color="auto" w:fill="CCEBFF"/>
          </w:tcPr>
          <w:p>
            <w:pPr>
              <w:jc w:val="right"/>
              <w:ind w:right="88"/>
              <w:spacing w:after="0"/>
              <w:rPr>
                <w:sz w:val="20"/>
                <w:szCs w:val="20"/>
                <w:color w:val="auto"/>
              </w:rPr>
            </w:pPr>
            <w:r>
              <w:rPr>
                <w:rFonts w:ascii="Arial" w:cs="Arial" w:eastAsia="Arial" w:hAnsi="Arial"/>
                <w:sz w:val="14"/>
                <w:szCs w:val="14"/>
                <w:color w:val="auto"/>
              </w:rPr>
              <w:t>2.94 %</w:t>
            </w:r>
          </w:p>
        </w:tc>
        <w:tc>
          <w:tcPr>
            <w:tcW w:w="480" w:type="dxa"/>
            <w:vAlign w:val="bottom"/>
            <w:shd w:val="clear" w:color="auto" w:fill="CCEBFF"/>
          </w:tcPr>
          <w:p>
            <w:pPr>
              <w:jc w:val="center"/>
              <w:spacing w:after="0"/>
              <w:rPr>
                <w:sz w:val="20"/>
                <w:szCs w:val="20"/>
                <w:color w:val="auto"/>
              </w:rPr>
            </w:pPr>
            <w:r>
              <w:rPr>
                <w:rFonts w:ascii="Arial" w:cs="Arial" w:eastAsia="Arial" w:hAnsi="Arial"/>
                <w:sz w:val="14"/>
                <w:szCs w:val="14"/>
                <w:color w:val="auto"/>
                <w:w w:val="93"/>
              </w:rPr>
              <w:t>(6)</w:t>
            </w:r>
          </w:p>
        </w:tc>
      </w:tr>
      <w:tr>
        <w:trPr>
          <w:trHeight w:val="176"/>
        </w:trPr>
        <w:tc>
          <w:tcPr>
            <w:tcW w:w="9540" w:type="dxa"/>
            <w:vAlign w:val="bottom"/>
          </w:tcPr>
          <w:p>
            <w:pPr>
              <w:ind w:left="20"/>
              <w:spacing w:after="0"/>
              <w:rPr>
                <w:sz w:val="20"/>
                <w:szCs w:val="20"/>
                <w:color w:val="auto"/>
              </w:rPr>
            </w:pPr>
            <w:r>
              <w:rPr>
                <w:rFonts w:ascii="Arial" w:cs="Arial" w:eastAsia="Arial" w:hAnsi="Arial"/>
                <w:sz w:val="14"/>
                <w:szCs w:val="14"/>
                <w:color w:val="auto"/>
              </w:rPr>
              <w:t>Incentive fees payable under Investment Advisory Agreement</w:t>
            </w: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3.75 %</w:t>
            </w:r>
          </w:p>
        </w:tc>
        <w:tc>
          <w:tcPr>
            <w:tcW w:w="480" w:type="dxa"/>
            <w:vAlign w:val="bottom"/>
          </w:tcPr>
          <w:p>
            <w:pPr>
              <w:jc w:val="center"/>
              <w:spacing w:after="0"/>
              <w:rPr>
                <w:sz w:val="20"/>
                <w:szCs w:val="20"/>
                <w:color w:val="auto"/>
              </w:rPr>
            </w:pPr>
            <w:r>
              <w:rPr>
                <w:rFonts w:ascii="Arial" w:cs="Arial" w:eastAsia="Arial" w:hAnsi="Arial"/>
                <w:sz w:val="14"/>
                <w:szCs w:val="14"/>
                <w:color w:val="auto"/>
                <w:w w:val="93"/>
              </w:rPr>
              <w:t>(7)</w:t>
            </w:r>
          </w:p>
        </w:tc>
      </w:tr>
      <w:tr>
        <w:trPr>
          <w:trHeight w:val="175"/>
        </w:trPr>
        <w:tc>
          <w:tcPr>
            <w:tcW w:w="9540" w:type="dxa"/>
            <w:vAlign w:val="bottom"/>
            <w:shd w:val="clear" w:color="auto" w:fill="CCEBFF"/>
          </w:tcPr>
          <w:p>
            <w:pPr>
              <w:ind w:left="20"/>
              <w:spacing w:after="0"/>
              <w:rPr>
                <w:sz w:val="20"/>
                <w:szCs w:val="20"/>
                <w:color w:val="auto"/>
              </w:rPr>
            </w:pPr>
            <w:r>
              <w:rPr>
                <w:rFonts w:ascii="Arial" w:cs="Arial" w:eastAsia="Arial" w:hAnsi="Arial"/>
                <w:sz w:val="14"/>
                <w:szCs w:val="14"/>
                <w:color w:val="auto"/>
              </w:rPr>
              <w:t>Interest payments on borrowed funds</w:t>
            </w:r>
          </w:p>
        </w:tc>
        <w:tc>
          <w:tcPr>
            <w:tcW w:w="1220" w:type="dxa"/>
            <w:vAlign w:val="bottom"/>
            <w:gridSpan w:val="2"/>
            <w:shd w:val="clear" w:color="auto" w:fill="CCEBFF"/>
          </w:tcPr>
          <w:p>
            <w:pPr>
              <w:jc w:val="right"/>
              <w:ind w:right="88"/>
              <w:spacing w:after="0"/>
              <w:rPr>
                <w:sz w:val="20"/>
                <w:szCs w:val="20"/>
                <w:color w:val="auto"/>
              </w:rPr>
            </w:pPr>
            <w:r>
              <w:rPr>
                <w:rFonts w:ascii="Arial" w:cs="Arial" w:eastAsia="Arial" w:hAnsi="Arial"/>
                <w:sz w:val="14"/>
                <w:szCs w:val="14"/>
                <w:color w:val="auto"/>
              </w:rPr>
              <w:t>3.50 %</w:t>
            </w:r>
          </w:p>
        </w:tc>
        <w:tc>
          <w:tcPr>
            <w:tcW w:w="480" w:type="dxa"/>
            <w:vAlign w:val="bottom"/>
            <w:shd w:val="clear" w:color="auto" w:fill="CCEBFF"/>
          </w:tcPr>
          <w:p>
            <w:pPr>
              <w:jc w:val="center"/>
              <w:spacing w:after="0"/>
              <w:rPr>
                <w:sz w:val="20"/>
                <w:szCs w:val="20"/>
                <w:color w:val="auto"/>
              </w:rPr>
            </w:pPr>
            <w:r>
              <w:rPr>
                <w:rFonts w:ascii="Arial" w:cs="Arial" w:eastAsia="Arial" w:hAnsi="Arial"/>
                <w:sz w:val="14"/>
                <w:szCs w:val="14"/>
                <w:color w:val="auto"/>
                <w:w w:val="93"/>
              </w:rPr>
              <w:t>(8)</w:t>
            </w:r>
          </w:p>
        </w:tc>
      </w:tr>
      <w:tr>
        <w:trPr>
          <w:trHeight w:val="176"/>
        </w:trPr>
        <w:tc>
          <w:tcPr>
            <w:tcW w:w="954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1.14 %</w:t>
            </w:r>
          </w:p>
        </w:tc>
        <w:tc>
          <w:tcPr>
            <w:tcW w:w="480" w:type="dxa"/>
            <w:vAlign w:val="bottom"/>
          </w:tcPr>
          <w:p>
            <w:pPr>
              <w:jc w:val="center"/>
              <w:spacing w:after="0"/>
              <w:rPr>
                <w:sz w:val="20"/>
                <w:szCs w:val="20"/>
                <w:color w:val="auto"/>
              </w:rPr>
            </w:pPr>
            <w:r>
              <w:rPr>
                <w:rFonts w:ascii="Arial" w:cs="Arial" w:eastAsia="Arial" w:hAnsi="Arial"/>
                <w:sz w:val="14"/>
                <w:szCs w:val="14"/>
                <w:color w:val="auto"/>
                <w:w w:val="93"/>
              </w:rPr>
              <w:t>(9)</w:t>
            </w:r>
          </w:p>
        </w:tc>
      </w:tr>
      <w:tr>
        <w:trPr>
          <w:trHeight w:val="169"/>
        </w:trPr>
        <w:tc>
          <w:tcPr>
            <w:tcW w:w="9540" w:type="dxa"/>
            <w:vAlign w:val="bottom"/>
            <w:shd w:val="clear" w:color="auto" w:fill="CCEBFF"/>
          </w:tcPr>
          <w:p>
            <w:pPr>
              <w:ind w:left="20"/>
              <w:spacing w:after="0"/>
              <w:rPr>
                <w:sz w:val="20"/>
                <w:szCs w:val="20"/>
                <w:color w:val="auto"/>
              </w:rPr>
            </w:pPr>
            <w:r>
              <w:rPr>
                <w:rFonts w:ascii="Arial" w:cs="Arial" w:eastAsia="Arial" w:hAnsi="Arial"/>
                <w:sz w:val="14"/>
                <w:szCs w:val="14"/>
                <w:color w:val="auto"/>
              </w:rPr>
              <w:t>Total annual expenses, before base management fee waiver</w:t>
            </w:r>
          </w:p>
        </w:tc>
        <w:tc>
          <w:tcPr>
            <w:tcW w:w="940" w:type="dxa"/>
            <w:vAlign w:val="bottom"/>
            <w:tcBorders>
              <w:top w:val="single" w:sz="8" w:color="auto"/>
            </w:tcBorders>
            <w:shd w:val="clear" w:color="auto" w:fill="CCEBFF"/>
          </w:tcPr>
          <w:p>
            <w:pPr>
              <w:jc w:val="right"/>
              <w:spacing w:after="0"/>
              <w:rPr>
                <w:sz w:val="20"/>
                <w:szCs w:val="20"/>
                <w:color w:val="auto"/>
              </w:rPr>
            </w:pPr>
            <w:r>
              <w:rPr>
                <w:rFonts w:ascii="Arial" w:cs="Arial" w:eastAsia="Arial" w:hAnsi="Arial"/>
                <w:sz w:val="14"/>
                <w:szCs w:val="14"/>
                <w:color w:val="auto"/>
              </w:rPr>
              <w:t>11.33</w:t>
            </w:r>
          </w:p>
        </w:tc>
        <w:tc>
          <w:tcPr>
            <w:tcW w:w="280" w:type="dxa"/>
            <w:vAlign w:val="bottom"/>
            <w:shd w:val="clear" w:color="auto" w:fill="CCEBFF"/>
          </w:tcPr>
          <w:p>
            <w:pPr>
              <w:jc w:val="right"/>
              <w:ind w:right="88"/>
              <w:spacing w:after="0"/>
              <w:rPr>
                <w:sz w:val="20"/>
                <w:szCs w:val="20"/>
                <w:color w:val="auto"/>
              </w:rPr>
            </w:pPr>
            <w:r>
              <w:rPr>
                <w:rFonts w:ascii="Arial" w:cs="Arial" w:eastAsia="Arial" w:hAnsi="Arial"/>
                <w:sz w:val="14"/>
                <w:szCs w:val="14"/>
                <w:color w:val="auto"/>
                <w:w w:val="79"/>
              </w:rPr>
              <w:t>%</w:t>
            </w:r>
          </w:p>
        </w:tc>
        <w:tc>
          <w:tcPr>
            <w:tcW w:w="480" w:type="dxa"/>
            <w:vAlign w:val="bottom"/>
            <w:shd w:val="clear" w:color="auto" w:fill="CCEBFF"/>
          </w:tcPr>
          <w:p>
            <w:pPr>
              <w:jc w:val="center"/>
              <w:spacing w:after="0"/>
              <w:rPr>
                <w:sz w:val="20"/>
                <w:szCs w:val="20"/>
                <w:color w:val="auto"/>
              </w:rPr>
            </w:pPr>
            <w:r>
              <w:rPr>
                <w:rFonts w:ascii="Arial" w:cs="Arial" w:eastAsia="Arial" w:hAnsi="Arial"/>
                <w:sz w:val="14"/>
                <w:szCs w:val="14"/>
                <w:color w:val="auto"/>
                <w:w w:val="96"/>
              </w:rPr>
              <w:t>(10)</w:t>
            </w:r>
          </w:p>
        </w:tc>
      </w:tr>
      <w:tr>
        <w:trPr>
          <w:trHeight w:val="175"/>
        </w:trPr>
        <w:tc>
          <w:tcPr>
            <w:tcW w:w="9540" w:type="dxa"/>
            <w:vAlign w:val="bottom"/>
          </w:tcPr>
          <w:p>
            <w:pPr>
              <w:ind w:left="20"/>
              <w:spacing w:after="0"/>
              <w:rPr>
                <w:sz w:val="20"/>
                <w:szCs w:val="20"/>
                <w:color w:val="auto"/>
              </w:rPr>
            </w:pPr>
            <w:r>
              <w:rPr>
                <w:rFonts w:ascii="Arial" w:cs="Arial" w:eastAsia="Arial" w:hAnsi="Arial"/>
                <w:sz w:val="14"/>
                <w:szCs w:val="14"/>
                <w:color w:val="auto"/>
              </w:rPr>
              <w:t>Base management fee waiver</w:t>
            </w:r>
          </w:p>
        </w:tc>
        <w:tc>
          <w:tcPr>
            <w:tcW w:w="1220" w:type="dxa"/>
            <w:vAlign w:val="bottom"/>
            <w:gridSpan w:val="2"/>
          </w:tcPr>
          <w:p>
            <w:pPr>
              <w:jc w:val="right"/>
              <w:ind w:right="28"/>
              <w:spacing w:after="0"/>
              <w:rPr>
                <w:sz w:val="20"/>
                <w:szCs w:val="20"/>
                <w:color w:val="auto"/>
              </w:rPr>
            </w:pPr>
            <w:r>
              <w:rPr>
                <w:rFonts w:ascii="Arial" w:cs="Arial" w:eastAsia="Arial" w:hAnsi="Arial"/>
                <w:sz w:val="14"/>
                <w:szCs w:val="14"/>
                <w:color w:val="auto"/>
              </w:rPr>
              <w:t>(0.04 %)</w:t>
            </w:r>
          </w:p>
        </w:tc>
        <w:tc>
          <w:tcPr>
            <w:tcW w:w="480" w:type="dxa"/>
            <w:vAlign w:val="bottom"/>
          </w:tcPr>
          <w:p>
            <w:pPr>
              <w:jc w:val="center"/>
              <w:spacing w:after="0"/>
              <w:rPr>
                <w:sz w:val="20"/>
                <w:szCs w:val="20"/>
                <w:color w:val="auto"/>
              </w:rPr>
            </w:pPr>
            <w:r>
              <w:rPr>
                <w:rFonts w:ascii="Arial" w:cs="Arial" w:eastAsia="Arial" w:hAnsi="Arial"/>
                <w:sz w:val="14"/>
                <w:szCs w:val="14"/>
                <w:color w:val="auto"/>
                <w:w w:val="96"/>
              </w:rPr>
              <w:t>(11)</w:t>
            </w:r>
          </w:p>
        </w:tc>
      </w:tr>
      <w:tr>
        <w:trPr>
          <w:trHeight w:val="209"/>
        </w:trPr>
        <w:tc>
          <w:tcPr>
            <w:tcW w:w="9540" w:type="dxa"/>
            <w:vAlign w:val="bottom"/>
            <w:tcBorders>
              <w:bottom w:val="single" w:sz="8" w:color="CCEBFF"/>
            </w:tcBorders>
            <w:shd w:val="clear" w:color="auto" w:fill="CCEBFF"/>
          </w:tcPr>
          <w:p>
            <w:pPr>
              <w:ind w:left="20"/>
              <w:spacing w:after="0" w:line="155" w:lineRule="exact"/>
              <w:rPr>
                <w:sz w:val="20"/>
                <w:szCs w:val="20"/>
                <w:color w:val="auto"/>
              </w:rPr>
            </w:pPr>
            <w:r>
              <w:rPr>
                <w:rFonts w:ascii="Arial" w:cs="Arial" w:eastAsia="Arial" w:hAnsi="Arial"/>
                <w:sz w:val="14"/>
                <w:szCs w:val="14"/>
                <w:color w:val="auto"/>
              </w:rPr>
              <w:t>Total annual expenses, net of base management fee waiver</w:t>
            </w:r>
          </w:p>
        </w:tc>
        <w:tc>
          <w:tcPr>
            <w:tcW w:w="940" w:type="dxa"/>
            <w:vAlign w:val="bottom"/>
            <w:tcBorders>
              <w:top w:val="single" w:sz="8" w:color="auto"/>
              <w:bottom w:val="single" w:sz="8" w:color="auto"/>
            </w:tcBorders>
            <w:shd w:val="clear" w:color="auto" w:fill="CCEBFF"/>
          </w:tcPr>
          <w:p>
            <w:pPr>
              <w:jc w:val="right"/>
              <w:spacing w:after="0" w:line="155" w:lineRule="exact"/>
              <w:rPr>
                <w:sz w:val="20"/>
                <w:szCs w:val="20"/>
                <w:color w:val="auto"/>
              </w:rPr>
            </w:pPr>
            <w:r>
              <w:rPr>
                <w:rFonts w:ascii="Arial" w:cs="Arial" w:eastAsia="Arial" w:hAnsi="Arial"/>
                <w:sz w:val="14"/>
                <w:szCs w:val="14"/>
                <w:color w:val="auto"/>
              </w:rPr>
              <w:t>11.29</w:t>
            </w:r>
          </w:p>
        </w:tc>
        <w:tc>
          <w:tcPr>
            <w:tcW w:w="280" w:type="dxa"/>
            <w:vAlign w:val="bottom"/>
            <w:tcBorders>
              <w:bottom w:val="single" w:sz="8" w:color="CCEBFF"/>
            </w:tcBorders>
            <w:shd w:val="clear" w:color="auto" w:fill="CCEBFF"/>
          </w:tcPr>
          <w:p>
            <w:pPr>
              <w:jc w:val="right"/>
              <w:ind w:right="88"/>
              <w:spacing w:after="0" w:line="155" w:lineRule="exact"/>
              <w:rPr>
                <w:sz w:val="20"/>
                <w:szCs w:val="20"/>
                <w:color w:val="auto"/>
              </w:rPr>
            </w:pPr>
            <w:r>
              <w:rPr>
                <w:rFonts w:ascii="Arial" w:cs="Arial" w:eastAsia="Arial" w:hAnsi="Arial"/>
                <w:sz w:val="14"/>
                <w:szCs w:val="14"/>
                <w:color w:val="auto"/>
                <w:w w:val="79"/>
              </w:rPr>
              <w:t>%</w:t>
            </w:r>
          </w:p>
        </w:tc>
        <w:tc>
          <w:tcPr>
            <w:tcW w:w="480" w:type="dxa"/>
            <w:vAlign w:val="bottom"/>
            <w:tcBorders>
              <w:bottom w:val="single" w:sz="8" w:color="CCEBFF"/>
            </w:tcBorders>
            <w:shd w:val="clear" w:color="auto" w:fill="CCEBFF"/>
          </w:tcPr>
          <w:p>
            <w:pPr>
              <w:jc w:val="center"/>
              <w:spacing w:after="0" w:line="155" w:lineRule="exact"/>
              <w:rPr>
                <w:sz w:val="20"/>
                <w:szCs w:val="20"/>
                <w:color w:val="auto"/>
              </w:rPr>
            </w:pPr>
            <w:r>
              <w:rPr>
                <w:rFonts w:ascii="Arial" w:cs="Arial" w:eastAsia="Arial" w:hAnsi="Arial"/>
                <w:sz w:val="14"/>
                <w:szCs w:val="14"/>
                <w:color w:val="auto"/>
                <w:w w:val="96"/>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-25400</wp:posOffset>
            </wp:positionV>
            <wp:extent cx="154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-8255</wp:posOffset>
            </wp:positionV>
            <wp:extent cx="1543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ind w:left="480" w:hanging="459"/>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 the event that securities are sold to or through underwriters, a corresponding prospectus supplement will disclose the applicable sales load.</w:t>
      </w:r>
    </w:p>
    <w:p>
      <w:pPr>
        <w:spacing w:after="0" w:line="22" w:lineRule="exact"/>
        <w:rPr>
          <w:rFonts w:ascii="Arial" w:cs="Arial" w:eastAsia="Arial" w:hAnsi="Arial"/>
          <w:sz w:val="13"/>
          <w:szCs w:val="13"/>
          <w:color w:val="auto"/>
        </w:rPr>
      </w:pPr>
    </w:p>
    <w:p>
      <w:pPr>
        <w:ind w:left="480" w:right="20" w:hanging="459"/>
        <w:spacing w:after="0" w:line="238" w:lineRule="auto"/>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 the event that we conduct an offering of any of our securities, a corresponding prospectus supplement will disclose the estimated offering expenses because they will be ultimately borne by the Company (and indirectly by our stockholders).</w:t>
      </w:r>
    </w:p>
    <w:p>
      <w:pPr>
        <w:ind w:left="480" w:hanging="459"/>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expenses of administering our dividend reinvestment plan are included in other expenses.</w:t>
      </w:r>
    </w:p>
    <w:p>
      <w:pPr>
        <w:spacing w:after="0" w:line="12" w:lineRule="exact"/>
        <w:rPr>
          <w:rFonts w:ascii="Arial" w:cs="Arial" w:eastAsia="Arial" w:hAnsi="Arial"/>
          <w:sz w:val="13"/>
          <w:szCs w:val="13"/>
          <w:color w:val="auto"/>
        </w:rPr>
      </w:pPr>
    </w:p>
    <w:p>
      <w:pPr>
        <w:ind w:left="480" w:hanging="459"/>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Total stockholder transaction expenses may include a sales load and will be disclosed in a future prospectus supplement, if any.</w:t>
      </w:r>
    </w:p>
    <w:p>
      <w:pPr>
        <w:spacing w:after="0" w:line="12" w:lineRule="exact"/>
        <w:rPr>
          <w:rFonts w:ascii="Arial" w:cs="Arial" w:eastAsia="Arial" w:hAnsi="Arial"/>
          <w:sz w:val="13"/>
          <w:szCs w:val="13"/>
          <w:color w:val="auto"/>
        </w:rPr>
      </w:pPr>
    </w:p>
    <w:p>
      <w:pPr>
        <w:ind w:left="480" w:right="20" w:hanging="459"/>
        <w:spacing w:after="0" w:line="238" w:lineRule="auto"/>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Net assets attributable to common stock equals average net assets, which is calculated as the average of the net assets balances as of each quarter end during the year ended December 31, 2021 and the prior year end.</w:t>
      </w:r>
    </w:p>
    <w:p>
      <w:pPr>
        <w:jc w:val="both"/>
        <w:ind w:left="480" w:right="20" w:hanging="459"/>
        <w:spacing w:after="0" w:line="227" w:lineRule="auto"/>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base management fee is 1.75% of the average value of our total assets (other than cash and cash equivalents but including assets purchased with borrowed amounts). This item represents actual base management fees incurred for the year ended December 31, 2021. We may from time to time decide it is appropriate to change the terms of the Investment Advisory Agreement. Under the 1940 Act, any material change to our Investment Advisory Agreement must be submitted to stockholders for approval. The 2.94% reflected in the table is calculated on our net assets (rather than our total assets). See “Management and Other Agreements—Investment Advisory Agreement.”</w:t>
      </w:r>
    </w:p>
    <w:p>
      <w:pPr>
        <w:spacing w:after="0" w:line="1" w:lineRule="exact"/>
        <w:rPr>
          <w:rFonts w:ascii="Arial" w:cs="Arial" w:eastAsia="Arial" w:hAnsi="Arial"/>
          <w:sz w:val="13"/>
          <w:szCs w:val="13"/>
          <w:color w:val="auto"/>
        </w:rPr>
      </w:pPr>
    </w:p>
    <w:p>
      <w:pPr>
        <w:ind w:left="480" w:right="40" w:hanging="459"/>
        <w:spacing w:after="0" w:line="217" w:lineRule="auto"/>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item represents actual fees incurred on pre-incentive fee net investment income (income incentive fee) and actual fees payable for the capital gains incentive fee for the year ended December 31, 2021. The capital gains incentive fee payable as of December 31, 2021 is $6.1 million. For the year ended December 31, 2021, we accrued capital gains incentive fees (reversal) of $18.2 million in accordance with U.S. GAAP, which equals 4.16% of average net assets attributable to common stock; such amount has not been included in the estimated expenses figure reflected in the table above. The incentive fee consists of two parts:</w:t>
      </w:r>
    </w:p>
    <w:p>
      <w:pPr>
        <w:spacing w:after="0" w:line="1" w:lineRule="exact"/>
        <w:rPr>
          <w:rFonts w:ascii="Arial" w:cs="Arial" w:eastAsia="Arial" w:hAnsi="Arial"/>
          <w:sz w:val="13"/>
          <w:szCs w:val="13"/>
          <w:color w:val="auto"/>
        </w:rPr>
      </w:pPr>
    </w:p>
    <w:p>
      <w:pPr>
        <w:jc w:val="both"/>
        <w:ind w:left="480" w:right="20"/>
        <w:spacing w:after="0" w:line="223" w:lineRule="auto"/>
        <w:rPr>
          <w:rFonts w:ascii="Arial" w:cs="Arial" w:eastAsia="Arial" w:hAnsi="Arial"/>
          <w:sz w:val="13"/>
          <w:szCs w:val="13"/>
          <w:color w:val="auto"/>
        </w:rPr>
      </w:pPr>
      <w:r>
        <w:rPr>
          <w:rFonts w:ascii="Arial" w:cs="Arial" w:eastAsia="Arial" w:hAnsi="Arial"/>
          <w:sz w:val="13"/>
          <w:szCs w:val="13"/>
          <w:color w:val="auto"/>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p>
    <w:p>
      <w:pPr>
        <w:spacing w:after="0" w:line="99" w:lineRule="exact"/>
        <w:rPr>
          <w:rFonts w:ascii="Arial" w:cs="Arial" w:eastAsia="Arial" w:hAnsi="Arial"/>
          <w:sz w:val="13"/>
          <w:szCs w:val="13"/>
          <w:color w:val="auto"/>
        </w:rPr>
      </w:pPr>
    </w:p>
    <w:p>
      <w:pPr>
        <w:jc w:val="both"/>
        <w:ind w:left="480" w:right="20"/>
        <w:spacing w:after="0" w:line="220" w:lineRule="auto"/>
        <w:rPr>
          <w:rFonts w:ascii="Arial" w:cs="Arial" w:eastAsia="Arial" w:hAnsi="Arial"/>
          <w:sz w:val="13"/>
          <w:szCs w:val="13"/>
          <w:color w:val="auto"/>
        </w:rPr>
      </w:pPr>
      <w:r>
        <w:rPr>
          <w:rFonts w:ascii="Arial" w:cs="Arial" w:eastAsia="Arial" w:hAnsi="Arial"/>
          <w:sz w:val="13"/>
          <w:szCs w:val="13"/>
          <w:color w:val="auto"/>
        </w:rPr>
        <w:t>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w:t>
      </w:r>
    </w:p>
    <w:p>
      <w:pPr>
        <w:spacing w:after="0" w:line="1" w:lineRule="exact"/>
        <w:rPr>
          <w:rFonts w:ascii="Arial" w:cs="Arial" w:eastAsia="Arial" w:hAnsi="Arial"/>
          <w:sz w:val="13"/>
          <w:szCs w:val="13"/>
          <w:color w:val="auto"/>
        </w:rPr>
      </w:pPr>
    </w:p>
    <w:p>
      <w:pPr>
        <w:ind w:left="480"/>
        <w:spacing w:after="0"/>
        <w:rPr>
          <w:rFonts w:ascii="Arial" w:cs="Arial" w:eastAsia="Arial" w:hAnsi="Arial"/>
          <w:sz w:val="13"/>
          <w:szCs w:val="13"/>
          <w:color w:val="auto"/>
        </w:rPr>
      </w:pPr>
      <w:r>
        <w:rPr>
          <w:rFonts w:ascii="Arial" w:cs="Arial" w:eastAsia="Arial" w:hAnsi="Arial"/>
          <w:sz w:val="13"/>
          <w:szCs w:val="13"/>
          <w:color w:val="auto"/>
        </w:rPr>
        <w:t>See “Management and Other Agreements—Investment Advisory Agreement.”</w:t>
      </w:r>
    </w:p>
    <w:p>
      <w:pPr>
        <w:spacing w:after="0" w:line="10" w:lineRule="exact"/>
        <w:rPr>
          <w:rFonts w:ascii="Arial" w:cs="Arial" w:eastAsia="Arial" w:hAnsi="Arial"/>
          <w:sz w:val="13"/>
          <w:szCs w:val="13"/>
          <w:color w:val="auto"/>
        </w:rPr>
      </w:pPr>
    </w:p>
    <w:p>
      <w:pPr>
        <w:ind w:left="480" w:right="120" w:hanging="459"/>
        <w:spacing w:after="0" w:line="223" w:lineRule="auto"/>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As of December 31, 2021, we had outstanding SBA debentures of $107.0 million; we had $250.0 million outstanding of our Notes; we had no outstanding borrowings under our senior secured revolving credit agreement with certain lenders party thereto and ING Capital, LLC, as administrative agent (the “Credit Facility”), which has a total commitment of $100.0 million. Interest payments on borrowed funds is based on estimated annual interest and fee expenses on outstanding SBA debentures, Notes and borrowings under the Credit Facility as of December 31, 2021 with a weighted average stated interest rate of 3.724% as of that date. We also pay a commitment fee between 0.5% and 3.0% per annum based the unutilized commitment under our Credit Facility. We have estimated the annual interest expense on borrowed funds and caution you that our actual interest expense will depend on prevailing interest rates and our rate of borrowing, which may be substantially higher than the estimate provided in this table.</w:t>
      </w:r>
    </w:p>
    <w:p>
      <w:pPr>
        <w:spacing w:after="0" w:line="3" w:lineRule="exact"/>
        <w:rPr>
          <w:rFonts w:ascii="Arial" w:cs="Arial" w:eastAsia="Arial" w:hAnsi="Arial"/>
          <w:sz w:val="13"/>
          <w:szCs w:val="13"/>
          <w:color w:val="auto"/>
        </w:rPr>
      </w:pPr>
    </w:p>
    <w:p>
      <w:pPr>
        <w:ind w:left="480" w:right="160" w:hanging="459"/>
        <w:spacing w:after="0" w:line="225" w:lineRule="auto"/>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Other expenses represent our estimated annual operating expenses, as a percentage of net assets attributable to common shares estimated for the current year, including professional fees, directors’ fees, insurance costs, expenses of our dividend reinvestment plan and payments under the Administration Agreement based on our allocable portion of overhead and other expenses incurred by our administrator. See “Management and Other Agreements—Administration Agreement.” Other expenses exclude interest payments on borrowed funds, income tax (provision) benefit from realized gains on investments, and for issuances of debt securities or preferred stock, interest payments on debt securities and distributions with respect to preferred stock. “Other expenses” are based on actual other expenses for the year ended December 31, 2021.</w:t>
      </w:r>
    </w:p>
    <w:p>
      <w:pPr>
        <w:spacing w:after="0" w:line="1" w:lineRule="exact"/>
        <w:rPr>
          <w:rFonts w:ascii="Arial" w:cs="Arial" w:eastAsia="Arial" w:hAnsi="Arial"/>
          <w:sz w:val="13"/>
          <w:szCs w:val="13"/>
          <w:color w:val="auto"/>
        </w:rPr>
      </w:pPr>
    </w:p>
    <w:p>
      <w:pPr>
        <w:ind w:left="480" w:right="180" w:hanging="459"/>
        <w:spacing w:after="0" w:line="238" w:lineRule="auto"/>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w:t>
      </w:r>
    </w:p>
    <w:p>
      <w:pPr>
        <w:ind w:left="480" w:right="240" w:hanging="459"/>
        <w:spacing w:after="0" w:line="238" w:lineRule="auto"/>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Board of Directors accepted a voluntary, non-contractual, and unconditional waiver from the Investment Advisor to exclude any investments recorded as secured borrowings as defined under GAAP from the base management fee payable as of December 31, 2021. The base management fee waived as of December 31, 2021 is $0.2 million.</w:t>
      </w:r>
    </w:p>
    <w:p>
      <w:pPr>
        <w:ind w:left="480" w:right="180" w:hanging="459"/>
        <w:spacing w:after="0" w:line="255" w:lineRule="auto"/>
        <w:tabs>
          <w:tab w:leader="none" w:pos="4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5.90% of average consolidated total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us. In calculating the following expense amounts, we have assumed we would have no additional leverage, that none of our assets are cash or cash equivalents and that our annual operating expenses would remain at the levels set forth in the table above. Transaction expenses are not included in the following example.</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8" w:name="page59"/>
    <w:bookmarkEnd w:id="58"/>
    <w:tbl>
      <w:tblPr>
        <w:tblLayout w:type="fixed"/>
        <w:tblInd w:w="36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1 year</w:t>
            </w:r>
          </w:p>
        </w:tc>
        <w:tc>
          <w:tcPr>
            <w:tcW w:w="1060" w:type="dxa"/>
            <w:vAlign w:val="bottom"/>
            <w:gridSpan w:val="3"/>
          </w:tcPr>
          <w:p>
            <w:pPr>
              <w:ind w:left="140"/>
              <w:spacing w:after="0"/>
              <w:rPr>
                <w:sz w:val="20"/>
                <w:szCs w:val="20"/>
                <w:color w:val="auto"/>
              </w:rPr>
            </w:pPr>
            <w:r>
              <w:rPr>
                <w:rFonts w:ascii="Arial" w:cs="Arial" w:eastAsia="Arial" w:hAnsi="Arial"/>
                <w:sz w:val="18"/>
                <w:szCs w:val="18"/>
                <w:b w:val="1"/>
                <w:bCs w:val="1"/>
                <w:color w:val="auto"/>
              </w:rPr>
              <w:t>3 years</w:t>
            </w:r>
          </w:p>
        </w:tc>
        <w:tc>
          <w:tcPr>
            <w:tcW w:w="1040" w:type="dxa"/>
            <w:vAlign w:val="bottom"/>
            <w:gridSpan w:val="3"/>
          </w:tcPr>
          <w:p>
            <w:pPr>
              <w:ind w:left="140"/>
              <w:spacing w:after="0"/>
              <w:rPr>
                <w:sz w:val="20"/>
                <w:szCs w:val="20"/>
                <w:color w:val="auto"/>
              </w:rPr>
            </w:pPr>
            <w:r>
              <w:rPr>
                <w:rFonts w:ascii="Arial" w:cs="Arial" w:eastAsia="Arial" w:hAnsi="Arial"/>
                <w:sz w:val="18"/>
                <w:szCs w:val="18"/>
                <w:b w:val="1"/>
                <w:bCs w:val="1"/>
                <w:color w:val="auto"/>
              </w:rPr>
              <w:t>5 years</w:t>
            </w:r>
          </w:p>
        </w:tc>
        <w:tc>
          <w:tcPr>
            <w:tcW w:w="1120" w:type="dxa"/>
            <w:vAlign w:val="bottom"/>
            <w:gridSpan w:val="3"/>
          </w:tcPr>
          <w:p>
            <w:pPr>
              <w:ind w:left="140"/>
              <w:spacing w:after="0"/>
              <w:rPr>
                <w:sz w:val="20"/>
                <w:szCs w:val="20"/>
                <w:color w:val="auto"/>
              </w:rPr>
            </w:pPr>
            <w:r>
              <w:rPr>
                <w:rFonts w:ascii="Arial" w:cs="Arial" w:eastAsia="Arial" w:hAnsi="Arial"/>
                <w:sz w:val="18"/>
                <w:szCs w:val="18"/>
                <w:b w:val="1"/>
                <w:bCs w:val="1"/>
                <w:color w:val="auto"/>
              </w:rPr>
              <w:t>10 years</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w w:val="99"/>
              </w:rPr>
              <w:t>You would pay the following expenses on a $1,000</w:t>
            </w:r>
          </w:p>
        </w:tc>
        <w:tc>
          <w:tcPr>
            <w:tcW w:w="2420" w:type="dxa"/>
            <w:vAlign w:val="bottom"/>
          </w:tcPr>
          <w:p>
            <w:pPr>
              <w:ind w:left="40"/>
              <w:spacing w:after="0"/>
              <w:rPr>
                <w:sz w:val="20"/>
                <w:szCs w:val="20"/>
                <w:color w:val="auto"/>
              </w:rPr>
            </w:pPr>
            <w:r>
              <w:rPr>
                <w:rFonts w:ascii="Arial" w:cs="Arial" w:eastAsia="Arial" w:hAnsi="Arial"/>
                <w:sz w:val="18"/>
                <w:szCs w:val="18"/>
                <w:color w:val="auto"/>
              </w:rPr>
              <w:t>investment, assuming a 5.0%</w:t>
            </w:r>
          </w:p>
        </w:tc>
        <w:tc>
          <w:tcPr>
            <w:tcW w:w="220" w:type="dxa"/>
            <w:vAlign w:val="bottom"/>
          </w:tcPr>
          <w:p>
            <w:pPr>
              <w:spacing w:after="0"/>
              <w:rPr>
                <w:sz w:val="18"/>
                <w:szCs w:val="18"/>
                <w:color w:val="auto"/>
              </w:rPr>
            </w:pP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rPr>
              <w:t>109</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190"/>
              <w:spacing w:after="0"/>
              <w:rPr>
                <w:sz w:val="20"/>
                <w:szCs w:val="20"/>
                <w:color w:val="auto"/>
              </w:rPr>
            </w:pPr>
            <w:r>
              <w:rPr>
                <w:rFonts w:ascii="Arial" w:cs="Arial" w:eastAsia="Arial" w:hAnsi="Arial"/>
                <w:sz w:val="18"/>
                <w:szCs w:val="18"/>
                <w:color w:val="auto"/>
              </w:rPr>
              <w:t>308</w:t>
            </w:r>
          </w:p>
        </w:tc>
        <w:tc>
          <w:tcPr>
            <w:tcW w:w="36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190"/>
              <w:spacing w:after="0"/>
              <w:rPr>
                <w:sz w:val="20"/>
                <w:szCs w:val="20"/>
                <w:color w:val="auto"/>
              </w:rPr>
            </w:pPr>
            <w:r>
              <w:rPr>
                <w:rFonts w:ascii="Arial" w:cs="Arial" w:eastAsia="Arial" w:hAnsi="Arial"/>
                <w:sz w:val="18"/>
                <w:szCs w:val="18"/>
                <w:color w:val="auto"/>
              </w:rPr>
              <w:t>482</w:t>
            </w:r>
          </w:p>
        </w:tc>
        <w:tc>
          <w:tcPr>
            <w:tcW w:w="36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annual return</w:t>
            </w:r>
          </w:p>
        </w:tc>
        <w:tc>
          <w:tcPr>
            <w:tcW w:w="2640" w:type="dxa"/>
            <w:vAlign w:val="bottom"/>
            <w:gridSpan w:val="2"/>
          </w:tcPr>
          <w:p>
            <w:pPr>
              <w:ind w:left="2420"/>
              <w:spacing w:after="0" w:line="201" w:lineRule="exact"/>
              <w:rPr>
                <w:sz w:val="20"/>
                <w:szCs w:val="20"/>
                <w:color w:val="auto"/>
              </w:rPr>
            </w:pPr>
            <w:r>
              <w:rPr>
                <w:rFonts w:ascii="Arial" w:cs="Arial" w:eastAsia="Arial" w:hAnsi="Arial"/>
                <w:sz w:val="18"/>
                <w:szCs w:val="18"/>
                <w:color w:val="auto"/>
              </w:rPr>
              <w:t>$</w:t>
            </w:r>
          </w:p>
        </w:tc>
        <w:tc>
          <w:tcPr>
            <w:tcW w:w="6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line="176" w:lineRule="exact"/>
              <w:rPr>
                <w:sz w:val="20"/>
                <w:szCs w:val="20"/>
                <w:color w:val="auto"/>
              </w:rPr>
            </w:pPr>
            <w:r>
              <w:rPr>
                <w:rFonts w:ascii="Arial" w:cs="Arial" w:eastAsia="Arial" w:hAnsi="Arial"/>
                <w:sz w:val="18"/>
                <w:szCs w:val="18"/>
                <w:color w:val="auto"/>
                <w:w w:val="99"/>
              </w:rPr>
              <w:t>You would pay the following expenses on a $1,000</w:t>
            </w:r>
          </w:p>
        </w:tc>
        <w:tc>
          <w:tcPr>
            <w:tcW w:w="264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investment, assuming a 5.0%</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80" w:type="dxa"/>
            <w:vAlign w:val="bottom"/>
            <w:gridSpan w:val="3"/>
          </w:tcPr>
          <w:p>
            <w:pPr>
              <w:spacing w:after="0" w:line="176" w:lineRule="exact"/>
              <w:rPr>
                <w:sz w:val="20"/>
                <w:szCs w:val="20"/>
                <w:color w:val="auto"/>
              </w:rPr>
            </w:pPr>
            <w:r>
              <w:rPr>
                <w:rFonts w:ascii="Arial" w:cs="Arial" w:eastAsia="Arial" w:hAnsi="Arial"/>
                <w:sz w:val="18"/>
                <w:szCs w:val="18"/>
                <w:color w:val="auto"/>
                <w:w w:val="97"/>
              </w:rPr>
              <w:t>annual return resulting entirely from net realized capital gains (all of which is subject to</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rPr>
              <w:t>118</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190"/>
              <w:spacing w:after="0"/>
              <w:rPr>
                <w:sz w:val="20"/>
                <w:szCs w:val="20"/>
                <w:color w:val="auto"/>
              </w:rPr>
            </w:pPr>
            <w:r>
              <w:rPr>
                <w:rFonts w:ascii="Arial" w:cs="Arial" w:eastAsia="Arial" w:hAnsi="Arial"/>
                <w:sz w:val="18"/>
                <w:szCs w:val="18"/>
                <w:color w:val="auto"/>
              </w:rPr>
              <w:t>330</w:t>
            </w:r>
          </w:p>
        </w:tc>
        <w:tc>
          <w:tcPr>
            <w:tcW w:w="36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190"/>
              <w:spacing w:after="0"/>
              <w:rPr>
                <w:sz w:val="20"/>
                <w:szCs w:val="20"/>
                <w:color w:val="auto"/>
              </w:rPr>
            </w:pPr>
            <w:r>
              <w:rPr>
                <w:rFonts w:ascii="Arial" w:cs="Arial" w:eastAsia="Arial" w:hAnsi="Arial"/>
                <w:sz w:val="18"/>
                <w:szCs w:val="18"/>
                <w:color w:val="auto"/>
              </w:rPr>
              <w:t>512</w:t>
            </w:r>
          </w:p>
        </w:tc>
        <w:tc>
          <w:tcPr>
            <w:tcW w:w="36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our incentive fee on capital gains)</w:t>
            </w:r>
          </w:p>
        </w:tc>
        <w:tc>
          <w:tcPr>
            <w:tcW w:w="264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62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469"/>
        <w:spacing w:after="0" w:line="253"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“Part II, Item 5” for additional information regarding our dividend reinvestment plan.</w:t>
      </w:r>
    </w:p>
    <w:p>
      <w:pPr>
        <w:spacing w:after="0" w:line="18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did not engage in any sales of unregistered securities during the fiscal year ended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both"/>
        <w:ind w:firstLine="479"/>
        <w:spacing w:after="0" w:line="250" w:lineRule="auto"/>
        <w:rPr>
          <w:sz w:val="20"/>
          <w:szCs w:val="20"/>
          <w:color w:val="auto"/>
        </w:rPr>
      </w:pPr>
      <w:r>
        <w:rPr>
          <w:rFonts w:ascii="Arial" w:cs="Arial" w:eastAsia="Arial" w:hAnsi="Arial"/>
          <w:sz w:val="17"/>
          <w:szCs w:val="17"/>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us to repurchase any specific number of shares and the Company cannot assure that any shares will be repurchased under the Stock Repurchase Program. The Stock Repurchase Program may be suspended, extended, modified, or discontinued at any time. During the year ended December 31, 2020, we repurchased 25,719 shares of common stock on the open market for $0.3 million. We did not make any repurchases of common stock during the years ended December 31, 2021 and 2019. Refer to Note 9 to our consolidated financial statements for additional information concerning stock repurchases.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Reserved.</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jc w:val="both"/>
        <w:ind w:firstLine="300"/>
        <w:spacing w:after="0" w:line="28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“Selected Consolidated Financial Data,” FIC’s consolidated financial statements and related notes appearing elsewhere in this annual report on Form 10-K (“Annual Report”). The information contained in this section contains forward-looking statements that involve risk and uncertainties. Please see “Risk Factors” and “Special Note Regarding Forward-Looking Statements” for a discussion of the uncertainties, risks and assumptions associated with these statements.</w:t>
      </w:r>
    </w:p>
    <w:p>
      <w:pPr>
        <w:spacing w:after="0" w:line="101" w:lineRule="exact"/>
        <w:rPr>
          <w:sz w:val="20"/>
          <w:szCs w:val="20"/>
          <w:color w:val="auto"/>
        </w:rPr>
      </w:pPr>
    </w:p>
    <w:p>
      <w:pPr>
        <w:jc w:val="both"/>
        <w:ind w:firstLine="300"/>
        <w:spacing w:after="0" w:line="261"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Corporate Structure</w:t>
      </w:r>
    </w:p>
    <w:p>
      <w:pPr>
        <w:spacing w:after="0" w:line="158"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21"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spacing w:after="0" w:line="10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spacing w:after="0" w:line="135"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COVID-19 Update</w:t>
      </w:r>
    </w:p>
    <w:p>
      <w:pPr>
        <w:spacing w:after="0" w:line="10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7"/>
          <w:szCs w:val="17"/>
          <w:color w:val="auto"/>
        </w:rPr>
        <w:t>On March 11, 2020, the World Health Organization declared the novel coronavirus, or COVID-19, as a pandemic, and on March 13, 2020 the United States declared a national emergency with respect to COVID-19. The outbreak of COVID-19 has severely impacted global economic activity and caused significant volatility and negative pressure in financial markets. We have been closely monitoring, and will continue to monitor, the impact of the COVID-19 pandemic, including the Delta and Omicron variants, and its impact on all aspects of our business, including how it will impact our portfolio companies, employees, due diligence and underwriting processes, and financial markets. Given the fluidity of the pandemic, we cannot estimate the long-term impact of COVID-19 on our business, future results of operations, financial position or cash flows at this time. Further, the operational and financial performance of the portfolio companies in which we make investments may be significantly impacted by COVID-19, which may in turn impact the valuation of our investments. We believe our portfolio companies have taken, and continue to take, immediate actions to effectively and efficiently respond to the challenges posed by COVID-19 and related orders imposed by state and local governments, including developing liquidity plans supported by internal cash reserves, and shareholder support. The COVID-19 pandemic and preventative measures taken to contain or mitigate its spread have caused, and are continuing to cause, business shutdowns and cancellations of events, restrictions on travel, significant reduction in demand for certain goods and services, reductions in business activity and financial transactions, supply chain</w:t>
      </w:r>
    </w:p>
    <w:p>
      <w:pPr>
        <w:spacing w:after="0" w:line="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0" w:name="page61"/>
    <w:bookmarkEnd w:id="60"/>
    <w:p>
      <w:pPr>
        <w:jc w:val="both"/>
        <w:ind w:right="20"/>
        <w:spacing w:after="0" w:line="261" w:lineRule="auto"/>
        <w:rPr>
          <w:sz w:val="20"/>
          <w:szCs w:val="20"/>
          <w:color w:val="auto"/>
        </w:rPr>
      </w:pPr>
      <w:r>
        <w:rPr>
          <w:rFonts w:ascii="Arial" w:cs="Arial" w:eastAsia="Arial" w:hAnsi="Arial"/>
          <w:sz w:val="18"/>
          <w:szCs w:val="18"/>
          <w:color w:val="auto"/>
        </w:rPr>
        <w:t>disruptions, labor difficulties and shortages, commodity inflation and elements of economic and financial market instability in the United States and globally. Such effects will likely continue for the duration of the pandemic, which is uncertain, and for some period thereafter.</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jc w:val="both"/>
        <w:ind w:firstLine="478"/>
        <w:spacing w:after="0" w:line="250" w:lineRule="auto"/>
        <w:rPr>
          <w:sz w:val="20"/>
          <w:szCs w:val="20"/>
          <w:color w:val="auto"/>
        </w:rPr>
      </w:pPr>
      <w:r>
        <w:rPr>
          <w:rFonts w:ascii="Arial" w:cs="Arial" w:eastAsia="Arial" w:hAnsi="Arial"/>
          <w:sz w:val="17"/>
          <w:szCs w:val="17"/>
          <w:color w:val="auto"/>
        </w:rPr>
        <w:t>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40"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Expenses</w:t>
      </w:r>
    </w:p>
    <w:p>
      <w:pPr>
        <w:spacing w:after="0" w:line="158"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limitation, those relating to:</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ind w:left="1060" w:hanging="52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1" w:lineRule="exact"/>
        <w:rPr>
          <w:rFonts w:ascii="Arial" w:cs="Arial" w:eastAsia="Arial" w:hAnsi="Arial"/>
          <w:sz w:val="18"/>
          <w:szCs w:val="18"/>
          <w:color w:val="auto"/>
        </w:rPr>
      </w:pP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jc w:val="both"/>
        <w:ind w:left="1060" w:right="40" w:hanging="526"/>
        <w:spacing w:after="0" w:line="211"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1" w:lineRule="exact"/>
        <w:rPr>
          <w:rFonts w:ascii="Arial" w:cs="Arial" w:eastAsia="Arial" w:hAnsi="Arial"/>
          <w:sz w:val="18"/>
          <w:szCs w:val="18"/>
          <w:color w:val="auto"/>
        </w:rPr>
      </w:pP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jc w:val="both"/>
        <w:ind w:left="1060" w:right="20" w:hanging="526"/>
        <w:spacing w:after="0" w:line="211"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1" w:lineRule="exact"/>
        <w:rPr>
          <w:rFonts w:ascii="Arial" w:cs="Arial" w:eastAsia="Arial" w:hAnsi="Arial"/>
          <w:sz w:val="18"/>
          <w:szCs w:val="18"/>
          <w:color w:val="auto"/>
        </w:rPr>
      </w:pP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ind w:left="1060" w:hanging="526"/>
        <w:spacing w:after="0"/>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allocable portion of any fidelity bond, directors and officers/errors and omissions liability insurance, and any other insurance premiums;</w:t>
      </w:r>
    </w:p>
    <w:p>
      <w:pPr>
        <w:spacing w:after="0" w:line="18" w:lineRule="exact"/>
        <w:rPr>
          <w:rFonts w:ascii="Arial" w:cs="Arial" w:eastAsia="Arial" w:hAnsi="Arial"/>
          <w:sz w:val="16"/>
          <w:szCs w:val="16"/>
          <w:color w:val="auto"/>
        </w:rPr>
      </w:pPr>
    </w:p>
    <w:p>
      <w:pPr>
        <w:ind w:left="1060" w:right="40" w:hanging="526"/>
        <w:spacing w:after="0" w:line="219"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ind w:left="1060" w:hanging="526"/>
        <w:spacing w:after="0" w:line="23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proxy voting expenses; and</w:t>
      </w:r>
    </w:p>
    <w:p>
      <w:pPr>
        <w:ind w:left="1060" w:hanging="52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other expenses reasonably incurred by us or our investment advisor in connection with administering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62"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7"/>
          <w:szCs w:val="17"/>
          <w:color w:val="auto"/>
        </w:rPr>
        <w:t>During the years ended December 31, 2021 and 2020, we invested $346.6 million and $190.0 million, respectively, in debt and equity investments, including 19 and 12 new portfolio companies, respectively. During the years ended December 31, 2021 and 2020, we received proceeds from sales or repayments, including principal, return of capital dividends and net realized gains (losses), of $472.8 million and $210.8 million, respectively, including exits of eleven and seven portfolio companies, respectively. The following table summarizes investment purchases and sales and repayments of investments by type for the years ended December 31, 2021 and 2020 (dollars 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6"/>
                <w:szCs w:val="16"/>
                <w:b w:val="1"/>
                <w:bCs w:val="1"/>
                <w:color w:val="auto"/>
                <w:w w:val="93"/>
              </w:rPr>
              <w:t>Purchases of Investments</w:t>
            </w:r>
          </w:p>
        </w:tc>
        <w:tc>
          <w:tcPr>
            <w:tcW w:w="7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6"/>
                <w:szCs w:val="16"/>
                <w:b w:val="1"/>
                <w:bCs w:val="1"/>
                <w:color w:val="auto"/>
                <w:w w:val="88"/>
              </w:rPr>
              <w:t>Sales and Repayments of Investments</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183"/>
        </w:trPr>
        <w:tc>
          <w:tcPr>
            <w:tcW w:w="16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939"/>
              <w:spacing w:after="0" w:line="183" w:lineRule="exact"/>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83"/>
        </w:trPr>
        <w:tc>
          <w:tcPr>
            <w:tcW w:w="16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First Lien Debt</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244.6</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70.6</w:t>
            </w:r>
          </w:p>
        </w:tc>
        <w:tc>
          <w:tcPr>
            <w:tcW w:w="440" w:type="dxa"/>
            <w:vAlign w:val="bottom"/>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109.9</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57.8</w:t>
            </w:r>
          </w:p>
        </w:tc>
        <w:tc>
          <w:tcPr>
            <w:tcW w:w="3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75.1</w:t>
            </w:r>
          </w:p>
        </w:tc>
        <w:tc>
          <w:tcPr>
            <w:tcW w:w="144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15.9</w:t>
            </w:r>
          </w:p>
        </w:tc>
        <w:tc>
          <w:tcPr>
            <w:tcW w:w="400" w:type="dxa"/>
            <w:vAlign w:val="bottom"/>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32.3</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15.3</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189"/>
        </w:trPr>
        <w:tc>
          <w:tcPr>
            <w:tcW w:w="1660" w:type="dxa"/>
            <w:vAlign w:val="bottom"/>
          </w:tcPr>
          <w:p>
            <w:pPr>
              <w:ind w:left="20"/>
              <w:spacing w:after="0"/>
              <w:rPr>
                <w:sz w:val="20"/>
                <w:szCs w:val="20"/>
                <w:color w:val="auto"/>
              </w:rPr>
            </w:pPr>
            <w:r>
              <w:rPr>
                <w:rFonts w:ascii="Arial" w:cs="Arial" w:eastAsia="Arial" w:hAnsi="Arial"/>
                <w:sz w:val="16"/>
                <w:szCs w:val="16"/>
                <w:color w:val="auto"/>
              </w:rPr>
              <w:t>Second Lien Debt</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72.2</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20.9</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54.9</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250.8</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53.0</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74.5</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35.4</w:t>
            </w:r>
          </w:p>
        </w:tc>
        <w:tc>
          <w:tcPr>
            <w:tcW w:w="280" w:type="dxa"/>
            <w:vAlign w:val="bottom"/>
          </w:tcPr>
          <w:p>
            <w:pPr>
              <w:spacing w:after="0"/>
              <w:rPr>
                <w:sz w:val="16"/>
                <w:szCs w:val="16"/>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Subordinated Debt</w:t>
            </w: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80" w:type="dxa"/>
            <w:vAlign w:val="bottom"/>
            <w:shd w:val="clear" w:color="auto" w:fill="CCEEFF"/>
          </w:tcPr>
          <w:p>
            <w:pPr>
              <w:spacing w:after="0"/>
              <w:rPr>
                <w:sz w:val="16"/>
                <w:szCs w:val="16"/>
                <w:color w:val="auto"/>
              </w:rPr>
            </w:pPr>
          </w:p>
        </w:tc>
      </w:tr>
      <w:tr>
        <w:trPr>
          <w:trHeight w:val="189"/>
        </w:trPr>
        <w:tc>
          <w:tcPr>
            <w:tcW w:w="1660" w:type="dxa"/>
            <w:vAlign w:val="bottom"/>
          </w:tcPr>
          <w:p>
            <w:pPr>
              <w:ind w:left="20"/>
              <w:spacing w:after="0"/>
              <w:rPr>
                <w:sz w:val="20"/>
                <w:szCs w:val="20"/>
                <w:color w:val="auto"/>
              </w:rPr>
            </w:pPr>
            <w:r>
              <w:rPr>
                <w:rFonts w:ascii="Arial" w:cs="Arial" w:eastAsia="Arial" w:hAnsi="Arial"/>
                <w:sz w:val="16"/>
                <w:szCs w:val="16"/>
                <w:color w:val="auto"/>
              </w:rPr>
              <w:t>Equity</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58.7</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12.4</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51.2</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24.3</w:t>
            </w:r>
          </w:p>
        </w:tc>
        <w:tc>
          <w:tcPr>
            <w:tcW w:w="280" w:type="dxa"/>
            <w:vAlign w:val="bottom"/>
          </w:tcPr>
          <w:p>
            <w:pPr>
              <w:spacing w:after="0"/>
              <w:rPr>
                <w:sz w:val="16"/>
                <w:szCs w:val="16"/>
                <w:color w:val="auto"/>
              </w:rPr>
            </w:pPr>
          </w:p>
        </w:tc>
      </w:tr>
      <w:tr>
        <w:trPr>
          <w:trHeight w:val="189"/>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CCEEFF"/>
            </w:tcBorders>
            <w:shd w:val="clear" w:color="auto" w:fill="CCEEFF"/>
          </w:tcPr>
          <w:p>
            <w:pPr>
              <w:spacing w:after="0"/>
              <w:rPr>
                <w:sz w:val="16"/>
                <w:szCs w:val="16"/>
                <w:color w:val="auto"/>
              </w:rPr>
            </w:pPr>
          </w:p>
        </w:tc>
      </w:tr>
      <w:tr>
        <w:trPr>
          <w:trHeight w:val="183"/>
        </w:trPr>
        <w:tc>
          <w:tcPr>
            <w:tcW w:w="1660" w:type="dxa"/>
            <w:vAlign w:val="bottom"/>
          </w:tcPr>
          <w:p>
            <w:pPr>
              <w:ind w:left="20"/>
              <w:spacing w:after="0" w:line="169"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346.6</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100.0</w:t>
            </w:r>
          </w:p>
        </w:tc>
        <w:tc>
          <w:tcPr>
            <w:tcW w:w="44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190.0</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100.0</w:t>
            </w:r>
          </w:p>
        </w:tc>
        <w:tc>
          <w:tcPr>
            <w:tcW w:w="380" w:type="dxa"/>
            <w:vAlign w:val="bottom"/>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472.8</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100.0</w:t>
            </w:r>
          </w:p>
        </w:tc>
        <w:tc>
          <w:tcPr>
            <w:tcW w:w="400" w:type="dxa"/>
            <w:vAlign w:val="bottom"/>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210.8</w:t>
            </w:r>
          </w:p>
        </w:tc>
        <w:tc>
          <w:tcPr>
            <w:tcW w:w="200" w:type="dxa"/>
            <w:vAlign w:val="bottom"/>
          </w:tcPr>
          <w:p>
            <w:pPr>
              <w:spacing w:after="0"/>
              <w:rPr>
                <w:sz w:val="15"/>
                <w:szCs w:val="15"/>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100.0</w:t>
            </w:r>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-133350</wp:posOffset>
            </wp:positionV>
            <wp:extent cx="43180" cy="151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15113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-133350</wp:posOffset>
            </wp:positionV>
            <wp:extent cx="43180" cy="151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1511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-133350</wp:posOffset>
            </wp:positionV>
            <wp:extent cx="43180" cy="151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15113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-133350</wp:posOffset>
            </wp:positionV>
            <wp:extent cx="34290" cy="151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15113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-133350</wp:posOffset>
            </wp:positionV>
            <wp:extent cx="34290" cy="151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15113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-133350</wp:posOffset>
            </wp:positionV>
            <wp:extent cx="34290" cy="151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15113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-133350</wp:posOffset>
            </wp:positionV>
            <wp:extent cx="34290" cy="151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15113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-133350</wp:posOffset>
            </wp:positionV>
            <wp:extent cx="34290" cy="151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151130"/>
                    </a:xfrm>
                    <a:prstGeom prst="rect">
                      <a:avLst/>
                    </a:prstGeom>
                    <a:noFill/>
                  </pic:spPr>
                </pic:pic>
              </a:graphicData>
            </a:graphic>
          </wp:anchor>
        </w:drawing>
      </w:r>
    </w:p>
    <w:p>
      <w:pPr>
        <w:ind w:right="20" w:firstLine="8"/>
        <w:spacing w:after="0" w:line="273" w:lineRule="auto"/>
        <w:tabs>
          <w:tab w:leader="none" w:pos="206"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the years ended December 31, 2021 and 2020, includes unitranche securities, which account for 62.4% and 81.6% of purchases, respectively. For the years ended December 31, 2021 and 2020, includes unitranche securities, which account for 11.5% and 11.0% of repayments,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-228600</wp:posOffset>
            </wp:positionV>
            <wp:extent cx="59061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pacing w:after="0" w:line="104"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As of December 31, 2021, the fair value of our investment portfolio totaled $719.1 million and consisted of 70 active portfolio companies and eight portfolio companies that have sold their underlying operations. As of December 31, 2021, 32 portfolio companies’ debt investments bore interest at a variable rate, which represented $376.0 million, or 68.4%, of our debt investment portfolio on a fair value basis, and the remainder of our debt investment portfolio was comprised of fixed rate investments. Overall, the portfolio had net unrealized appreciation of $97.3 million as of December 31, 2021. As of December 31, 2021, our average active portfolio company investment at amortized cost was $8.8 million, which excludes investments in the eight portfolio companies that have sold their underlying operations.</w:t>
      </w:r>
    </w:p>
    <w:p>
      <w:pPr>
        <w:spacing w:after="0" w:line="135"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As of December 31, 2020, the fair value of our investment portfolio totaled $742.9 million and consisted of 66 active portfolio companies and three portfolio companies that have sold their underlying operations. As of December 31, 2020, 22 portfolio companies’ debt investments bore interest at a variable rate, which represented $230.9 million, or 36.8%, of our debt investment portfolio on a fair value basis, and the remainder of our debt investment portfolio was comprised of fixed rate investments. Overall, the portfolio had net unrealized appreciation of $55.8 million as of December 31, 2020. As of December 31, 2020, our average active portfolio company</w:t>
      </w:r>
    </w:p>
    <w:p>
      <w:pPr>
        <w:spacing w:after="0" w:line="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investment at amortized cost was $10.4 million, which excludes investments in the three portfolio companies that have sold their underlying operations.</w:t>
      </w:r>
    </w:p>
    <w:p>
      <w:pPr>
        <w:spacing w:after="0" w:line="221" w:lineRule="exact"/>
        <w:rPr>
          <w:sz w:val="20"/>
          <w:szCs w:val="20"/>
          <w:color w:val="auto"/>
        </w:rPr>
      </w:pPr>
    </w:p>
    <w:p>
      <w:pPr>
        <w:jc w:val="both"/>
        <w:ind w:firstLine="479"/>
        <w:spacing w:after="0"/>
        <w:rPr>
          <w:sz w:val="20"/>
          <w:szCs w:val="20"/>
          <w:color w:val="auto"/>
        </w:rPr>
      </w:pPr>
      <w:r>
        <w:rPr>
          <w:rFonts w:ascii="Arial" w:cs="Arial" w:eastAsia="Arial" w:hAnsi="Arial"/>
          <w:sz w:val="18"/>
          <w:szCs w:val="18"/>
          <w:color w:val="auto"/>
        </w:rPr>
        <w:t>The weighted average yield on debt investments as of December 31, 2021 and 2020 was 12.3% and 12.2%,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December 31, 2021 and 2020, including the accretion of OID and debt investment origination fees, but excluding investments on non-accrual status, if any. The following table shows the portfolio composition by investment type at fair value and cost and as a percentage of total investments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Fair Value</w:t>
            </w: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Cost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169"/>
        </w:trPr>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tcPr>
          <w:p>
            <w:pPr>
              <w:jc w:val="center"/>
              <w:ind w:left="79"/>
              <w:spacing w:after="0" w:line="169" w:lineRule="exact"/>
              <w:rPr>
                <w:sz w:val="20"/>
                <w:szCs w:val="20"/>
                <w:color w:val="auto"/>
              </w:rPr>
            </w:pPr>
            <w:r>
              <w:rPr>
                <w:rFonts w:ascii="Arial" w:cs="Arial" w:eastAsia="Arial" w:hAnsi="Arial"/>
                <w:sz w:val="16"/>
                <w:szCs w:val="16"/>
                <w:b w:val="1"/>
                <w:bCs w:val="1"/>
                <w:color w:val="auto"/>
                <w:w w:val="90"/>
              </w:rPr>
              <w:t>December 31,</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tcPr>
          <w:p>
            <w:pPr>
              <w:jc w:val="center"/>
              <w:ind w:left="59"/>
              <w:spacing w:after="0" w:line="169" w:lineRule="exact"/>
              <w:rPr>
                <w:sz w:val="20"/>
                <w:szCs w:val="20"/>
                <w:color w:val="auto"/>
              </w:rPr>
            </w:pPr>
            <w:r>
              <w:rPr>
                <w:rFonts w:ascii="Arial" w:cs="Arial" w:eastAsia="Arial" w:hAnsi="Arial"/>
                <w:sz w:val="16"/>
                <w:szCs w:val="16"/>
                <w:b w:val="1"/>
                <w:bCs w:val="1"/>
                <w:color w:val="auto"/>
                <w:w w:val="92"/>
              </w:rPr>
              <w:t>December 31,</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jc w:val="center"/>
              <w:ind w:left="59"/>
              <w:spacing w:after="0" w:line="169" w:lineRule="exact"/>
              <w:rPr>
                <w:sz w:val="20"/>
                <w:szCs w:val="20"/>
                <w:color w:val="auto"/>
              </w:rPr>
            </w:pPr>
            <w:r>
              <w:rPr>
                <w:rFonts w:ascii="Arial" w:cs="Arial" w:eastAsia="Arial" w:hAnsi="Arial"/>
                <w:sz w:val="16"/>
                <w:szCs w:val="16"/>
                <w:b w:val="1"/>
                <w:bCs w:val="1"/>
                <w:color w:val="auto"/>
                <w:w w:val="90"/>
              </w:rPr>
              <w:t>December 31,</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jc w:val="center"/>
              <w:ind w:left="59"/>
              <w:spacing w:after="0" w:line="169" w:lineRule="exact"/>
              <w:rPr>
                <w:sz w:val="20"/>
                <w:szCs w:val="20"/>
                <w:color w:val="auto"/>
              </w:rPr>
            </w:pPr>
            <w:r>
              <w:rPr>
                <w:rFonts w:ascii="Arial" w:cs="Arial" w:eastAsia="Arial" w:hAnsi="Arial"/>
                <w:sz w:val="16"/>
                <w:szCs w:val="16"/>
                <w:b w:val="1"/>
                <w:bCs w:val="1"/>
                <w:color w:val="auto"/>
                <w:w w:val="90"/>
              </w:rPr>
              <w:t>December 31,</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3"/>
        </w:trPr>
        <w:tc>
          <w:tcPr>
            <w:tcW w:w="1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183"/>
        </w:trPr>
        <w:tc>
          <w:tcPr>
            <w:tcW w:w="17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First Lien Debt</w:t>
            </w:r>
            <w:r>
              <w:rPr>
                <w:rFonts w:ascii="Arial" w:cs="Arial" w:eastAsia="Arial" w:hAnsi="Arial"/>
                <w:sz w:val="21"/>
                <w:szCs w:val="21"/>
                <w:color w:val="auto"/>
                <w:vertAlign w:val="superscript"/>
              </w:rPr>
              <w:t>(1)</w:t>
            </w:r>
          </w:p>
        </w:tc>
        <w:tc>
          <w:tcPr>
            <w:tcW w:w="3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354.9</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49.4</w:t>
            </w:r>
          </w:p>
        </w:tc>
        <w:tc>
          <w:tcPr>
            <w:tcW w:w="50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187.4</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25.2</w:t>
            </w:r>
          </w:p>
        </w:tc>
        <w:tc>
          <w:tcPr>
            <w:tcW w:w="50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353.3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56.8</w:t>
            </w:r>
          </w:p>
        </w:tc>
        <w:tc>
          <w:tcPr>
            <w:tcW w:w="46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184.6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26.9</w:t>
            </w:r>
          </w:p>
        </w:tc>
        <w:tc>
          <w:tcPr>
            <w:tcW w:w="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r>
      <w:tr>
        <w:trPr>
          <w:trHeight w:val="189"/>
        </w:trPr>
        <w:tc>
          <w:tcPr>
            <w:tcW w:w="1760" w:type="dxa"/>
            <w:vAlign w:val="bottom"/>
          </w:tcPr>
          <w:p>
            <w:pPr>
              <w:ind w:left="20"/>
              <w:spacing w:after="0"/>
              <w:rPr>
                <w:sz w:val="20"/>
                <w:szCs w:val="20"/>
                <w:color w:val="auto"/>
              </w:rPr>
            </w:pPr>
            <w:r>
              <w:rPr>
                <w:rFonts w:ascii="Arial" w:cs="Arial" w:eastAsia="Arial" w:hAnsi="Arial"/>
                <w:sz w:val="16"/>
                <w:szCs w:val="16"/>
                <w:color w:val="auto"/>
              </w:rPr>
              <w:t>Second Lien Debt</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158.8</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22.1</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332.2</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44.7</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168.6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27.1</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341.9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49.7</w:t>
            </w:r>
          </w:p>
        </w:tc>
        <w:tc>
          <w:tcPr>
            <w:tcW w:w="300" w:type="dxa"/>
            <w:vAlign w:val="bottom"/>
          </w:tcPr>
          <w:p>
            <w:pPr>
              <w:spacing w:after="0"/>
              <w:rPr>
                <w:sz w:val="16"/>
                <w:szCs w:val="16"/>
                <w:color w:val="auto"/>
              </w:rPr>
            </w:pPr>
          </w:p>
        </w:tc>
      </w:tr>
      <w:tr>
        <w:trPr>
          <w:trHeight w:val="189"/>
        </w:trPr>
        <w:tc>
          <w:tcPr>
            <w:tcW w:w="1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Subordinated Debt</w:t>
            </w: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5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4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300" w:type="dxa"/>
            <w:vAlign w:val="bottom"/>
            <w:shd w:val="clear" w:color="auto" w:fill="CFF0FC"/>
          </w:tcPr>
          <w:p>
            <w:pPr>
              <w:spacing w:after="0"/>
              <w:rPr>
                <w:sz w:val="16"/>
                <w:szCs w:val="16"/>
                <w:color w:val="auto"/>
              </w:rPr>
            </w:pPr>
          </w:p>
        </w:tc>
      </w:tr>
      <w:tr>
        <w:trPr>
          <w:trHeight w:val="189"/>
        </w:trPr>
        <w:tc>
          <w:tcPr>
            <w:tcW w:w="1760" w:type="dxa"/>
            <w:vAlign w:val="bottom"/>
          </w:tcPr>
          <w:p>
            <w:pPr>
              <w:ind w:left="20"/>
              <w:spacing w:after="0"/>
              <w:rPr>
                <w:sz w:val="20"/>
                <w:szCs w:val="20"/>
                <w:color w:val="auto"/>
              </w:rPr>
            </w:pPr>
            <w:r>
              <w:rPr>
                <w:rFonts w:ascii="Arial" w:cs="Arial" w:eastAsia="Arial" w:hAnsi="Arial"/>
                <w:sz w:val="16"/>
                <w:szCs w:val="16"/>
                <w:color w:val="auto"/>
              </w:rPr>
              <w:t>Equity</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23.1</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112.8</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15.2</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9.8</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7.3</w:t>
            </w:r>
          </w:p>
        </w:tc>
        <w:tc>
          <w:tcPr>
            <w:tcW w:w="300" w:type="dxa"/>
            <w:vAlign w:val="bottom"/>
          </w:tcPr>
          <w:p>
            <w:pPr>
              <w:spacing w:after="0"/>
              <w:rPr>
                <w:sz w:val="16"/>
                <w:szCs w:val="16"/>
                <w:color w:val="auto"/>
              </w:rPr>
            </w:pPr>
          </w:p>
        </w:tc>
      </w:tr>
      <w:tr>
        <w:trPr>
          <w:trHeight w:val="189"/>
        </w:trPr>
        <w:tc>
          <w:tcPr>
            <w:tcW w:w="1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Warrants</w:t>
            </w:r>
          </w:p>
        </w:tc>
        <w:tc>
          <w:tcPr>
            <w:tcW w:w="3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5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5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4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300" w:type="dxa"/>
            <w:vAlign w:val="bottom"/>
            <w:tcBorders>
              <w:bottom w:val="single" w:sz="8" w:color="CFF0FC"/>
            </w:tcBorders>
            <w:shd w:val="clear" w:color="auto" w:fill="CFF0FC"/>
          </w:tcPr>
          <w:p>
            <w:pPr>
              <w:spacing w:after="0"/>
              <w:rPr>
                <w:sz w:val="16"/>
                <w:szCs w:val="16"/>
                <w:color w:val="auto"/>
              </w:rPr>
            </w:pPr>
          </w:p>
        </w:tc>
      </w:tr>
      <w:tr>
        <w:trPr>
          <w:trHeight w:val="183"/>
        </w:trPr>
        <w:tc>
          <w:tcPr>
            <w:tcW w:w="1760" w:type="dxa"/>
            <w:vAlign w:val="bottom"/>
          </w:tcPr>
          <w:p>
            <w:pPr>
              <w:ind w:left="20"/>
              <w:spacing w:after="0" w:line="169" w:lineRule="exact"/>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719.1</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100.0</w:t>
            </w:r>
          </w:p>
        </w:tc>
        <w:tc>
          <w:tcPr>
            <w:tcW w:w="500" w:type="dxa"/>
            <w:vAlign w:val="bottom"/>
          </w:tcPr>
          <w:p>
            <w:pPr>
              <w:jc w:val="right"/>
              <w:ind w:right="199"/>
              <w:spacing w:after="0" w:line="169"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742.9</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100.0</w:t>
            </w:r>
          </w:p>
        </w:tc>
        <w:tc>
          <w:tcPr>
            <w:tcW w:w="500" w:type="dxa"/>
            <w:vAlign w:val="bottom"/>
          </w:tcPr>
          <w:p>
            <w:pPr>
              <w:jc w:val="right"/>
              <w:ind w:right="199"/>
              <w:spacing w:after="0" w:line="169"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621.8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100.0</w:t>
            </w:r>
          </w:p>
        </w:tc>
        <w:tc>
          <w:tcPr>
            <w:tcW w:w="460" w:type="dxa"/>
            <w:vAlign w:val="bottom"/>
          </w:tcPr>
          <w:p>
            <w:pPr>
              <w:ind w:left="60"/>
              <w:spacing w:after="0" w:line="169"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687.0</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100.0</w:t>
            </w:r>
          </w:p>
        </w:tc>
        <w:tc>
          <w:tcPr>
            <w:tcW w:w="300" w:type="dxa"/>
            <w:vAlign w:val="bottom"/>
          </w:tcPr>
          <w:p>
            <w:pPr>
              <w:jc w:val="right"/>
              <w:ind w:right="19"/>
              <w:spacing w:after="0" w:line="169"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-133350</wp:posOffset>
            </wp:positionV>
            <wp:extent cx="431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-133350</wp:posOffset>
            </wp:positionV>
            <wp:extent cx="431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-133350</wp:posOffset>
            </wp:positionV>
            <wp:extent cx="431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-133350</wp:posOffset>
            </wp:positionV>
            <wp:extent cx="431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-133350</wp:posOffset>
            </wp:positionV>
            <wp:extent cx="3429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-133350</wp:posOffset>
            </wp:positionV>
            <wp:extent cx="3429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-133350</wp:posOffset>
            </wp:positionV>
            <wp:extent cx="3429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-133350</wp:posOffset>
            </wp:positionV>
            <wp:extent cx="3429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ind w:right="20" w:firstLine="8"/>
        <w:spacing w:after="0" w:line="273" w:lineRule="auto"/>
        <w:tabs>
          <w:tab w:leader="none" w:pos="21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unitranche investments, which account for 40.2% and 46.3% of our portfolio on a fair value and cost basis as of December 31, 2021, respectively. Includes unitranche investments, which account for 17.3% and 18.4% of our portfolio on a fair value and cost basis as of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-228600</wp:posOffset>
            </wp:positionV>
            <wp:extent cx="58293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04"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All investments made by us as of December 31, 2021 and 2020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Fair Value</w:t>
            </w: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Cost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178"/>
        </w:trPr>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3"/>
          </w:tcPr>
          <w:p>
            <w:pPr>
              <w:jc w:val="center"/>
              <w:ind w:left="7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3"/>
          </w:tcPr>
          <w:p>
            <w:pPr>
              <w:jc w:val="center"/>
              <w:ind w:left="5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3"/>
          </w:tcPr>
          <w:p>
            <w:pPr>
              <w:jc w:val="center"/>
              <w:ind w:right="150"/>
              <w:spacing w:after="0" w:line="177" w:lineRule="exact"/>
              <w:rPr>
                <w:sz w:val="20"/>
                <w:szCs w:val="20"/>
                <w:color w:val="auto"/>
              </w:rPr>
            </w:pPr>
            <w:r>
              <w:rPr>
                <w:rFonts w:ascii="Arial" w:cs="Arial" w:eastAsia="Arial" w:hAnsi="Arial"/>
                <w:sz w:val="18"/>
                <w:szCs w:val="18"/>
                <w:b w:val="1"/>
                <w:bCs w:val="1"/>
                <w:color w:val="auto"/>
                <w:w w:val="88"/>
              </w:rPr>
              <w:t>December 31,</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3"/>
          </w:tcPr>
          <w:p>
            <w:pPr>
              <w:jc w:val="center"/>
              <w:ind w:right="15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5"/>
                <w:szCs w:val="15"/>
                <w:color w:val="auto"/>
              </w:rPr>
            </w:pPr>
          </w:p>
        </w:tc>
      </w:tr>
      <w:tr>
        <w:trPr>
          <w:trHeight w:val="221"/>
        </w:trPr>
        <w:tc>
          <w:tcPr>
            <w:tcW w:w="1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196"/>
        </w:trPr>
        <w:tc>
          <w:tcPr>
            <w:tcW w:w="1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Midwest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157.2</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w:t>
            </w:r>
          </w:p>
        </w:tc>
        <w:tc>
          <w:tcPr>
            <w:tcW w:w="5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w:t>
            </w:r>
          </w:p>
        </w:tc>
        <w:tc>
          <w:tcPr>
            <w:tcW w:w="5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89.9</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14.5</w:t>
            </w:r>
          </w:p>
        </w:tc>
        <w:tc>
          <w:tcPr>
            <w:tcW w:w="46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189.6</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27.6</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Southeast</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220.0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153.3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197.4</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31.7</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18.9</w:t>
            </w:r>
          </w:p>
        </w:tc>
        <w:tc>
          <w:tcPr>
            <w:tcW w:w="300" w:type="dxa"/>
            <w:vAlign w:val="bottom"/>
          </w:tcPr>
          <w:p>
            <w:pPr>
              <w:spacing w:after="0"/>
              <w:rPr>
                <w:sz w:val="17"/>
                <w:szCs w:val="17"/>
                <w:color w:val="auto"/>
              </w:rPr>
            </w:pPr>
          </w:p>
        </w:tc>
      </w:tr>
      <w:tr>
        <w:trPr>
          <w:trHeight w:val="203"/>
        </w:trPr>
        <w:tc>
          <w:tcPr>
            <w:tcW w:w="1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Northeast</w:t>
            </w: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126.6</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5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123.3</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w:t>
            </w: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127.8</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127.8</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w:t>
            </w:r>
          </w:p>
        </w:tc>
        <w:tc>
          <w:tcPr>
            <w:tcW w:w="300" w:type="dxa"/>
            <w:vAlign w:val="bottom"/>
            <w:shd w:val="clear" w:color="auto" w:fill="CFF0FC"/>
          </w:tcPr>
          <w:p>
            <w:pPr>
              <w:spacing w:after="0"/>
              <w:rPr>
                <w:sz w:val="17"/>
                <w:szCs w:val="17"/>
                <w:color w:val="auto"/>
              </w:rPr>
            </w:pP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West</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105.9</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108.7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100.1</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300" w:type="dxa"/>
            <w:vAlign w:val="bottom"/>
          </w:tcPr>
          <w:p>
            <w:pPr>
              <w:spacing w:after="0"/>
              <w:rPr>
                <w:sz w:val="17"/>
                <w:szCs w:val="17"/>
                <w:color w:val="auto"/>
              </w:rPr>
            </w:pPr>
          </w:p>
        </w:tc>
      </w:tr>
      <w:tr>
        <w:trPr>
          <w:trHeight w:val="203"/>
        </w:trPr>
        <w:tc>
          <w:tcPr>
            <w:tcW w:w="1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Southwest</w:t>
            </w:r>
          </w:p>
        </w:tc>
        <w:tc>
          <w:tcPr>
            <w:tcW w:w="3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109.4</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5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131.9</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w:t>
            </w:r>
          </w:p>
        </w:tc>
        <w:tc>
          <w:tcPr>
            <w:tcW w:w="5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106.6</w:t>
            </w:r>
          </w:p>
        </w:tc>
        <w:tc>
          <w:tcPr>
            <w:tcW w:w="2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17.1</w:t>
            </w:r>
          </w:p>
        </w:tc>
        <w:tc>
          <w:tcPr>
            <w:tcW w:w="4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130.4</w:t>
            </w: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w:t>
            </w:r>
          </w:p>
        </w:tc>
        <w:tc>
          <w:tcPr>
            <w:tcW w:w="300" w:type="dxa"/>
            <w:vAlign w:val="bottom"/>
            <w:tcBorders>
              <w:bottom w:val="single" w:sz="8" w:color="CFF0FC"/>
            </w:tcBorders>
            <w:shd w:val="clear" w:color="auto" w:fill="CFF0FC"/>
          </w:tcPr>
          <w:p>
            <w:pPr>
              <w:spacing w:after="0"/>
              <w:rPr>
                <w:sz w:val="17"/>
                <w:szCs w:val="17"/>
                <w:color w:val="auto"/>
              </w:rPr>
            </w:pPr>
          </w:p>
        </w:tc>
      </w:tr>
      <w:tr>
        <w:trPr>
          <w:trHeight w:val="196"/>
        </w:trPr>
        <w:tc>
          <w:tcPr>
            <w:tcW w:w="174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719.1</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100.0</w:t>
            </w:r>
          </w:p>
        </w:tc>
        <w:tc>
          <w:tcPr>
            <w:tcW w:w="50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742.9</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100.0</w:t>
            </w:r>
          </w:p>
        </w:tc>
        <w:tc>
          <w:tcPr>
            <w:tcW w:w="50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621.8</w:t>
            </w:r>
          </w:p>
        </w:tc>
        <w:tc>
          <w:tcPr>
            <w:tcW w:w="22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100.0</w:t>
            </w:r>
          </w:p>
        </w:tc>
        <w:tc>
          <w:tcPr>
            <w:tcW w:w="46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687.0</w:t>
            </w:r>
          </w:p>
        </w:tc>
        <w:tc>
          <w:tcPr>
            <w:tcW w:w="22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100.0</w:t>
            </w: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-159385</wp:posOffset>
            </wp:positionV>
            <wp:extent cx="431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-159385</wp:posOffset>
            </wp:positionV>
            <wp:extent cx="431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-159385</wp:posOffset>
            </wp:positionV>
            <wp:extent cx="431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-159385</wp:posOffset>
            </wp:positionV>
            <wp:extent cx="431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3429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-159385</wp:posOffset>
            </wp:positionV>
            <wp:extent cx="3429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-159385</wp:posOffset>
            </wp:positionV>
            <wp:extent cx="3429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-159385</wp:posOffset>
            </wp:positionV>
            <wp:extent cx="3429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the detailed industry composition of our portfolio at fair value and cost as a percentage of total investments: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1"/>
        </w:trPr>
        <w:tc>
          <w:tcPr>
            <w:tcW w:w="3820" w:type="dxa"/>
            <w:vAlign w:val="bottom"/>
          </w:tcPr>
          <w:p>
            <w:pPr>
              <w:spacing w:after="0"/>
              <w:rPr>
                <w:sz w:val="19"/>
                <w:szCs w:val="19"/>
                <w:color w:val="auto"/>
              </w:rPr>
            </w:pPr>
          </w:p>
        </w:tc>
        <w:tc>
          <w:tcPr>
            <w:tcW w:w="210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w w:val="90"/>
              </w:rPr>
              <w:t>Fair Value</w:t>
            </w:r>
          </w:p>
        </w:tc>
        <w:tc>
          <w:tcPr>
            <w:tcW w:w="13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Cost</w:t>
            </w:r>
          </w:p>
        </w:tc>
        <w:tc>
          <w:tcPr>
            <w:tcW w:w="14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r>
      <w:tr>
        <w:trPr>
          <w:trHeight w:val="178"/>
        </w:trPr>
        <w:tc>
          <w:tcPr>
            <w:tcW w:w="3820" w:type="dxa"/>
            <w:vAlign w:val="bottom"/>
          </w:tcPr>
          <w:p>
            <w:pPr>
              <w:spacing w:after="0"/>
              <w:rPr>
                <w:sz w:val="15"/>
                <w:szCs w:val="15"/>
                <w:color w:val="auto"/>
              </w:rPr>
            </w:pPr>
          </w:p>
        </w:tc>
        <w:tc>
          <w:tcPr>
            <w:tcW w:w="150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5"/>
                <w:szCs w:val="15"/>
                <w:color w:val="auto"/>
              </w:rPr>
            </w:pPr>
          </w:p>
        </w:tc>
        <w:tc>
          <w:tcPr>
            <w:tcW w:w="150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5"/>
                <w:szCs w:val="15"/>
                <w:color w:val="auto"/>
              </w:rPr>
            </w:pPr>
          </w:p>
        </w:tc>
        <w:tc>
          <w:tcPr>
            <w:tcW w:w="148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5"/>
                <w:szCs w:val="15"/>
                <w:color w:val="auto"/>
              </w:rPr>
            </w:pPr>
          </w:p>
        </w:tc>
      </w:tr>
      <w:tr>
        <w:trPr>
          <w:trHeight w:val="221"/>
        </w:trPr>
        <w:tc>
          <w:tcPr>
            <w:tcW w:w="3820" w:type="dxa"/>
            <w:vAlign w:val="bottom"/>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r>
      <w:tr>
        <w:trPr>
          <w:trHeight w:val="196"/>
        </w:trPr>
        <w:tc>
          <w:tcPr>
            <w:tcW w:w="3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Information Technology Services</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27.0</w:t>
            </w:r>
          </w:p>
        </w:tc>
        <w:tc>
          <w:tcPr>
            <w:tcW w:w="3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w:t>
            </w:r>
          </w:p>
        </w:tc>
        <w:tc>
          <w:tcPr>
            <w:tcW w:w="3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Business Services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3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36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Healthcare Products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7"/>
                <w:szCs w:val="17"/>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Specialty Distribution</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3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36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Aerospace &amp; Defense Manufacturing</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7"/>
                <w:szCs w:val="17"/>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Component Manufacturing</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3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36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 Products Manufacturing</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7"/>
                <w:szCs w:val="17"/>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Healthcare Services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36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Promotional Products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7"/>
                <w:szCs w:val="17"/>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Environmental Industries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3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36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Oil &amp; Gas Services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7"/>
                <w:szCs w:val="17"/>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Transportation Services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Consumer Products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7"/>
                <w:szCs w:val="17"/>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Utilities: Services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3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36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Retail</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7"/>
                <w:szCs w:val="17"/>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Industrial Cleaning &amp; Coatings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6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Utility Equipment Manufacturing</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7"/>
                <w:szCs w:val="17"/>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Vending Equipment Manufacturing</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3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36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Restaurants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(1)</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7"/>
                <w:szCs w:val="17"/>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Oil &amp; Gas Distribution</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6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Specialty Chemicals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ind w:left="80"/>
              <w:spacing w:after="0"/>
              <w:rPr>
                <w:sz w:val="20"/>
                <w:szCs w:val="20"/>
                <w:color w:val="auto"/>
              </w:rPr>
            </w:pPr>
            <w:r>
              <w:rPr>
                <w:rFonts w:ascii="Arial" w:cs="Arial" w:eastAsia="Arial" w:hAnsi="Arial"/>
                <w:sz w:val="12"/>
                <w:szCs w:val="12"/>
                <w:color w:val="auto"/>
              </w:rPr>
              <w:t>(1)</w:t>
            </w: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Packaging</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360" w:type="dxa"/>
            <w:vAlign w:val="bottom"/>
          </w:tcPr>
          <w:p>
            <w:pPr>
              <w:spacing w:after="0"/>
              <w:rPr>
                <w:sz w:val="17"/>
                <w:szCs w:val="17"/>
                <w:color w:val="auto"/>
              </w:rPr>
            </w:pPr>
          </w:p>
        </w:tc>
      </w:tr>
      <w:tr>
        <w:trPr>
          <w:trHeight w:val="196"/>
        </w:trPr>
        <w:tc>
          <w:tcPr>
            <w:tcW w:w="382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100.0</w:t>
            </w:r>
          </w:p>
        </w:tc>
        <w:tc>
          <w:tcPr>
            <w:tcW w:w="38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100.0</w:t>
            </w:r>
          </w:p>
        </w:tc>
        <w:tc>
          <w:tcPr>
            <w:tcW w:w="3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Percentage is less than 0.1% of respective total.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Asset Quality</w:t>
      </w:r>
    </w:p>
    <w:p>
      <w:pPr>
        <w:spacing w:after="0" w:line="162" w:lineRule="exact"/>
        <w:rPr>
          <w:sz w:val="20"/>
          <w:szCs w:val="20"/>
          <w:color w:val="auto"/>
        </w:rPr>
      </w:pPr>
    </w:p>
    <w:p>
      <w:pPr>
        <w:jc w:val="both"/>
        <w:ind w:firstLine="479"/>
        <w:spacing w:after="0" w:line="248" w:lineRule="auto"/>
        <w:rPr>
          <w:sz w:val="20"/>
          <w:szCs w:val="20"/>
          <w:color w:val="auto"/>
        </w:rPr>
      </w:pPr>
      <w:r>
        <w:rPr>
          <w:rFonts w:ascii="Arial" w:cs="Arial" w:eastAsia="Arial" w:hAnsi="Arial"/>
          <w:sz w:val="18"/>
          <w:szCs w:val="18"/>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28" w:lineRule="exact"/>
        <w:rPr>
          <w:sz w:val="20"/>
          <w:szCs w:val="20"/>
          <w:color w:val="auto"/>
        </w:rPr>
      </w:pPr>
    </w:p>
    <w:p>
      <w:pPr>
        <w:jc w:val="both"/>
        <w:ind w:left="1060" w:right="20" w:hanging="526"/>
        <w:spacing w:after="0" w:line="220"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jc w:val="both"/>
        <w:ind w:left="1060" w:right="40" w:hanging="526"/>
        <w:spacing w:after="0" w:line="213"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2" w:lineRule="exact"/>
        <w:rPr>
          <w:rFonts w:ascii="Arial" w:cs="Arial" w:eastAsia="Arial" w:hAnsi="Arial"/>
          <w:sz w:val="18"/>
          <w:szCs w:val="18"/>
          <w:color w:val="auto"/>
        </w:rPr>
      </w:pPr>
    </w:p>
    <w:p>
      <w:pPr>
        <w:jc w:val="both"/>
        <w:ind w:left="1060" w:right="20" w:hanging="526"/>
        <w:spacing w:after="0" w:line="213"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2" w:lineRule="exact"/>
        <w:rPr>
          <w:rFonts w:ascii="Arial" w:cs="Arial" w:eastAsia="Arial" w:hAnsi="Arial"/>
          <w:sz w:val="18"/>
          <w:szCs w:val="18"/>
          <w:color w:val="auto"/>
        </w:rPr>
      </w:pPr>
    </w:p>
    <w:p>
      <w:pPr>
        <w:ind w:left="1060" w:right="20" w:hanging="526"/>
        <w:spacing w:after="0" w:line="219"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ind w:left="1060" w:right="20" w:hanging="526"/>
        <w:spacing w:after="0" w:line="226"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34" w:lineRule="exact"/>
        <w:rPr>
          <w:sz w:val="20"/>
          <w:szCs w:val="20"/>
          <w:color w:val="auto"/>
        </w:rPr>
      </w:pPr>
    </w:p>
    <w:p>
      <w:pPr>
        <w:jc w:val="both"/>
        <w:ind w:firstLine="479"/>
        <w:spacing w:after="0" w:line="248" w:lineRule="auto"/>
        <w:rPr>
          <w:sz w:val="20"/>
          <w:szCs w:val="20"/>
          <w:color w:val="auto"/>
        </w:rPr>
      </w:pPr>
      <w:r>
        <w:rPr>
          <w:rFonts w:ascii="Arial" w:cs="Arial" w:eastAsia="Arial" w:hAnsi="Arial"/>
          <w:sz w:val="18"/>
          <w:szCs w:val="18"/>
          <w:color w:val="auto"/>
        </w:rPr>
        <w:t>As the COVID-19 pandemic continues to evolve, we are maintaining close communications with our portfolio companies to proactively assess and manage risks across our investment portfolio. We have also increased oversight and analysis of credits in vulnerable industries in an attempt to improve performance and reduce credit risk.</w:t>
      </w:r>
    </w:p>
    <w:p>
      <w:pPr>
        <w:spacing w:after="0" w:line="128" w:lineRule="exact"/>
        <w:rPr>
          <w:sz w:val="20"/>
          <w:szCs w:val="20"/>
          <w:color w:val="auto"/>
        </w:rPr>
      </w:pPr>
    </w:p>
    <w:p>
      <w:pPr>
        <w:jc w:val="both"/>
        <w:ind w:firstLine="479"/>
        <w:spacing w:after="0" w:line="261"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and cost as of December 31, 2021 and 2020 (dollars in millions):</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1"/>
        </w:trPr>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Fair Value</w:t>
            </w: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Cost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178"/>
        </w:trPr>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3"/>
          </w:tcPr>
          <w:p>
            <w:pPr>
              <w:jc w:val="center"/>
              <w:ind w:left="7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3"/>
          </w:tcPr>
          <w:p>
            <w:pPr>
              <w:jc w:val="center"/>
              <w:ind w:left="5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3"/>
          </w:tcPr>
          <w:p>
            <w:pPr>
              <w:jc w:val="center"/>
              <w:ind w:right="150"/>
              <w:spacing w:after="0" w:line="177" w:lineRule="exact"/>
              <w:rPr>
                <w:sz w:val="20"/>
                <w:szCs w:val="20"/>
                <w:color w:val="auto"/>
              </w:rPr>
            </w:pPr>
            <w:r>
              <w:rPr>
                <w:rFonts w:ascii="Arial" w:cs="Arial" w:eastAsia="Arial" w:hAnsi="Arial"/>
                <w:sz w:val="18"/>
                <w:szCs w:val="18"/>
                <w:b w:val="1"/>
                <w:bCs w:val="1"/>
                <w:color w:val="auto"/>
                <w:w w:val="88"/>
              </w:rPr>
              <w:t>December 31,</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3"/>
          </w:tcPr>
          <w:p>
            <w:pPr>
              <w:jc w:val="center"/>
              <w:ind w:right="15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5"/>
                <w:szCs w:val="15"/>
                <w:color w:val="auto"/>
              </w:rPr>
            </w:pPr>
          </w:p>
        </w:tc>
      </w:tr>
      <w:tr>
        <w:trPr>
          <w:trHeight w:val="221"/>
        </w:trPr>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Investment Rating</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6"/>
        </w:trPr>
        <w:tc>
          <w:tcPr>
            <w:tcW w:w="1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119.8</w:t>
            </w:r>
          </w:p>
        </w:tc>
        <w:tc>
          <w:tcPr>
            <w:tcW w:w="2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w:t>
            </w:r>
          </w:p>
        </w:tc>
        <w:tc>
          <w:tcPr>
            <w:tcW w:w="5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109.3</w:t>
            </w:r>
          </w:p>
        </w:tc>
        <w:tc>
          <w:tcPr>
            <w:tcW w:w="2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w:t>
            </w:r>
          </w:p>
        </w:tc>
        <w:tc>
          <w:tcPr>
            <w:tcW w:w="5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w:t>
            </w:r>
          </w:p>
        </w:tc>
        <w:tc>
          <w:tcPr>
            <w:tcW w:w="2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46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w:t>
            </w:r>
          </w:p>
        </w:tc>
        <w:tc>
          <w:tcPr>
            <w:tcW w:w="2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1580" w:type="dxa"/>
            <w:vAlign w:val="bottom"/>
          </w:tcPr>
          <w:p>
            <w:pPr>
              <w:ind w:left="2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566.7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78.8</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544.4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73.3</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556.1</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89.4</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537.6</w:t>
            </w: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78.3</w:t>
            </w:r>
          </w:p>
        </w:tc>
        <w:tc>
          <w:tcPr>
            <w:tcW w:w="300" w:type="dxa"/>
            <w:vAlign w:val="bottom"/>
          </w:tcPr>
          <w:p>
            <w:pPr>
              <w:spacing w:after="0"/>
              <w:rPr>
                <w:sz w:val="17"/>
                <w:szCs w:val="17"/>
                <w:color w:val="auto"/>
              </w:rPr>
            </w:pPr>
          </w:p>
        </w:tc>
      </w:tr>
      <w:tr>
        <w:trPr>
          <w:trHeight w:val="203"/>
        </w:trPr>
        <w:tc>
          <w:tcPr>
            <w:tcW w:w="1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5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40.4</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87.5</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w:t>
            </w:r>
          </w:p>
        </w:tc>
        <w:tc>
          <w:tcPr>
            <w:tcW w:w="300" w:type="dxa"/>
            <w:vAlign w:val="bottom"/>
            <w:shd w:val="clear" w:color="auto" w:fill="CFF0FC"/>
          </w:tcPr>
          <w:p>
            <w:pPr>
              <w:spacing w:after="0"/>
              <w:rPr>
                <w:sz w:val="17"/>
                <w:szCs w:val="17"/>
                <w:color w:val="auto"/>
              </w:rPr>
            </w:pPr>
          </w:p>
        </w:tc>
      </w:tr>
      <w:tr>
        <w:trPr>
          <w:trHeight w:val="203"/>
        </w:trPr>
        <w:tc>
          <w:tcPr>
            <w:tcW w:w="158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300" w:type="dxa"/>
            <w:vAlign w:val="bottom"/>
          </w:tcPr>
          <w:p>
            <w:pPr>
              <w:spacing w:after="0"/>
              <w:rPr>
                <w:sz w:val="17"/>
                <w:szCs w:val="17"/>
                <w:color w:val="auto"/>
              </w:rPr>
            </w:pPr>
          </w:p>
        </w:tc>
      </w:tr>
      <w:tr>
        <w:trPr>
          <w:trHeight w:val="203"/>
        </w:trPr>
        <w:tc>
          <w:tcPr>
            <w:tcW w:w="1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7"/>
                <w:szCs w:val="17"/>
                <w:color w:val="auto"/>
              </w:rPr>
            </w:pPr>
          </w:p>
        </w:tc>
      </w:tr>
      <w:tr>
        <w:trPr>
          <w:trHeight w:val="196"/>
        </w:trPr>
        <w:tc>
          <w:tcPr>
            <w:tcW w:w="1740" w:type="dxa"/>
            <w:vAlign w:val="bottom"/>
            <w:tcBorders>
              <w:top w:val="single" w:sz="8" w:color="CFF0FC"/>
            </w:tcBorders>
            <w:gridSpan w:val="2"/>
          </w:tcPr>
          <w:p>
            <w:pPr>
              <w:ind w:left="20"/>
              <w:spacing w:after="0" w:line="182" w:lineRule="exact"/>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719.1</w:t>
            </w: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100.0</w:t>
            </w:r>
          </w:p>
        </w:tc>
        <w:tc>
          <w:tcPr>
            <w:tcW w:w="500" w:type="dxa"/>
            <w:vAlign w:val="bottom"/>
            <w:tcBorders>
              <w:top w:val="single" w:sz="8" w:color="CFF0FC"/>
            </w:tcBorders>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742.9</w:t>
            </w: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100.0</w:t>
            </w:r>
          </w:p>
        </w:tc>
        <w:tc>
          <w:tcPr>
            <w:tcW w:w="500" w:type="dxa"/>
            <w:vAlign w:val="bottom"/>
            <w:tcBorders>
              <w:top w:val="single" w:sz="8" w:color="CFF0FC"/>
            </w:tcBorders>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621.8</w:t>
            </w:r>
          </w:p>
        </w:tc>
        <w:tc>
          <w:tcPr>
            <w:tcW w:w="2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100.0</w:t>
            </w:r>
          </w:p>
        </w:tc>
        <w:tc>
          <w:tcPr>
            <w:tcW w:w="460" w:type="dxa"/>
            <w:vAlign w:val="bottom"/>
            <w:tcBorders>
              <w:top w:val="single" w:sz="8" w:color="CFF0FC"/>
            </w:tcBorders>
          </w:tcPr>
          <w:p>
            <w:pPr>
              <w:ind w:left="6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687.0</w:t>
            </w:r>
          </w:p>
        </w:tc>
        <w:tc>
          <w:tcPr>
            <w:tcW w:w="22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-159385</wp:posOffset>
            </wp:positionV>
            <wp:extent cx="431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-159385</wp:posOffset>
            </wp:positionV>
            <wp:extent cx="431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-159385</wp:posOffset>
            </wp:positionV>
            <wp:extent cx="431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-159385</wp:posOffset>
            </wp:positionV>
            <wp:extent cx="431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3429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-159385</wp:posOffset>
            </wp:positionV>
            <wp:extent cx="3429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-159385</wp:posOffset>
            </wp:positionV>
            <wp:extent cx="3429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-159385</wp:posOffset>
            </wp:positionV>
            <wp:extent cx="342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28"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Based on our investment rating system, the weighted average rating of our portfolio as of December 31, 2021 and 2020 was 1.9 and 2.0, respectively, on a fair value basis and 2.1 and 2.2, respectively, on a cost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December 31, 2021 and December 31, 2020, we had debt investments in one portfolio company on non-accrual status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December 31, 2021</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480"/>
              <w:spacing w:after="0" w:line="177"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620"/>
              <w:spacing w:after="0" w:line="177" w:lineRule="exact"/>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Portfolio Company</w:t>
            </w:r>
          </w:p>
        </w:tc>
        <w:tc>
          <w:tcPr>
            <w:tcW w:w="220" w:type="dxa"/>
            <w:vAlign w:val="bottom"/>
          </w:tcPr>
          <w:p>
            <w:pPr>
              <w:spacing w:after="0"/>
              <w:rPr>
                <w:sz w:val="17"/>
                <w:szCs w:val="17"/>
                <w:color w:val="auto"/>
              </w:rPr>
            </w:pPr>
          </w:p>
        </w:tc>
        <w:tc>
          <w:tcPr>
            <w:tcW w:w="1220" w:type="dxa"/>
            <w:vAlign w:val="bottom"/>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7"/>
                <w:szCs w:val="17"/>
                <w:color w:val="auto"/>
              </w:rPr>
            </w:pPr>
          </w:p>
        </w:tc>
        <w:tc>
          <w:tcPr>
            <w:tcW w:w="880" w:type="dxa"/>
            <w:vAlign w:val="bottom"/>
          </w:tcPr>
          <w:p>
            <w:pPr>
              <w:jc w:val="right"/>
              <w:ind w:right="300"/>
              <w:spacing w:after="0" w:line="198" w:lineRule="exact"/>
              <w:rPr>
                <w:sz w:val="20"/>
                <w:szCs w:val="20"/>
                <w:color w:val="auto"/>
              </w:rPr>
            </w:pPr>
            <w:r>
              <w:rPr>
                <w:rFonts w:ascii="Arial" w:cs="Arial" w:eastAsia="Arial" w:hAnsi="Arial"/>
                <w:sz w:val="18"/>
                <w:szCs w:val="18"/>
                <w:b w:val="1"/>
                <w:bCs w:val="1"/>
                <w:color w:val="auto"/>
              </w:rPr>
              <w:t>Cost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7"/>
                <w:szCs w:val="17"/>
                <w:color w:val="auto"/>
              </w:rPr>
            </w:pPr>
          </w:p>
        </w:tc>
        <w:tc>
          <w:tcPr>
            <w:tcW w:w="84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36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40"/>
              <w:spacing w:after="0"/>
              <w:rPr>
                <w:sz w:val="20"/>
                <w:szCs w:val="20"/>
                <w:color w:val="auto"/>
              </w:rPr>
            </w:pPr>
            <w:r>
              <w:rPr>
                <w:rFonts w:ascii="Arial" w:cs="Arial" w:eastAsia="Arial" w:hAnsi="Arial"/>
                <w:sz w:val="12"/>
                <w:szCs w:val="12"/>
                <w:color w:val="auto"/>
              </w:rPr>
              <w:t>(2)</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60"/>
              <w:spacing w:after="0"/>
              <w:rPr>
                <w:sz w:val="20"/>
                <w:szCs w:val="20"/>
                <w:color w:val="auto"/>
              </w:rPr>
            </w:pPr>
            <w:r>
              <w:rPr>
                <w:rFonts w:ascii="Arial" w:cs="Arial" w:eastAsia="Arial" w:hAnsi="Arial"/>
                <w:sz w:val="12"/>
                <w:szCs w:val="12"/>
                <w:color w:val="auto"/>
              </w:rPr>
              <w:t>(2)</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40"/>
              <w:spacing w:after="0"/>
              <w:rPr>
                <w:sz w:val="20"/>
                <w:szCs w:val="20"/>
                <w:color w:val="auto"/>
              </w:rPr>
            </w:pPr>
            <w:r>
              <w:rPr>
                <w:rFonts w:ascii="Arial" w:cs="Arial" w:eastAsia="Arial" w:hAnsi="Arial"/>
                <w:sz w:val="12"/>
                <w:szCs w:val="12"/>
                <w:color w:val="auto"/>
              </w:rPr>
              <w:t>(3)</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96"/>
        </w:trPr>
        <w:tc>
          <w:tcPr>
            <w:tcW w:w="53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US GreenFiber, LLC</w:t>
            </w:r>
          </w:p>
        </w:tc>
        <w:tc>
          <w:tcPr>
            <w:tcW w:w="18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ind w:left="700"/>
              <w:spacing w:after="0" w:line="196" w:lineRule="exact"/>
              <w:rPr>
                <w:sz w:val="20"/>
                <w:szCs w:val="20"/>
                <w:color w:val="auto"/>
              </w:rPr>
            </w:pPr>
            <w:r>
              <w:rPr>
                <w:rFonts w:ascii="Arial" w:cs="Arial" w:eastAsia="Arial" w:hAnsi="Arial"/>
                <w:sz w:val="18"/>
                <w:szCs w:val="18"/>
                <w:color w:val="auto"/>
                <w:w w:val="88"/>
              </w:rPr>
              <w:t>—</w:t>
            </w:r>
          </w:p>
        </w:tc>
        <w:tc>
          <w:tcPr>
            <w:tcW w:w="340" w:type="dxa"/>
            <w:vAlign w:val="bottom"/>
            <w:vMerge w:val="continue"/>
          </w:tcPr>
          <w:p>
            <w:pPr>
              <w:spacing w:after="0"/>
              <w:rPr>
                <w:sz w:val="17"/>
                <w:szCs w:val="17"/>
                <w:color w:val="auto"/>
              </w:rPr>
            </w:pP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34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7"/>
                <w:szCs w:val="17"/>
                <w:color w:val="auto"/>
              </w:rPr>
            </w:pP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EBL, LLC (EbLens)</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xml:space="preserve"> (1)</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xml:space="preserve"> (1)</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7"/>
                <w:szCs w:val="17"/>
                <w:color w:val="auto"/>
              </w:rPr>
              <w:t xml:space="preserve">5.5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gridSpan w:val="3"/>
          </w:tcPr>
          <w:p>
            <w:pPr>
              <w:ind w:left="20"/>
              <w:spacing w:after="0" w:line="182"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line="182" w:lineRule="exact"/>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w:t>
            </w: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w:t>
            </w:r>
          </w:p>
        </w:tc>
        <w:tc>
          <w:tcPr>
            <w:tcW w:w="3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9.2</w:t>
            </w:r>
          </w:p>
        </w:tc>
        <w:tc>
          <w:tcPr>
            <w:tcW w:w="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4"/>
                <w:szCs w:val="14"/>
                <w:color w:val="auto"/>
              </w:rPr>
              <w:t>(1)</w:t>
            </w:r>
          </w:p>
        </w:tc>
        <w:tc>
          <w:tcPr>
            <w:tcW w:w="5340" w:type="dxa"/>
            <w:vAlign w:val="bottom"/>
            <w:gridSpan w:val="2"/>
            <w:vMerge w:val="restart"/>
          </w:tcPr>
          <w:p>
            <w:pPr>
              <w:ind w:left="20"/>
              <w:spacing w:after="0"/>
              <w:rPr>
                <w:sz w:val="20"/>
                <w:szCs w:val="20"/>
                <w:color w:val="auto"/>
              </w:rPr>
            </w:pPr>
            <w:r>
              <w:rPr>
                <w:rFonts w:ascii="Arial" w:cs="Arial" w:eastAsia="Arial" w:hAnsi="Arial"/>
                <w:sz w:val="14"/>
                <w:szCs w:val="14"/>
                <w:color w:val="auto"/>
                <w:w w:val="96"/>
              </w:rPr>
              <w:t>Portfolio company debt investment was not on non-accrual status at December 31, 2021.</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0" w:type="dxa"/>
            <w:vAlign w:val="bottom"/>
            <w:vMerge w:val="continue"/>
          </w:tcPr>
          <w:p>
            <w:pPr>
              <w:spacing w:after="0"/>
              <w:rPr>
                <w:sz w:val="10"/>
                <w:szCs w:val="10"/>
                <w:color w:val="auto"/>
              </w:rPr>
            </w:pPr>
          </w:p>
        </w:tc>
        <w:tc>
          <w:tcPr>
            <w:tcW w:w="53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20"/>
                <w:szCs w:val="20"/>
                <w:color w:val="auto"/>
              </w:rPr>
            </w:pPr>
            <w:r>
              <w:rPr>
                <w:rFonts w:ascii="Arial" w:cs="Arial" w:eastAsia="Arial" w:hAnsi="Arial"/>
                <w:sz w:val="14"/>
                <w:szCs w:val="14"/>
                <w:color w:val="auto"/>
              </w:rPr>
              <w:t>(2)</w:t>
            </w:r>
          </w:p>
        </w:tc>
        <w:tc>
          <w:tcPr>
            <w:tcW w:w="9640" w:type="dxa"/>
            <w:vAlign w:val="bottom"/>
            <w:gridSpan w:val="11"/>
          </w:tcPr>
          <w:p>
            <w:pPr>
              <w:ind w:left="20"/>
              <w:spacing w:after="0"/>
              <w:rPr>
                <w:sz w:val="20"/>
                <w:szCs w:val="20"/>
                <w:color w:val="auto"/>
              </w:rPr>
            </w:pPr>
            <w:r>
              <w:rPr>
                <w:rFonts w:ascii="Arial" w:cs="Arial" w:eastAsia="Arial" w:hAnsi="Arial"/>
                <w:sz w:val="14"/>
                <w:szCs w:val="14"/>
                <w:color w:val="auto"/>
              </w:rPr>
              <w:t>Portfolio company was on PIK-only non-accrual status at period end, meaning the Company ceased recognizing PIK interest income on the investment.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20"/>
                <w:szCs w:val="20"/>
                <w:color w:val="auto"/>
              </w:rPr>
            </w:pPr>
            <w:r>
              <w:rPr>
                <w:rFonts w:ascii="Arial" w:cs="Arial" w:eastAsia="Arial" w:hAnsi="Arial"/>
                <w:sz w:val="14"/>
                <w:szCs w:val="14"/>
                <w:color w:val="auto"/>
              </w:rPr>
              <w:t>(3)</w:t>
            </w:r>
          </w:p>
        </w:tc>
        <w:tc>
          <w:tcPr>
            <w:tcW w:w="5560" w:type="dxa"/>
            <w:vAlign w:val="bottom"/>
            <w:gridSpan w:val="3"/>
          </w:tcPr>
          <w:p>
            <w:pPr>
              <w:ind w:left="20"/>
              <w:spacing w:after="0"/>
              <w:rPr>
                <w:sz w:val="20"/>
                <w:szCs w:val="20"/>
                <w:color w:val="auto"/>
              </w:rPr>
            </w:pPr>
            <w:r>
              <w:rPr>
                <w:rFonts w:ascii="Arial" w:cs="Arial" w:eastAsia="Arial" w:hAnsi="Arial"/>
                <w:sz w:val="14"/>
                <w:szCs w:val="14"/>
                <w:color w:val="auto"/>
                <w:w w:val="94"/>
              </w:rPr>
              <w:t>Portfolio company debt investments were not on non-accrual status as of December 31, 2020.</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-468630</wp:posOffset>
            </wp:positionV>
            <wp:extent cx="43180" cy="160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-468630</wp:posOffset>
            </wp:positionV>
            <wp:extent cx="43180" cy="160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-468630</wp:posOffset>
            </wp:positionV>
            <wp:extent cx="34290" cy="160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16002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-468630</wp:posOffset>
            </wp:positionV>
            <wp:extent cx="34290" cy="160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160020"/>
                    </a:xfrm>
                    <a:prstGeom prst="rect">
                      <a:avLst/>
                    </a:prstGeom>
                    <a:noFill/>
                  </pic:spPr>
                </pic:pic>
              </a:graphicData>
            </a:graphic>
          </wp:anchor>
        </w:drawing>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fiscal years ended December 31, 2021, 2020, and 2019</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Investment Income</w:t>
      </w:r>
    </w:p>
    <w:p>
      <w:pPr>
        <w:spacing w:after="0" w:line="158" w:lineRule="exact"/>
        <w:rPr>
          <w:sz w:val="20"/>
          <w:szCs w:val="20"/>
          <w:color w:val="auto"/>
        </w:rPr>
      </w:pPr>
    </w:p>
    <w:p>
      <w:pPr>
        <w:jc w:val="both"/>
        <w:ind w:right="20" w:firstLine="479"/>
        <w:spacing w:after="0" w:line="291" w:lineRule="auto"/>
        <w:rPr>
          <w:sz w:val="20"/>
          <w:szCs w:val="20"/>
          <w:color w:val="auto"/>
        </w:rPr>
      </w:pPr>
      <w:r>
        <w:rPr>
          <w:rFonts w:ascii="Arial" w:cs="Arial" w:eastAsia="Arial" w:hAnsi="Arial"/>
          <w:sz w:val="17"/>
          <w:szCs w:val="17"/>
          <w:color w:val="auto"/>
        </w:rPr>
        <w:t>Below is a summary of the changes in total investment income for the years ended December 31, 2021, 2020, and 2019, as well as a comparison of those periods year-over-year (dollars in millions, percent change calculated based on underlying dollar 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7"/>
          </w:tcPr>
          <w:p>
            <w:pPr>
              <w:jc w:val="right"/>
              <w:ind w:right="439"/>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2021 vs. 2020</w:t>
            </w:r>
          </w:p>
        </w:tc>
        <w:tc>
          <w:tcPr>
            <w:tcW w:w="18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2020 vs. 2019</w:t>
            </w:r>
          </w:p>
        </w:tc>
      </w:tr>
      <w:tr>
        <w:trPr>
          <w:trHeight w:val="183"/>
        </w:trPr>
        <w:tc>
          <w:tcPr>
            <w:tcW w:w="30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ind w:right="259"/>
              <w:spacing w:after="0" w:line="183" w:lineRule="exact"/>
              <w:rPr>
                <w:sz w:val="20"/>
                <w:szCs w:val="20"/>
                <w:color w:val="auto"/>
              </w:rPr>
            </w:pPr>
            <w:r>
              <w:rPr>
                <w:rFonts w:ascii="Arial" w:cs="Arial" w:eastAsia="Arial" w:hAnsi="Arial"/>
                <w:sz w:val="16"/>
                <w:szCs w:val="16"/>
                <w:b w:val="1"/>
                <w:bCs w:val="1"/>
                <w:color w:val="auto"/>
                <w:w w:val="88"/>
              </w:rPr>
              <w:t>$ Change</w:t>
            </w:r>
          </w:p>
        </w:tc>
        <w:tc>
          <w:tcPr>
            <w:tcW w:w="112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w w:val="99"/>
              </w:rPr>
              <w:t xml:space="preserve">% Change </w:t>
            </w:r>
            <w:r>
              <w:rPr>
                <w:rFonts w:ascii="Arial" w:cs="Arial" w:eastAsia="Arial" w:hAnsi="Arial"/>
                <w:sz w:val="21"/>
                <w:szCs w:val="21"/>
                <w:b w:val="1"/>
                <w:bCs w:val="1"/>
                <w:color w:val="auto"/>
                <w:w w:val="99"/>
                <w:vertAlign w:val="superscript"/>
              </w:rPr>
              <w:t>(1)</w:t>
            </w:r>
          </w:p>
        </w:tc>
        <w:tc>
          <w:tcPr>
            <w:tcW w:w="360" w:type="dxa"/>
            <w:vAlign w:val="bottom"/>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gridSpan w:val="2"/>
          </w:tcPr>
          <w:p>
            <w:pPr>
              <w:jc w:val="right"/>
              <w:ind w:right="280"/>
              <w:spacing w:after="0" w:line="183" w:lineRule="exact"/>
              <w:rPr>
                <w:sz w:val="20"/>
                <w:szCs w:val="20"/>
                <w:color w:val="auto"/>
              </w:rPr>
            </w:pPr>
            <w:r>
              <w:rPr>
                <w:rFonts w:ascii="Arial" w:cs="Arial" w:eastAsia="Arial" w:hAnsi="Arial"/>
                <w:sz w:val="16"/>
                <w:szCs w:val="16"/>
                <w:b w:val="1"/>
                <w:bCs w:val="1"/>
                <w:color w:val="auto"/>
                <w:w w:val="88"/>
              </w:rPr>
              <w:t>Change</w:t>
            </w:r>
          </w:p>
        </w:tc>
        <w:tc>
          <w:tcPr>
            <w:tcW w:w="116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21"/>
                <w:szCs w:val="21"/>
                <w:b w:val="1"/>
                <w:bCs w:val="1"/>
                <w:color w:val="auto"/>
                <w:vertAlign w:val="superscript"/>
              </w:rPr>
              <w:t>(1)</w:t>
            </w:r>
          </w:p>
        </w:tc>
        <w:tc>
          <w:tcPr>
            <w:tcW w:w="280" w:type="dxa"/>
            <w:vAlign w:val="bottom"/>
          </w:tcPr>
          <w:p>
            <w:pPr>
              <w:spacing w:after="0"/>
              <w:rPr>
                <w:sz w:val="15"/>
                <w:szCs w:val="15"/>
                <w:color w:val="auto"/>
              </w:rPr>
            </w:pPr>
          </w:p>
        </w:tc>
      </w:tr>
      <w:tr>
        <w:trPr>
          <w:trHeight w:val="183"/>
        </w:trPr>
        <w:tc>
          <w:tcPr>
            <w:tcW w:w="3060" w:type="dxa"/>
            <w:vAlign w:val="bottom"/>
          </w:tcPr>
          <w:p>
            <w:pPr>
              <w:ind w:left="20"/>
              <w:spacing w:after="0" w:line="183" w:lineRule="exact"/>
              <w:rPr>
                <w:sz w:val="20"/>
                <w:szCs w:val="20"/>
                <w:color w:val="auto"/>
              </w:rPr>
            </w:pPr>
            <w:r>
              <w:rPr>
                <w:rFonts w:ascii="Arial" w:cs="Arial" w:eastAsia="Arial" w:hAnsi="Arial"/>
                <w:sz w:val="16"/>
                <w:szCs w:val="16"/>
                <w:color w:val="auto"/>
              </w:rPr>
              <w:t>Interest income</w:t>
            </w:r>
          </w:p>
        </w:tc>
        <w:tc>
          <w:tcPr>
            <w:tcW w:w="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73.1</w:t>
            </w:r>
          </w:p>
        </w:tc>
        <w:tc>
          <w:tcPr>
            <w:tcW w:w="240" w:type="dxa"/>
            <w:vAlign w:val="bottom"/>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73.5</w:t>
            </w:r>
          </w:p>
        </w:tc>
        <w:tc>
          <w:tcPr>
            <w:tcW w:w="24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62.2</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(0.4</w:t>
            </w:r>
          </w:p>
        </w:tc>
        <w:tc>
          <w:tcPr>
            <w:tcW w:w="2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(0.6</w:t>
            </w:r>
          </w:p>
        </w:tc>
        <w:tc>
          <w:tcPr>
            <w:tcW w:w="3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11.3</w:t>
            </w:r>
          </w:p>
        </w:tc>
        <w:tc>
          <w:tcPr>
            <w:tcW w:w="200" w:type="dxa"/>
            <w:vAlign w:val="bottom"/>
          </w:tcPr>
          <w:p>
            <w:pPr>
              <w:spacing w:after="0"/>
              <w:rPr>
                <w:sz w:val="15"/>
                <w:szCs w:val="15"/>
                <w:color w:val="auto"/>
              </w:rPr>
            </w:pPr>
          </w:p>
        </w:tc>
        <w:tc>
          <w:tcPr>
            <w:tcW w:w="1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18.2</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w:t>
            </w:r>
          </w:p>
        </w:tc>
      </w:tr>
      <w:tr>
        <w:trPr>
          <w:trHeight w:val="18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Payment-in-kind interest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(0.4 )</w:t>
            </w:r>
          </w:p>
        </w:tc>
        <w:tc>
          <w:tcPr>
            <w:tcW w:w="14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(7.9 %)</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(48.8 %)</w:t>
            </w:r>
          </w:p>
        </w:tc>
      </w:tr>
      <w:tr>
        <w:trPr>
          <w:trHeight w:val="189"/>
        </w:trPr>
        <w:tc>
          <w:tcPr>
            <w:tcW w:w="3060" w:type="dxa"/>
            <w:vAlign w:val="bottom"/>
          </w:tcPr>
          <w:p>
            <w:pPr>
              <w:ind w:left="20"/>
              <w:spacing w:after="0"/>
              <w:rPr>
                <w:sz w:val="20"/>
                <w:szCs w:val="20"/>
                <w:color w:val="auto"/>
              </w:rPr>
            </w:pPr>
            <w:r>
              <w:rPr>
                <w:rFonts w:ascii="Arial" w:cs="Arial" w:eastAsia="Arial" w:hAnsi="Arial"/>
                <w:sz w:val="16"/>
                <w:szCs w:val="16"/>
                <w:color w:val="auto"/>
              </w:rPr>
              <w:t>Dividend income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6"/>
                <w:szCs w:val="16"/>
                <w:color w:val="auto"/>
              </w:rPr>
            </w:pPr>
          </w:p>
        </w:tc>
        <w:tc>
          <w:tcPr>
            <w:tcW w:w="1480" w:type="dxa"/>
            <w:vAlign w:val="bottom"/>
            <w:gridSpan w:val="2"/>
          </w:tcPr>
          <w:p>
            <w:pPr>
              <w:jc w:val="right"/>
              <w:ind w:right="139"/>
              <w:spacing w:after="0"/>
              <w:rPr>
                <w:sz w:val="20"/>
                <w:szCs w:val="20"/>
                <w:color w:val="auto"/>
              </w:rPr>
            </w:pPr>
            <w:r>
              <w:rPr>
                <w:rFonts w:ascii="Arial" w:cs="Arial" w:eastAsia="Arial" w:hAnsi="Arial"/>
                <w:sz w:val="16"/>
                <w:szCs w:val="16"/>
                <w:color w:val="auto"/>
              </w:rPr>
              <w:t>6.8 %</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6"/>
                <w:szCs w:val="16"/>
                <w:color w:val="auto"/>
              </w:rPr>
            </w:pPr>
          </w:p>
        </w:tc>
        <w:tc>
          <w:tcPr>
            <w:tcW w:w="1440" w:type="dxa"/>
            <w:vAlign w:val="bottom"/>
            <w:gridSpan w:val="2"/>
          </w:tcPr>
          <w:p>
            <w:pPr>
              <w:jc w:val="right"/>
              <w:ind w:right="39"/>
              <w:spacing w:after="0"/>
              <w:rPr>
                <w:sz w:val="20"/>
                <w:szCs w:val="20"/>
                <w:color w:val="auto"/>
              </w:rPr>
            </w:pPr>
            <w:r>
              <w:rPr>
                <w:rFonts w:ascii="Arial" w:cs="Arial" w:eastAsia="Arial" w:hAnsi="Arial"/>
                <w:sz w:val="16"/>
                <w:szCs w:val="16"/>
                <w:color w:val="auto"/>
              </w:rPr>
              <w:t>73.2 %</w:t>
            </w:r>
          </w:p>
        </w:tc>
      </w:tr>
      <w:tr>
        <w:trPr>
          <w:trHeight w:val="18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132.2 %</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3.9 %</w:t>
            </w:r>
          </w:p>
        </w:tc>
      </w:tr>
      <w:tr>
        <w:trPr>
          <w:trHeight w:val="189"/>
        </w:trPr>
        <w:tc>
          <w:tcPr>
            <w:tcW w:w="3060" w:type="dxa"/>
            <w:vAlign w:val="bottom"/>
          </w:tcPr>
          <w:p>
            <w:pPr>
              <w:ind w:left="20"/>
              <w:spacing w:after="0"/>
              <w:rPr>
                <w:sz w:val="20"/>
                <w:szCs w:val="20"/>
                <w:color w:val="auto"/>
              </w:rPr>
            </w:pPr>
            <w:r>
              <w:rPr>
                <w:rFonts w:ascii="Arial" w:cs="Arial" w:eastAsia="Arial" w:hAnsi="Arial"/>
                <w:sz w:val="16"/>
                <w:szCs w:val="16"/>
                <w:color w:val="auto"/>
              </w:rPr>
              <w:t>Interest on idle funds</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80" w:type="dxa"/>
            <w:vAlign w:val="bottom"/>
            <w:gridSpan w:val="2"/>
          </w:tcPr>
          <w:p>
            <w:pPr>
              <w:jc w:val="right"/>
              <w:ind w:right="299"/>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(0.1 )</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(89.2 %)</w:t>
            </w:r>
          </w:p>
        </w:tc>
      </w:tr>
      <w:tr>
        <w:trPr>
          <w:trHeight w:val="223"/>
        </w:trPr>
        <w:tc>
          <w:tcPr>
            <w:tcW w:w="306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investment income</w:t>
            </w: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90.4</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85.1</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w:t>
            </w:r>
          </w:p>
        </w:tc>
        <w:tc>
          <w:tcPr>
            <w:tcW w:w="3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10.4</w:t>
            </w:r>
          </w:p>
        </w:tc>
        <w:tc>
          <w:tcPr>
            <w:tcW w:w="280" w:type="dxa"/>
            <w:vAlign w:val="bottom"/>
            <w:tcBorders>
              <w:bottom w:val="single" w:sz="8" w:color="CCEEFF"/>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-25400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-8255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-25400</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-8255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1714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1714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1714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1714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NM = Not meaningful</w:t>
      </w:r>
    </w:p>
    <w:p>
      <w:pPr>
        <w:spacing w:after="0" w:line="167" w:lineRule="exact"/>
        <w:rPr>
          <w:sz w:val="20"/>
          <w:szCs w:val="20"/>
          <w:color w:val="auto"/>
        </w:rPr>
      </w:pPr>
    </w:p>
    <w:p>
      <w:pPr>
        <w:jc w:val="both"/>
        <w:ind w:firstLine="479"/>
        <w:spacing w:after="0" w:line="324" w:lineRule="auto"/>
        <w:rPr>
          <w:sz w:val="20"/>
          <w:szCs w:val="20"/>
          <w:color w:val="auto"/>
        </w:rPr>
      </w:pPr>
      <w:r>
        <w:rPr>
          <w:rFonts w:ascii="Arial" w:cs="Arial" w:eastAsia="Arial" w:hAnsi="Arial"/>
          <w:sz w:val="16"/>
          <w:szCs w:val="16"/>
          <w:color w:val="auto"/>
        </w:rPr>
        <w:t>For the year ended December 31, 2021, total investment income was $90.4 million, an increase of $5.3 million or 6.3%, from the $85.1 million of total investment income for the year ended December 31, 2020. As reflected in the table above, the increase is primarily attributable to the following:</w:t>
      </w:r>
    </w:p>
    <w:p>
      <w:pPr>
        <w:spacing w:after="0" w:line="70" w:lineRule="exact"/>
        <w:rPr>
          <w:sz w:val="20"/>
          <w:szCs w:val="20"/>
          <w:color w:val="auto"/>
        </w:rPr>
      </w:pPr>
    </w:p>
    <w:p>
      <w:pPr>
        <w:ind w:left="1140" w:hanging="383"/>
        <w:spacing w:after="0" w:line="26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$5.9 million increase in fee income resulting from an increase in origination, management, and prepayment fee income during 2021 as compared to 2020.</w:t>
      </w:r>
    </w:p>
    <w:p>
      <w:pPr>
        <w:spacing w:after="0" w:line="116" w:lineRule="exact"/>
        <w:rPr>
          <w:rFonts w:ascii="Arial" w:cs="Arial" w:eastAsia="Arial" w:hAnsi="Arial"/>
          <w:sz w:val="18"/>
          <w:szCs w:val="18"/>
          <w:color w:val="auto"/>
        </w:rPr>
      </w:pPr>
    </w:p>
    <w:p>
      <w:pPr>
        <w:ind w:left="1140" w:hanging="383"/>
        <w:spacing w:after="0" w:line="244"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$0.2 million increase in dividend income, during 2021 as compared to 2020, due to increased levels of distributions received from equity investments.</w:t>
      </w: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jc w:val="both"/>
        <w:ind w:left="1140" w:hanging="383"/>
        <w:spacing w:after="0" w:line="248"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$0.8 million decrease in total interest income (which includes a $0.4 million decrease in payment-in-kind interest income) resulting from a decrease in average debt investment balances outstanding, partially offset by a higher weighted average yield on debt investment balances outstanding, during 2021 as compared to 2020.</w:t>
      </w:r>
    </w:p>
    <w:p>
      <w:pPr>
        <w:spacing w:after="0" w:line="128" w:lineRule="exact"/>
        <w:rPr>
          <w:sz w:val="20"/>
          <w:szCs w:val="20"/>
          <w:color w:val="auto"/>
        </w:rPr>
      </w:pPr>
    </w:p>
    <w:p>
      <w:pPr>
        <w:ind w:right="20" w:firstLine="479"/>
        <w:spacing w:after="0" w:line="324" w:lineRule="auto"/>
        <w:rPr>
          <w:sz w:val="20"/>
          <w:szCs w:val="20"/>
          <w:color w:val="auto"/>
        </w:rPr>
      </w:pPr>
      <w:r>
        <w:rPr>
          <w:rFonts w:ascii="Arial" w:cs="Arial" w:eastAsia="Arial" w:hAnsi="Arial"/>
          <w:sz w:val="16"/>
          <w:szCs w:val="16"/>
          <w:color w:val="auto"/>
        </w:rPr>
        <w:t>For the year ended December 31, 2020, total investment income was $85.1 million, an increase of $8.0 million or 10.4%, from the $77.1 million of total investment income for the year ended December 31, 2019. As reflected in the table above, the increase is primarily attributable to the following:</w:t>
      </w:r>
    </w:p>
    <w:p>
      <w:pPr>
        <w:spacing w:after="0" w:line="70" w:lineRule="exact"/>
        <w:rPr>
          <w:sz w:val="20"/>
          <w:szCs w:val="20"/>
          <w:color w:val="auto"/>
        </w:rPr>
      </w:pPr>
    </w:p>
    <w:p>
      <w:pPr>
        <w:ind w:left="1140" w:hanging="383"/>
        <w:spacing w:after="0" w:line="291" w:lineRule="auto"/>
        <w:tabs>
          <w:tab w:leader="none" w:pos="1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$6.9 million increase in total interest income (which includes a $4.4 million decrease in payment-in-kind interest income) resulting from higher weighted average debt yield and higher average debt investment balances outstanding, during 2020 as compared to 2019.</w:t>
      </w:r>
    </w:p>
    <w:p>
      <w:pPr>
        <w:spacing w:after="0" w:line="92" w:lineRule="exact"/>
        <w:rPr>
          <w:rFonts w:ascii="Arial" w:cs="Arial" w:eastAsia="Arial" w:hAnsi="Arial"/>
          <w:sz w:val="17"/>
          <w:szCs w:val="17"/>
          <w:color w:val="auto"/>
        </w:rPr>
      </w:pPr>
    </w:p>
    <w:p>
      <w:pPr>
        <w:ind w:left="1140" w:hanging="383"/>
        <w:spacing w:after="0" w:line="261"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 million increase in dividend income, during 2020 as compared to 2019, due to increased levels of distributions received from equity investments.</w:t>
      </w:r>
    </w:p>
    <w:p>
      <w:pPr>
        <w:spacing w:after="0" w:line="116"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$0.2 million increase in fee income resulting from an increase in debt amendment fee income partially offset by a decrease in origination and prepayment fees income during 2020 as compared to 2019.</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Expenses</w:t>
      </w:r>
    </w:p>
    <w:p>
      <w:pPr>
        <w:spacing w:after="0" w:line="158" w:lineRule="exact"/>
        <w:rPr>
          <w:sz w:val="20"/>
          <w:szCs w:val="20"/>
          <w:color w:val="auto"/>
        </w:rPr>
      </w:pPr>
    </w:p>
    <w:p>
      <w:pPr>
        <w:jc w:val="both"/>
        <w:ind w:firstLine="478"/>
        <w:spacing w:after="0" w:line="324" w:lineRule="auto"/>
        <w:rPr>
          <w:sz w:val="20"/>
          <w:szCs w:val="20"/>
          <w:color w:val="auto"/>
        </w:rPr>
      </w:pPr>
      <w:r>
        <w:rPr>
          <w:rFonts w:ascii="Arial" w:cs="Arial" w:eastAsia="Arial" w:hAnsi="Arial"/>
          <w:sz w:val="16"/>
          <w:szCs w:val="16"/>
          <w:color w:val="auto"/>
        </w:rPr>
        <w:t>Below is a summary of the changes in total expenses, including income tax provision, for the years ended December 31, 2021, 2020, and 2019, as well as a comparison of those periods year-over-year (dollars in millions, percent change calculated based on underlying dollar amounts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7"/>
          </w:tcPr>
          <w:p>
            <w:pPr>
              <w:jc w:val="right"/>
              <w:ind w:right="228"/>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5"/>
          </w:tcPr>
          <w:p>
            <w:pPr>
              <w:ind w:left="500"/>
              <w:spacing w:after="0"/>
              <w:rPr>
                <w:sz w:val="20"/>
                <w:szCs w:val="20"/>
                <w:color w:val="auto"/>
              </w:rPr>
            </w:pPr>
            <w:r>
              <w:rPr>
                <w:rFonts w:ascii="Arial" w:cs="Arial" w:eastAsia="Arial" w:hAnsi="Arial"/>
                <w:sz w:val="14"/>
                <w:szCs w:val="14"/>
                <w:b w:val="1"/>
                <w:bCs w:val="1"/>
                <w:color w:val="auto"/>
              </w:rPr>
              <w:t>2021 vs. 2020</w:t>
            </w:r>
          </w:p>
        </w:tc>
        <w:tc>
          <w:tcPr>
            <w:tcW w:w="80" w:type="dxa"/>
            <w:vAlign w:val="bottom"/>
          </w:tcPr>
          <w:p>
            <w:pPr>
              <w:spacing w:after="0"/>
              <w:rPr>
                <w:sz w:val="16"/>
                <w:szCs w:val="16"/>
                <w:color w:val="auto"/>
              </w:rPr>
            </w:pPr>
          </w:p>
        </w:tc>
        <w:tc>
          <w:tcPr>
            <w:tcW w:w="2300" w:type="dxa"/>
            <w:vAlign w:val="bottom"/>
            <w:gridSpan w:val="5"/>
          </w:tcPr>
          <w:p>
            <w:pPr>
              <w:jc w:val="right"/>
              <w:ind w:right="848"/>
              <w:spacing w:after="0"/>
              <w:rPr>
                <w:sz w:val="20"/>
                <w:szCs w:val="20"/>
                <w:color w:val="auto"/>
              </w:rPr>
            </w:pPr>
            <w:r>
              <w:rPr>
                <w:rFonts w:ascii="Arial" w:cs="Arial" w:eastAsia="Arial" w:hAnsi="Arial"/>
                <w:sz w:val="14"/>
                <w:szCs w:val="14"/>
                <w:b w:val="1"/>
                <w:bCs w:val="1"/>
                <w:color w:val="auto"/>
              </w:rPr>
              <w:t>2020 vs. 2019</w:t>
            </w:r>
          </w:p>
        </w:tc>
      </w:tr>
      <w:tr>
        <w:trPr>
          <w:trHeight w:val="169"/>
        </w:trPr>
        <w:tc>
          <w:tcPr>
            <w:tcW w:w="40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w w:val="88"/>
              </w:rPr>
              <w:t>$ Change</w:t>
            </w:r>
          </w:p>
        </w:tc>
        <w:tc>
          <w:tcPr>
            <w:tcW w:w="1000" w:type="dxa"/>
            <w:vAlign w:val="bottom"/>
            <w:tcBorders>
              <w:top w:val="single" w:sz="8" w:color="auto"/>
            </w:tcBorders>
          </w:tcPr>
          <w:p>
            <w:pPr>
              <w:jc w:val="right"/>
              <w:ind w:right="28"/>
              <w:spacing w:after="0" w:line="169"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 Change</w:t>
            </w:r>
          </w:p>
        </w:tc>
        <w:tc>
          <w:tcPr>
            <w:tcW w:w="1120" w:type="dxa"/>
            <w:vAlign w:val="bottom"/>
            <w:tcBorders>
              <w:top w:val="single" w:sz="8" w:color="auto"/>
            </w:tcBorders>
          </w:tcPr>
          <w:p>
            <w:pPr>
              <w:jc w:val="right"/>
              <w:ind w:right="88"/>
              <w:spacing w:after="0" w:line="169"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w:t>
            </w:r>
          </w:p>
        </w:tc>
        <w:tc>
          <w:tcPr>
            <w:tcW w:w="280" w:type="dxa"/>
            <w:vAlign w:val="bottom"/>
          </w:tcPr>
          <w:p>
            <w:pPr>
              <w:spacing w:after="0"/>
              <w:rPr>
                <w:sz w:val="14"/>
                <w:szCs w:val="14"/>
                <w:color w:val="auto"/>
              </w:rPr>
            </w:pPr>
          </w:p>
        </w:tc>
      </w:tr>
      <w:tr>
        <w:trPr>
          <w:trHeight w:val="169"/>
        </w:trPr>
        <w:tc>
          <w:tcPr>
            <w:tcW w:w="4060" w:type="dxa"/>
            <w:vAlign w:val="bottom"/>
          </w:tcPr>
          <w:p>
            <w:pPr>
              <w:ind w:left="20"/>
              <w:spacing w:after="0"/>
              <w:rPr>
                <w:sz w:val="20"/>
                <w:szCs w:val="20"/>
                <w:color w:val="auto"/>
              </w:rPr>
            </w:pPr>
            <w:r>
              <w:rPr>
                <w:rFonts w:ascii="Arial" w:cs="Arial" w:eastAsia="Arial" w:hAnsi="Arial"/>
                <w:sz w:val="14"/>
                <w:szCs w:val="14"/>
                <w:color w:val="auto"/>
              </w:rPr>
              <w:t>Interest and financing expenses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2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w w:val="96"/>
              </w:rPr>
              <w:t>%</w:t>
            </w:r>
          </w:p>
        </w:tc>
      </w:tr>
      <w:tr>
        <w:trPr>
          <w:trHeight w:val="175"/>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Base management fee</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NM</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4.3 %</w:t>
            </w:r>
          </w:p>
        </w:tc>
      </w:tr>
      <w:tr>
        <w:trPr>
          <w:trHeight w:val="176"/>
        </w:trPr>
        <w:tc>
          <w:tcPr>
            <w:tcW w:w="4060" w:type="dxa"/>
            <w:vAlign w:val="bottom"/>
          </w:tcPr>
          <w:p>
            <w:pPr>
              <w:ind w:left="20"/>
              <w:spacing w:after="0"/>
              <w:rPr>
                <w:sz w:val="20"/>
                <w:szCs w:val="20"/>
                <w:color w:val="auto"/>
              </w:rPr>
            </w:pPr>
            <w:r>
              <w:rPr>
                <w:rFonts w:ascii="Arial" w:cs="Arial" w:eastAsia="Arial" w:hAnsi="Arial"/>
                <w:sz w:val="14"/>
                <w:szCs w:val="14"/>
                <w:color w:val="auto"/>
              </w:rPr>
              <w:t>Incentive fee - income</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4"/>
                <w:szCs w:val="14"/>
                <w:color w:val="auto"/>
              </w:rPr>
              <w:t>14.7 %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68"/>
              <w:spacing w:after="0"/>
              <w:rPr>
                <w:sz w:val="20"/>
                <w:szCs w:val="20"/>
                <w:color w:val="auto"/>
              </w:rPr>
            </w:pPr>
            <w:r>
              <w:rPr>
                <w:rFonts w:ascii="Arial" w:cs="Arial" w:eastAsia="Arial" w:hAnsi="Arial"/>
                <w:sz w:val="14"/>
                <w:szCs w:val="14"/>
                <w:color w:val="auto"/>
              </w:rPr>
              <w:t>20.2 %</w:t>
            </w:r>
          </w:p>
        </w:tc>
      </w:tr>
      <w:tr>
        <w:trPr>
          <w:trHeight w:val="175"/>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fee - capital gains</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(1180.5 %)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(151.0 %)</w:t>
            </w:r>
          </w:p>
        </w:tc>
      </w:tr>
      <w:tr>
        <w:trPr>
          <w:trHeight w:val="176"/>
        </w:trPr>
        <w:tc>
          <w:tcPr>
            <w:tcW w:w="4060" w:type="dxa"/>
            <w:vAlign w:val="bottom"/>
          </w:tcPr>
          <w:p>
            <w:pPr>
              <w:ind w:left="20"/>
              <w:spacing w:after="0"/>
              <w:rPr>
                <w:sz w:val="20"/>
                <w:szCs w:val="20"/>
                <w:color w:val="auto"/>
              </w:rPr>
            </w:pPr>
            <w:r>
              <w:rPr>
                <w:rFonts w:ascii="Arial" w:cs="Arial" w:eastAsia="Arial" w:hAnsi="Arial"/>
                <w:sz w:val="14"/>
                <w:szCs w:val="14"/>
                <w:color w:val="auto"/>
              </w:rPr>
              <w:t>Administrative service expenses</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3"/>
          </w:tcPr>
          <w:p>
            <w:pPr>
              <w:ind w:left="760"/>
              <w:spacing w:after="0"/>
              <w:rPr>
                <w:sz w:val="20"/>
                <w:szCs w:val="20"/>
                <w:color w:val="auto"/>
              </w:rPr>
            </w:pPr>
            <w:r>
              <w:rPr>
                <w:rFonts w:ascii="Arial" w:cs="Arial" w:eastAsia="Arial" w:hAnsi="Arial"/>
                <w:sz w:val="14"/>
                <w:szCs w:val="14"/>
                <w:color w:val="auto"/>
              </w:rPr>
              <w:t>NM</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68"/>
              <w:spacing w:after="0"/>
              <w:rPr>
                <w:sz w:val="20"/>
                <w:szCs w:val="20"/>
                <w:color w:val="auto"/>
              </w:rPr>
            </w:pPr>
            <w:r>
              <w:rPr>
                <w:rFonts w:ascii="Arial" w:cs="Arial" w:eastAsia="Arial" w:hAnsi="Arial"/>
                <w:sz w:val="14"/>
                <w:szCs w:val="14"/>
                <w:color w:val="auto"/>
              </w:rPr>
              <w:t>8.7 %</w:t>
            </w:r>
          </w:p>
        </w:tc>
      </w:tr>
      <w:tr>
        <w:trPr>
          <w:trHeight w:val="175"/>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(0.8 )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(36.5 %)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34.6 %</w:t>
            </w:r>
          </w:p>
        </w:tc>
      </w:tr>
      <w:tr>
        <w:trPr>
          <w:trHeight w:val="176"/>
        </w:trPr>
        <w:tc>
          <w:tcPr>
            <w:tcW w:w="4060" w:type="dxa"/>
            <w:vAlign w:val="bottom"/>
          </w:tcPr>
          <w:p>
            <w:pPr>
              <w:ind w:left="20"/>
              <w:spacing w:after="0"/>
              <w:rPr>
                <w:sz w:val="20"/>
                <w:szCs w:val="20"/>
                <w:color w:val="auto"/>
              </w:rPr>
            </w:pPr>
            <w:r>
              <w:rPr>
                <w:rFonts w:ascii="Arial" w:cs="Arial" w:eastAsia="Arial" w:hAnsi="Arial"/>
                <w:sz w:val="14"/>
                <w:szCs w:val="14"/>
                <w:color w:val="auto"/>
              </w:rPr>
              <w:t>Other general and administrative expenses</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5"/>
                <w:szCs w:val="15"/>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4"/>
                <w:szCs w:val="14"/>
                <w:color w:val="auto"/>
              </w:rPr>
              <w:t>7.3 %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08"/>
              <w:spacing w:after="0"/>
              <w:rPr>
                <w:sz w:val="20"/>
                <w:szCs w:val="20"/>
                <w:color w:val="auto"/>
              </w:rPr>
            </w:pPr>
            <w:r>
              <w:rPr>
                <w:rFonts w:ascii="Arial" w:cs="Arial" w:eastAsia="Arial" w:hAnsi="Arial"/>
                <w:sz w:val="14"/>
                <w:szCs w:val="14"/>
                <w:color w:val="auto"/>
              </w:rPr>
              <w:t>NM</w:t>
            </w:r>
          </w:p>
        </w:tc>
      </w:tr>
      <w:tr>
        <w:trPr>
          <w:trHeight w:val="137"/>
        </w:trPr>
        <w:tc>
          <w:tcPr>
            <w:tcW w:w="40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w w:val="96"/>
              </w:rPr>
              <w:t>Total expenses before base management and income incentive fee</w:t>
            </w: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81"/>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waivers</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44.3 %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0.9 %</w:t>
            </w:r>
          </w:p>
        </w:tc>
      </w:tr>
      <w:tr>
        <w:trPr>
          <w:trHeight w:val="175"/>
        </w:trPr>
        <w:tc>
          <w:tcPr>
            <w:tcW w:w="4060" w:type="dxa"/>
            <w:vAlign w:val="bottom"/>
          </w:tcPr>
          <w:p>
            <w:pPr>
              <w:ind w:left="20"/>
              <w:spacing w:after="0"/>
              <w:rPr>
                <w:sz w:val="20"/>
                <w:szCs w:val="20"/>
                <w:color w:val="auto"/>
              </w:rPr>
            </w:pPr>
            <w:r>
              <w:rPr>
                <w:rFonts w:ascii="Arial" w:cs="Arial" w:eastAsia="Arial" w:hAnsi="Arial"/>
                <w:sz w:val="14"/>
                <w:szCs w:val="14"/>
                <w:color w:val="auto"/>
              </w:rPr>
              <w:t>Base management and income incentive fee waivers</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(0.2 )</w:t>
            </w:r>
          </w:p>
        </w:tc>
        <w:tc>
          <w:tcPr>
            <w:tcW w:w="1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(0.4 )</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(58.4 %)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(0.4 )</w:t>
            </w:r>
          </w:p>
        </w:tc>
        <w:tc>
          <w:tcPr>
            <w:tcW w:w="120" w:type="dxa"/>
            <w:vAlign w:val="bottom"/>
          </w:tcPr>
          <w:p>
            <w:pPr>
              <w:spacing w:after="0"/>
              <w:rPr>
                <w:sz w:val="15"/>
                <w:szCs w:val="15"/>
                <w:color w:val="auto"/>
              </w:rPr>
            </w:pPr>
          </w:p>
        </w:tc>
        <w:tc>
          <w:tcPr>
            <w:tcW w:w="1400" w:type="dxa"/>
            <w:vAlign w:val="bottom"/>
            <w:gridSpan w:val="2"/>
          </w:tcPr>
          <w:p>
            <w:pPr>
              <w:jc w:val="right"/>
              <w:ind w:right="208"/>
              <w:spacing w:after="0"/>
              <w:rPr>
                <w:sz w:val="20"/>
                <w:szCs w:val="20"/>
                <w:color w:val="auto"/>
              </w:rPr>
            </w:pPr>
            <w:r>
              <w:rPr>
                <w:rFonts w:ascii="Arial" w:cs="Arial" w:eastAsia="Arial" w:hAnsi="Arial"/>
                <w:sz w:val="14"/>
                <w:szCs w:val="14"/>
                <w:color w:val="auto"/>
              </w:rPr>
              <w:t>NM</w:t>
            </w:r>
          </w:p>
        </w:tc>
      </w:tr>
      <w:tr>
        <w:trPr>
          <w:trHeight w:val="16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Total expenses, net of base management and incentive fee waivers</w:t>
            </w: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2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80" w:type="dxa"/>
            <w:vAlign w:val="bottom"/>
            <w:shd w:val="clear" w:color="auto" w:fill="CCEEFF"/>
          </w:tcPr>
          <w:p>
            <w:pPr>
              <w:spacing w:after="0"/>
              <w:rPr>
                <w:sz w:val="14"/>
                <w:szCs w:val="14"/>
                <w:color w:val="auto"/>
              </w:rPr>
            </w:pPr>
          </w:p>
        </w:tc>
      </w:tr>
      <w:tr>
        <w:trPr>
          <w:trHeight w:val="175"/>
        </w:trPr>
        <w:tc>
          <w:tcPr>
            <w:tcW w:w="4060" w:type="dxa"/>
            <w:vAlign w:val="bottom"/>
          </w:tcPr>
          <w:p>
            <w:pPr>
              <w:ind w:left="20"/>
              <w:spacing w:after="0"/>
              <w:rPr>
                <w:sz w:val="20"/>
                <w:szCs w:val="20"/>
                <w:color w:val="auto"/>
              </w:rPr>
            </w:pPr>
            <w:r>
              <w:rPr>
                <w:rFonts w:ascii="Arial" w:cs="Arial" w:eastAsia="Arial" w:hAnsi="Arial"/>
                <w:sz w:val="14"/>
                <w:szCs w:val="14"/>
                <w:color w:val="auto"/>
              </w:rPr>
              <w:t>Income tax provision</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(0.4 )</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(41.0 %)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68"/>
              <w:spacing w:after="0"/>
              <w:rPr>
                <w:sz w:val="20"/>
                <w:szCs w:val="20"/>
                <w:color w:val="auto"/>
              </w:rPr>
            </w:pPr>
            <w:r>
              <w:rPr>
                <w:rFonts w:ascii="Arial" w:cs="Arial" w:eastAsia="Arial" w:hAnsi="Arial"/>
                <w:sz w:val="14"/>
                <w:szCs w:val="14"/>
                <w:color w:val="auto"/>
              </w:rPr>
              <w:t>72.4 %</w:t>
            </w:r>
          </w:p>
        </w:tc>
      </w:tr>
      <w:tr>
        <w:trPr>
          <w:trHeight w:val="209"/>
        </w:trPr>
        <w:tc>
          <w:tcPr>
            <w:tcW w:w="40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 expenses, including income tax provision</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65.3</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45.5</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45.1</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19.8</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43.7</w:t>
            </w:r>
          </w:p>
        </w:tc>
        <w:tc>
          <w:tcPr>
            <w:tcW w:w="2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0.7</w:t>
            </w:r>
          </w:p>
        </w:tc>
        <w:tc>
          <w:tcPr>
            <w:tcW w:w="280" w:type="dxa"/>
            <w:vAlign w:val="bottom"/>
            <w:tcBorders>
              <w:bottom w:val="single" w:sz="8" w:color="CCEEFF"/>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-24765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1543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1543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1714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1714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NM = Not meaningful</w:t>
      </w:r>
    </w:p>
    <w:p>
      <w:pPr>
        <w:spacing w:after="0" w:line="167"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For the year ended December 31, 2021, total expenses, including income tax provision, were $65.3 million, an increase of $19.8 million or 43.7%, from the $45.5 million of total expenses, including income tax provision, for the year ended December 31, 2020. As reflected in the table above, the increase is primarily attributable to the following:</w:t>
      </w:r>
    </w:p>
    <w:p>
      <w:pPr>
        <w:spacing w:after="0" w:line="128" w:lineRule="exact"/>
        <w:rPr>
          <w:sz w:val="20"/>
          <w:szCs w:val="20"/>
          <w:color w:val="auto"/>
        </w:rPr>
      </w:pPr>
    </w:p>
    <w:p>
      <w:pPr>
        <w:ind w:left="1280" w:hanging="367"/>
        <w:spacing w:after="0" w:line="324" w:lineRule="auto"/>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$19.9 million increase in the capital gains incentive fee due to a $103.4 million increase in net gain on investments (net realized gains (losses) plus net change in unrealized appreciation (depreciation) on investments) during 2021, as compared to the same period in 2020.</w:t>
      </w:r>
    </w:p>
    <w:p>
      <w:pPr>
        <w:spacing w:after="0" w:line="70" w:lineRule="exact"/>
        <w:rPr>
          <w:rFonts w:ascii="Arial" w:cs="Arial" w:eastAsia="Arial" w:hAnsi="Arial"/>
          <w:sz w:val="16"/>
          <w:szCs w:val="16"/>
          <w:color w:val="auto"/>
        </w:rPr>
      </w:pPr>
    </w:p>
    <w:p>
      <w:pPr>
        <w:ind w:left="1280" w:right="20" w:hanging="367"/>
        <w:spacing w:after="0" w:line="261"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$1.7 million net increase in the income incentive fee due to a $5.0 million increase in pre-incentive fee net investment income during 2021 and a one-time $0.4 income incentive fee waiver in 2020, as compared to the same period in 2020.</w:t>
      </w:r>
    </w:p>
    <w:p>
      <w:pPr>
        <w:spacing w:after="0" w:line="116" w:lineRule="exact"/>
        <w:rPr>
          <w:rFonts w:ascii="Arial" w:cs="Arial" w:eastAsia="Arial" w:hAnsi="Arial"/>
          <w:sz w:val="18"/>
          <w:szCs w:val="18"/>
          <w:color w:val="auto"/>
        </w:rPr>
      </w:pPr>
    </w:p>
    <w:p>
      <w:pPr>
        <w:ind w:left="1280" w:hanging="367"/>
        <w:spacing w:after="0" w:line="261"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$0.5 million decrease in interest and financing expenses due to a decrease in average borrowings outstanding and a decrease in weighted average interest rate on borrowings during 2021 as compared to 2020.</w:t>
      </w:r>
    </w:p>
    <w:p>
      <w:pPr>
        <w:spacing w:after="0" w:line="116" w:lineRule="exact"/>
        <w:rPr>
          <w:rFonts w:ascii="Arial" w:cs="Arial" w:eastAsia="Arial" w:hAnsi="Arial"/>
          <w:sz w:val="18"/>
          <w:szCs w:val="18"/>
          <w:color w:val="auto"/>
        </w:rPr>
      </w:pPr>
    </w:p>
    <w:p>
      <w:pPr>
        <w:ind w:left="1280" w:hanging="367"/>
        <w:spacing w:after="0"/>
        <w:tabs>
          <w:tab w:leader="none" w:pos="1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$0.8 million decrease in professional fees due to decreased legal, audit and tax compliance costs during 2021 as compared to 2020.</w:t>
      </w:r>
    </w:p>
    <w:p>
      <w:pPr>
        <w:spacing w:after="0" w:line="169"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For the year ended December 31, 2020, total expenses, including income tax provision, were $45.5 million, an increase of $0.4 million or 0.7%, from the $45.1 million of total expenses, including income tax provision, for the year ended December 31, 2019. As reflected in the table above, the increase is primarily attributable to the following:</w:t>
      </w:r>
    </w:p>
    <w:p>
      <w:pPr>
        <w:spacing w:after="0" w:line="128" w:lineRule="exact"/>
        <w:rPr>
          <w:sz w:val="20"/>
          <w:szCs w:val="20"/>
          <w:color w:val="auto"/>
        </w:rPr>
      </w:pPr>
    </w:p>
    <w:p>
      <w:pPr>
        <w:ind w:left="1280" w:hanging="367"/>
        <w:spacing w:after="0" w:line="244"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$2.6 million increase in interest and financing expenses due to an increase in average borrowings outstanding and an increase in weighted average interest rate on borrowings during 2020 as compared to 2019.</w:t>
      </w: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6" w:name="page67"/>
    <w:bookmarkEnd w:id="66"/>
    <w:p>
      <w:pPr>
        <w:jc w:val="both"/>
        <w:ind w:left="1280" w:hanging="367"/>
        <w:spacing w:after="0" w:line="248" w:lineRule="auto"/>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$1.2 million net increase in the income incentive fee comprised of a $1.6 million increase in the income incentive fee due to a $4.4 million increase in pre-incentive fee net investment income during 2020 offset by a one-time $0.4 million income incentive fee waiver, as compared to the same period in 2019.</w:t>
      </w:r>
    </w:p>
    <w:p>
      <w:pPr>
        <w:spacing w:after="0" w:line="127" w:lineRule="exact"/>
        <w:rPr>
          <w:rFonts w:ascii="Arial" w:cs="Arial" w:eastAsia="Arial" w:hAnsi="Arial"/>
          <w:sz w:val="18"/>
          <w:szCs w:val="18"/>
          <w:color w:val="auto"/>
        </w:rPr>
      </w:pPr>
    </w:p>
    <w:p>
      <w:pPr>
        <w:ind w:left="1280" w:hanging="367"/>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$0.6 million increase in professional fees during 2020 as compared to 2019.</w:t>
      </w:r>
    </w:p>
    <w:p>
      <w:pPr>
        <w:spacing w:after="0" w:line="157" w:lineRule="exact"/>
        <w:rPr>
          <w:rFonts w:ascii="Arial" w:cs="Arial" w:eastAsia="Arial" w:hAnsi="Arial"/>
          <w:sz w:val="18"/>
          <w:szCs w:val="18"/>
          <w:color w:val="auto"/>
        </w:rPr>
      </w:pPr>
    </w:p>
    <w:p>
      <w:pPr>
        <w:ind w:left="1280" w:hanging="367"/>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$0.5 million increase in base management fee due to higher average total assets during 2020 as compared to 2019.</w:t>
      </w:r>
    </w:p>
    <w:p>
      <w:pPr>
        <w:spacing w:after="0" w:line="157" w:lineRule="exact"/>
        <w:rPr>
          <w:rFonts w:ascii="Arial" w:cs="Arial" w:eastAsia="Arial" w:hAnsi="Arial"/>
          <w:sz w:val="18"/>
          <w:szCs w:val="18"/>
          <w:color w:val="auto"/>
        </w:rPr>
      </w:pPr>
    </w:p>
    <w:p>
      <w:pPr>
        <w:ind w:left="1280" w:hanging="367"/>
        <w:spacing w:after="0" w:line="324" w:lineRule="auto"/>
        <w:tabs>
          <w:tab w:leader="none" w:pos="1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$5.0 million decrease in the capital gains incentive fee due to a $25.0 million decrease in net gain on investments (net realized gains (losses) plus net change in unrealized appreciation (depreciation) on investments) during 2020, as compared to the same period in 2019.</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Net Investment Income</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Net investment income was $25.1 million, $39.6 million, and $32.0 million for the years ended December 31, 2021, 2020, and 2019, respectively.</w:t>
      </w:r>
    </w:p>
    <w:p>
      <w:pPr>
        <w:spacing w:after="0" w:line="181"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Net investment income decreased by $14.5 million, or 36.6%, during fiscal 2021 as compared to fiscal 2020, as a result of the $19.8 million increase in total expenses, including the base management and income incentive fee waivers and income tax provision, partially offset by the $5.3 million increase in total investment income.</w:t>
      </w:r>
    </w:p>
    <w:p>
      <w:pPr>
        <w:spacing w:after="0" w:line="128" w:lineRule="exact"/>
        <w:rPr>
          <w:sz w:val="20"/>
          <w:szCs w:val="20"/>
          <w:color w:val="auto"/>
        </w:rPr>
      </w:pPr>
    </w:p>
    <w:p>
      <w:pPr>
        <w:jc w:val="both"/>
        <w:ind w:firstLine="478"/>
        <w:spacing w:after="0" w:line="324" w:lineRule="auto"/>
        <w:rPr>
          <w:sz w:val="20"/>
          <w:szCs w:val="20"/>
          <w:color w:val="auto"/>
        </w:rPr>
      </w:pPr>
      <w:r>
        <w:rPr>
          <w:rFonts w:ascii="Arial" w:cs="Arial" w:eastAsia="Arial" w:hAnsi="Arial"/>
          <w:sz w:val="16"/>
          <w:szCs w:val="16"/>
          <w:color w:val="auto"/>
        </w:rPr>
        <w:t>Net investment income increased by $7.6 million, or 24.0%, during fiscal 2020 as compared to fiscal 2019, as a result of the $8.0 million increase in total investment income compared to a $0.4 million increase in total expenses, including the income incentive fee waiver and income tax provision.</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Net Gain (Loss) on Investments</w:t>
      </w:r>
    </w:p>
    <w:p>
      <w:pPr>
        <w:spacing w:after="0" w:line="158" w:lineRule="exact"/>
        <w:rPr>
          <w:sz w:val="20"/>
          <w:szCs w:val="20"/>
          <w:color w:val="auto"/>
        </w:rPr>
      </w:pPr>
    </w:p>
    <w:p>
      <w:pPr>
        <w:jc w:val="both"/>
        <w:ind w:firstLine="479"/>
        <w:spacing w:after="0" w:line="243" w:lineRule="auto"/>
        <w:rPr>
          <w:sz w:val="20"/>
          <w:szCs w:val="20"/>
          <w:color w:val="auto"/>
        </w:rPr>
      </w:pPr>
      <w:r>
        <w:rPr>
          <w:rFonts w:ascii="Arial" w:cs="Arial" w:eastAsia="Arial" w:hAnsi="Arial"/>
          <w:sz w:val="18"/>
          <w:szCs w:val="18"/>
          <w:color w:val="auto"/>
        </w:rPr>
        <w:t>For the year ended December 31, 2021, the total net realized gain/(loss) on investments, before income tax (provision)/benefit, was $55.8 million. Income tax (provision)/benefit from realized gains on investments was $(2.1) million for the year ended December 31, 2021. We realize a gain/(loss) on our equity investments primarily when we either sell our equity investment or the underlying portfolio company is sold. Significant realized gains (losses) for the year ended December 31, 2021 are summarized below (dollars in millions):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4900" w:type="dxa"/>
            <w:vAlign w:val="bottom"/>
            <w:vMerge w:val="restart"/>
          </w:tcPr>
          <w:p>
            <w:pPr>
              <w:ind w:left="2600"/>
              <w:spacing w:after="0"/>
              <w:rPr>
                <w:sz w:val="20"/>
                <w:szCs w:val="20"/>
                <w:color w:val="auto"/>
              </w:rPr>
            </w:pPr>
            <w:r>
              <w:rPr>
                <w:rFonts w:ascii="Arial" w:cs="Arial" w:eastAsia="Arial" w:hAnsi="Arial"/>
                <w:sz w:val="18"/>
                <w:szCs w:val="18"/>
                <w:b w:val="1"/>
                <w:bCs w:val="1"/>
                <w:color w:val="auto"/>
              </w:rPr>
              <w:t xml:space="preserve">Realization Event </w:t>
            </w:r>
            <w:r>
              <w:rPr>
                <w:rFonts w:ascii="Arial" w:cs="Arial" w:eastAsia="Arial" w:hAnsi="Arial"/>
                <w:sz w:val="24"/>
                <w:szCs w:val="24"/>
                <w:b w:val="1"/>
                <w:bCs w:val="1"/>
                <w:color w:val="auto"/>
                <w:vertAlign w:val="superscript"/>
              </w:rPr>
              <w:t>(1)</w:t>
            </w:r>
          </w:p>
        </w:tc>
        <w:tc>
          <w:tcPr>
            <w:tcW w:w="186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Net Realized</w:t>
            </w:r>
          </w:p>
        </w:tc>
        <w:tc>
          <w:tcPr>
            <w:tcW w:w="0" w:type="dxa"/>
            <w:vAlign w:val="bottom"/>
          </w:tcPr>
          <w:p>
            <w:pPr>
              <w:spacing w:after="0"/>
              <w:rPr>
                <w:sz w:val="1"/>
                <w:szCs w:val="1"/>
                <w:color w:val="auto"/>
              </w:rPr>
            </w:pPr>
          </w:p>
        </w:tc>
      </w:tr>
      <w:tr>
        <w:trPr>
          <w:trHeight w:val="221"/>
        </w:trPr>
        <w:tc>
          <w:tcPr>
            <w:tcW w:w="408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4900" w:type="dxa"/>
            <w:vAlign w:val="bottom"/>
            <w:vMerge w:val="continue"/>
          </w:tcPr>
          <w:p>
            <w:pPr>
              <w:spacing w:after="0"/>
              <w:rPr>
                <w:sz w:val="19"/>
                <w:szCs w:val="19"/>
                <w:color w:val="auto"/>
              </w:rPr>
            </w:pPr>
          </w:p>
        </w:tc>
        <w:tc>
          <w:tcPr>
            <w:tcW w:w="1860" w:type="dxa"/>
            <w:vAlign w:val="bottom"/>
          </w:tcPr>
          <w:p>
            <w:pPr>
              <w:jc w:val="center"/>
              <w:ind w:left="670"/>
              <w:spacing w:after="0"/>
              <w:rPr>
                <w:sz w:val="20"/>
                <w:szCs w:val="20"/>
                <w:color w:val="auto"/>
              </w:rPr>
            </w:pPr>
            <w:r>
              <w:rPr>
                <w:rFonts w:ascii="Arial" w:cs="Arial" w:eastAsia="Arial" w:hAnsi="Arial"/>
                <w:sz w:val="18"/>
                <w:szCs w:val="18"/>
                <w:b w:val="1"/>
                <w:bCs w:val="1"/>
                <w:color w:val="auto"/>
                <w:w w:val="85"/>
              </w:rPr>
              <w:t>Gains (Losses)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0</wp:posOffset>
            </wp:positionV>
            <wp:extent cx="10801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tbl>
      <w:tblPr>
        <w:tblLayout w:type="fixed"/>
        <w:tblInd w:w="0" w:type="dxa"/>
        <w:tblCellMar>
          <w:top w:w="0" w:type="dxa"/>
          <w:left w:w="0" w:type="dxa"/>
          <w:bottom w:w="0" w:type="dxa"/>
          <w:right w:w="0" w:type="dxa"/>
        </w:tblCellMar>
      </w:tblPr>
      <w:tr>
        <w:trPr>
          <w:trHeight w:val="182"/>
        </w:trPr>
        <w:tc>
          <w:tcPr>
            <w:tcW w:w="54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Mesa Line Services, LLC</w:t>
            </w:r>
          </w:p>
        </w:tc>
        <w:tc>
          <w:tcPr>
            <w:tcW w:w="260" w:type="dxa"/>
            <w:vAlign w:val="bottom"/>
          </w:tcPr>
          <w:p>
            <w:pPr>
              <w:spacing w:after="0"/>
              <w:rPr>
                <w:sz w:val="15"/>
                <w:szCs w:val="15"/>
                <w:color w:val="auto"/>
              </w:rPr>
            </w:pPr>
          </w:p>
        </w:tc>
        <w:tc>
          <w:tcPr>
            <w:tcW w:w="34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Sale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Pool &amp; Electrical Products,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Sale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Revenue Management Solutions,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LNG Indy, LLC (dba Kinetrex Energy)</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Worldwide Express Operations,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Sale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BCM One Group Holdings,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Sale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Wheel Pros,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Alzheimer's Research and Treatment Center,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Allied 100 Group,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Software Technology,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Specialized Elevator Services Holdings,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Spectra A&amp;D Acquisition, Inc. (fka FDS Avionics Corp.)</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Sale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Rohrer Corporation</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B&amp;B Roadway and Security Solutions,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Sale of portfolio company</w:t>
            </w:r>
          </w:p>
        </w:tc>
      </w:tr>
      <w:tr>
        <w:trPr>
          <w:trHeight w:val="202"/>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Fiber Materials,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New Era Technology,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Pugh Lubricants, LLC</w:t>
            </w:r>
          </w:p>
        </w:tc>
        <w:tc>
          <w:tcPr>
            <w:tcW w:w="2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Sale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Hilco Plastics Holdings, LLC (dba Hilco Technologies)</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Net realized gain (loss) on investments</w:t>
            </w: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Income tax provision from realized gains on investments</w:t>
            </w:r>
          </w:p>
        </w:tc>
        <w:tc>
          <w:tcPr>
            <w:tcW w:w="2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20"/>
        </w:trPr>
        <w:tc>
          <w:tcPr>
            <w:tcW w:w="5480" w:type="dxa"/>
            <w:vAlign w:val="bottom"/>
          </w:tcPr>
          <w:p>
            <w:pPr>
              <w:ind w:left="20"/>
              <w:spacing w:after="0"/>
              <w:rPr>
                <w:sz w:val="20"/>
                <w:szCs w:val="20"/>
                <w:color w:val="auto"/>
              </w:rPr>
            </w:pPr>
            <w:r>
              <w:rPr>
                <w:rFonts w:ascii="Arial" w:cs="Arial" w:eastAsia="Arial" w:hAnsi="Arial"/>
                <w:sz w:val="18"/>
                <w:szCs w:val="18"/>
                <w:color w:val="auto"/>
              </w:rPr>
              <w:t>Net realized gain (loss), net of income tax provision, on investments</w:t>
            </w:r>
          </w:p>
        </w:tc>
        <w:tc>
          <w:tcPr>
            <w:tcW w:w="26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-2736850</wp:posOffset>
            </wp:positionV>
            <wp:extent cx="713232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-2479675</wp:posOffset>
            </wp:positionV>
            <wp:extent cx="7132320"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-2222500</wp:posOffset>
            </wp:positionV>
            <wp:extent cx="7132320"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-1708150</wp:posOffset>
            </wp:positionV>
            <wp:extent cx="7132320"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-1450975</wp:posOffset>
            </wp:positionV>
            <wp:extent cx="7132320"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-1193800</wp:posOffset>
            </wp:positionV>
            <wp:extent cx="713232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-936625</wp:posOffset>
            </wp:positionV>
            <wp:extent cx="713232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69" w:hanging="1369"/>
        <w:spacing w:after="0"/>
        <w:tabs>
          <w:tab w:leader="none" w:pos="13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20.4</w:t>
      </w:r>
    </w:p>
    <w:p>
      <w:pPr>
        <w:spacing w:after="0" w:line="10" w:lineRule="exact"/>
        <w:rPr>
          <w:rFonts w:ascii="Arial" w:cs="Arial" w:eastAsia="Arial" w:hAnsi="Arial"/>
          <w:sz w:val="18"/>
          <w:szCs w:val="18"/>
          <w:color w:val="auto"/>
        </w:rPr>
      </w:pP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9.1</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6.4</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4.6</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3.0</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2.5</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2.0</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1.8</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1.8</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1.4</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1.3</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1.0</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0.9</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0.2</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0.1</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0.1</w:t>
      </w:r>
    </w:p>
    <w:p>
      <w:pPr>
        <w:ind w:left="1449"/>
        <w:spacing w:after="0" w:line="234" w:lineRule="auto"/>
        <w:rPr>
          <w:rFonts w:ascii="Arial" w:cs="Arial" w:eastAsia="Arial" w:hAnsi="Arial"/>
          <w:sz w:val="18"/>
          <w:szCs w:val="18"/>
          <w:color w:val="auto"/>
        </w:rPr>
      </w:pPr>
      <w:r>
        <w:rPr>
          <w:rFonts w:ascii="Arial" w:cs="Arial" w:eastAsia="Arial" w:hAnsi="Arial"/>
          <w:sz w:val="18"/>
          <w:szCs w:val="18"/>
          <w:color w:val="auto"/>
        </w:rPr>
        <w:t>0.1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wp:posOffset>
            </wp:positionV>
            <wp:extent cx="10801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ind w:left="1369"/>
        <w:spacing w:after="0"/>
        <w:rPr>
          <w:sz w:val="20"/>
          <w:szCs w:val="20"/>
          <w:color w:val="auto"/>
        </w:rPr>
      </w:pPr>
      <w:r>
        <w:rPr>
          <w:rFonts w:ascii="Arial" w:cs="Arial" w:eastAsia="Arial" w:hAnsi="Arial"/>
          <w:sz w:val="18"/>
          <w:szCs w:val="18"/>
          <w:color w:val="auto"/>
        </w:rPr>
        <w:t>55.8</w:t>
      </w:r>
    </w:p>
    <w:p>
      <w:pPr>
        <w:jc w:val="right"/>
        <w:spacing w:after="0"/>
        <w:rPr>
          <w:sz w:val="20"/>
          <w:szCs w:val="20"/>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wp:posOffset>
            </wp:positionV>
            <wp:extent cx="10801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1369" w:hanging="1369"/>
        <w:spacing w:after="0"/>
        <w:tabs>
          <w:tab w:leader="none" w:pos="13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53.7</w:t>
      </w:r>
    </w:p>
    <w:p>
      <w:pPr>
        <w:spacing w:after="0" w:line="27" w:lineRule="exact"/>
        <w:rPr>
          <w:sz w:val="20"/>
          <w:szCs w:val="20"/>
          <w:color w:val="auto"/>
        </w:rPr>
      </w:pPr>
    </w:p>
    <w:p>
      <w:pPr>
        <w:sectPr>
          <w:pgSz w:w="11900" w:h="16838" w:orient="portrait"/>
          <w:cols w:equalWidth="0" w:num="2">
            <w:col w:w="9220" w:space="251"/>
            <w:col w:w="1769"/>
          </w:cols>
          <w:pgMar w:left="320" w:top="490" w:right="339" w:bottom="1440" w:gutter="0" w:footer="0" w:header="0"/>
          <w:type w:val="continuous"/>
        </w:sectPr>
      </w:pPr>
    </w:p>
    <w:p>
      <w:pPr>
        <w:ind w:left="240" w:right="140" w:hanging="224"/>
        <w:spacing w:after="0" w:line="233" w:lineRule="auto"/>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 As it relates to realization events, we define an 'exit' of a portfolio company as situations where we have completely exited our position in all of the portfolio company's securities and no</w:t>
      </w:r>
      <w:r>
        <w:rPr>
          <w:rFonts w:ascii="Arial" w:cs="Arial" w:eastAsia="Arial" w:hAnsi="Arial"/>
          <w:sz w:val="16"/>
          <w:szCs w:val="16"/>
          <w:color w:val="auto"/>
        </w:rPr>
        <w:t xml:space="preserve"> </w:t>
      </w:r>
      <w:r>
        <w:rPr>
          <w:rFonts w:ascii="Arial" w:cs="Arial" w:eastAsia="Arial" w:hAnsi="Arial"/>
          <w:sz w:val="14"/>
          <w:szCs w:val="14"/>
          <w:color w:val="auto"/>
        </w:rPr>
        <w:t>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49" w:lineRule="exact"/>
        <w:rPr>
          <w:sz w:val="20"/>
          <w:szCs w:val="20"/>
          <w:color w:val="auto"/>
        </w:rPr>
      </w:pPr>
    </w:p>
    <w:p>
      <w:pPr>
        <w:ind w:firstLine="479"/>
        <w:spacing w:after="0" w:line="261" w:lineRule="auto"/>
        <w:rPr>
          <w:sz w:val="20"/>
          <w:szCs w:val="20"/>
          <w:color w:val="auto"/>
        </w:rPr>
      </w:pPr>
      <w:r>
        <w:rPr>
          <w:rFonts w:ascii="Arial" w:cs="Arial" w:eastAsia="Arial" w:hAnsi="Arial"/>
          <w:sz w:val="18"/>
          <w:szCs w:val="18"/>
          <w:color w:val="auto"/>
        </w:rPr>
        <w:t>For the year ended December 31, 2020, the total net realized gain/(loss) on investments, before income tax (provision)/benefit was $(1.0) million. Income tax (provision)/benefit from realized gains on investments was $(0.6) million for the year ended December 31,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67" w:name="page68"/>
    <w:bookmarkEnd w:id="67"/>
    <w:p>
      <w:pPr>
        <w:jc w:val="both"/>
        <w:spacing w:after="0" w:line="294" w:lineRule="auto"/>
        <w:rPr>
          <w:sz w:val="20"/>
          <w:szCs w:val="20"/>
          <w:color w:val="auto"/>
        </w:rPr>
      </w:pPr>
      <w:r>
        <w:rPr>
          <w:rFonts w:ascii="Arial" w:cs="Arial" w:eastAsia="Arial" w:hAnsi="Arial"/>
          <w:sz w:val="16"/>
          <w:szCs w:val="16"/>
          <w:color w:val="auto"/>
        </w:rPr>
        <w:t>2020. We realize a gain/(loss) on our equity investments primarily when we either sell our equity investment or the underlying portfolio company is sold. For the year ended December 31, 2020, we sold 50% of our equity investments in 20 portfolio companies and realized a net gain of approximately $20.3 million as further summarized below. Significant realized gains (losses) for the year ended December 31, 2020 are summarized below (dollars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 xml:space="preserve">Realization Event </w:t>
            </w:r>
            <w:r>
              <w:rPr>
                <w:rFonts w:ascii="Arial" w:cs="Arial" w:eastAsia="Arial" w:hAnsi="Arial"/>
                <w:sz w:val="24"/>
                <w:szCs w:val="24"/>
                <w:b w:val="1"/>
                <w:bCs w:val="1"/>
                <w:color w:val="auto"/>
                <w:vertAlign w:val="superscript"/>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Net Realized</w:t>
            </w:r>
          </w:p>
        </w:tc>
        <w:tc>
          <w:tcPr>
            <w:tcW w:w="0" w:type="dxa"/>
            <w:vAlign w:val="bottom"/>
          </w:tcPr>
          <w:p>
            <w:pPr>
              <w:spacing w:after="0"/>
              <w:rPr>
                <w:sz w:val="1"/>
                <w:szCs w:val="1"/>
                <w:color w:val="auto"/>
              </w:rPr>
            </w:pPr>
          </w:p>
        </w:tc>
      </w:tr>
      <w:tr>
        <w:trPr>
          <w:trHeight w:val="221"/>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Portfolio Company</w:t>
            </w:r>
          </w:p>
        </w:tc>
        <w:tc>
          <w:tcPr>
            <w:tcW w:w="26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Gains (Losses)</w:t>
            </w:r>
          </w:p>
        </w:tc>
        <w:tc>
          <w:tcPr>
            <w:tcW w:w="0" w:type="dxa"/>
            <w:vAlign w:val="bottom"/>
          </w:tcPr>
          <w:p>
            <w:pPr>
              <w:spacing w:after="0"/>
              <w:rPr>
                <w:sz w:val="1"/>
                <w:szCs w:val="1"/>
                <w:color w:val="auto"/>
              </w:rPr>
            </w:pPr>
          </w:p>
        </w:tc>
      </w:tr>
      <w:tr>
        <w:trPr>
          <w:trHeight w:val="196"/>
        </w:trPr>
        <w:tc>
          <w:tcPr>
            <w:tcW w:w="54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Pfanstiehl, Inc.</w:t>
            </w:r>
          </w:p>
        </w:tc>
        <w:tc>
          <w:tcPr>
            <w:tcW w:w="260" w:type="dxa"/>
            <w:vAlign w:val="bottom"/>
          </w:tcPr>
          <w:p>
            <w:pPr>
              <w:spacing w:after="0"/>
              <w:rPr>
                <w:sz w:val="17"/>
                <w:szCs w:val="17"/>
                <w:color w:val="auto"/>
              </w:rPr>
            </w:pPr>
          </w:p>
        </w:tc>
        <w:tc>
          <w:tcPr>
            <w:tcW w:w="34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Sold 50% of equity investment</w:t>
            </w: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Fiber Materials, Inc.</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 of portfolio company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Microbiology Research Associates,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Medsurant Holdings, LLC</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Revenue Management Solutions,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Worldwide Express Operations, LLC</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Gurobi Optimization,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ControlScan, Inc.</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Exit of portfolio company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Pugh Lubricants,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Hub Acquisition Sub, LLC (dba Hub Pen)</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Global Plasma Solutions,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Sale of equity investment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Midwest Transit Equipment, Inc.</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Pinnergy, Ltd.</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Sale of equity investment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Alzheimer's Research and Treatment Center, LLC</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Hoonuit,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BCM One Group Holdings, Inc.</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Software Technology,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LNG Indy, LLC (dba Kinetrex Energy)</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New Era Technology,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Escrow distribution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Wheel Pros, Inc.</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Apex Microtechnology,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Escrow distribution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Allied 100 Group, Inc.</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Restaurant Finance Co,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Escrow distribution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Vanguard Dealer Services, L.L.C.</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Escrow distribution</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Allredi, LLC (fka Marco Group International OpCo,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Palisade Company,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Sold 50% of equity investment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Frontline Food Services, LLC</w:t>
            </w:r>
          </w:p>
        </w:tc>
        <w:tc>
          <w:tcPr>
            <w:tcW w:w="260" w:type="dxa"/>
            <w:vAlign w:val="bottom"/>
            <w:shd w:val="clear" w:color="auto" w:fill="CCEEFF"/>
          </w:tcPr>
          <w:p>
            <w:pPr>
              <w:spacing w:after="0"/>
              <w:rPr>
                <w:sz w:val="14"/>
                <w:szCs w:val="14"/>
                <w:color w:val="auto"/>
              </w:rPr>
            </w:pPr>
          </w:p>
        </w:tc>
        <w:tc>
          <w:tcPr>
            <w:tcW w:w="3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Write-off of debt and equity investments</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(f/k/a Accent Food Services, LLC)</w:t>
            </w:r>
          </w:p>
        </w:tc>
        <w:tc>
          <w:tcPr>
            <w:tcW w:w="260" w:type="dxa"/>
            <w:vAlign w:val="bottom"/>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Pr>
          <w:p>
            <w:pPr>
              <w:ind w:left="20"/>
              <w:spacing w:after="0" w:line="196" w:lineRule="exact"/>
              <w:rPr>
                <w:sz w:val="20"/>
                <w:szCs w:val="20"/>
                <w:color w:val="auto"/>
              </w:rPr>
            </w:pPr>
            <w:r>
              <w:rPr>
                <w:rFonts w:ascii="Arial" w:cs="Arial" w:eastAsia="Arial" w:hAnsi="Arial"/>
                <w:sz w:val="18"/>
                <w:szCs w:val="18"/>
                <w:color w:val="auto"/>
              </w:rPr>
              <w:t>Net realized gain (loss) on investments</w:t>
            </w:r>
          </w:p>
        </w:tc>
        <w:tc>
          <w:tcPr>
            <w:tcW w:w="2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provision from realized gains on investments</w:t>
            </w:r>
          </w:p>
        </w:tc>
        <w:tc>
          <w:tcPr>
            <w:tcW w:w="26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Pr>
          <w:p>
            <w:pPr>
              <w:ind w:left="20"/>
              <w:spacing w:after="0" w:line="182" w:lineRule="exact"/>
              <w:rPr>
                <w:sz w:val="20"/>
                <w:szCs w:val="20"/>
                <w:color w:val="auto"/>
              </w:rPr>
            </w:pPr>
            <w:r>
              <w:rPr>
                <w:rFonts w:ascii="Arial" w:cs="Arial" w:eastAsia="Arial" w:hAnsi="Arial"/>
                <w:sz w:val="18"/>
                <w:szCs w:val="18"/>
                <w:color w:val="auto"/>
              </w:rPr>
              <w:t>Net realized gain (loss), net of income tax provision, on investments</w:t>
            </w:r>
          </w:p>
        </w:tc>
        <w:tc>
          <w:tcPr>
            <w:tcW w:w="2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133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13398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160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160020"/>
                    </a:xfrm>
                    <a:prstGeom prst="rect">
                      <a:avLst/>
                    </a:prstGeom>
                    <a:noFill/>
                  </pic:spPr>
                </pic:pic>
              </a:graphicData>
            </a:graphic>
          </wp:anchor>
        </w:drawing>
      </w:r>
    </w:p>
    <w:p>
      <w:pPr>
        <w:ind w:left="240" w:right="140" w:hanging="232"/>
        <w:spacing w:after="0"/>
        <w:tabs>
          <w:tab w:leader="none" w:pos="240" w:val="left"/>
        </w:tabs>
        <w:numPr>
          <w:ilvl w:val="0"/>
          <w:numId w:val="45"/>
        </w:numPr>
        <w:rPr>
          <w:rFonts w:ascii="Arial" w:cs="Arial" w:eastAsia="Arial" w:hAnsi="Arial"/>
          <w:sz w:val="16"/>
          <w:szCs w:val="16"/>
          <w:color w:val="auto"/>
        </w:rPr>
      </w:pPr>
      <w:r>
        <w:rPr>
          <w:rFonts w:ascii="Arial" w:cs="Arial" w:eastAsia="Arial" w:hAnsi="Arial"/>
          <w:sz w:val="14"/>
          <w:szCs w:val="14"/>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47" w:lineRule="exact"/>
        <w:rPr>
          <w:sz w:val="20"/>
          <w:szCs w:val="20"/>
          <w:color w:val="auto"/>
        </w:rPr>
      </w:pPr>
    </w:p>
    <w:p>
      <w:pPr>
        <w:jc w:val="both"/>
        <w:ind w:firstLine="479"/>
        <w:spacing w:after="0" w:line="243" w:lineRule="auto"/>
        <w:rPr>
          <w:sz w:val="20"/>
          <w:szCs w:val="20"/>
          <w:color w:val="auto"/>
        </w:rPr>
      </w:pPr>
      <w:r>
        <w:rPr>
          <w:rFonts w:ascii="Arial" w:cs="Arial" w:eastAsia="Arial" w:hAnsi="Arial"/>
          <w:sz w:val="18"/>
          <w:szCs w:val="18"/>
          <w:color w:val="auto"/>
        </w:rPr>
        <w:t>For the year ended December 31, 2019, the total net realized gain/(loss) on investments, before income tax (provision)/benefit was $(1.2) million. Income tax (provision)/benefit from realized gains on investments was $(0.1) million for the year ended December 31, 2019. We realize a gain/(loss) on our equity investments primarily when we either sell our equity investment or the underlying portfolio company is sold. Significant realized gains (losses) for the year ended December 31, 2019 are summarized below (dollars in millions):</w:t>
      </w:r>
    </w:p>
    <w:p>
      <w:pPr>
        <w:spacing w:after="0" w:line="13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8" w:name="page69"/>
    <w:bookmarkEnd w:id="68"/>
    <w:tbl>
      <w:tblPr>
        <w:tblLayout w:type="fixed"/>
        <w:tblInd w:w="2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4900" w:type="dxa"/>
            <w:vAlign w:val="bottom"/>
            <w:vMerge w:val="restart"/>
          </w:tcPr>
          <w:p>
            <w:pPr>
              <w:ind w:left="2600"/>
              <w:spacing w:after="0"/>
              <w:rPr>
                <w:sz w:val="20"/>
                <w:szCs w:val="20"/>
                <w:color w:val="auto"/>
              </w:rPr>
            </w:pPr>
            <w:r>
              <w:rPr>
                <w:rFonts w:ascii="Arial" w:cs="Arial" w:eastAsia="Arial" w:hAnsi="Arial"/>
                <w:sz w:val="18"/>
                <w:szCs w:val="18"/>
                <w:b w:val="1"/>
                <w:bCs w:val="1"/>
                <w:color w:val="auto"/>
              </w:rPr>
              <w:t xml:space="preserve">Realization Event </w:t>
            </w:r>
            <w:r>
              <w:rPr>
                <w:rFonts w:ascii="Arial" w:cs="Arial" w:eastAsia="Arial" w:hAnsi="Arial"/>
                <w:sz w:val="24"/>
                <w:szCs w:val="24"/>
                <w:b w:val="1"/>
                <w:bCs w:val="1"/>
                <w:color w:val="auto"/>
                <w:vertAlign w:val="superscript"/>
              </w:rPr>
              <w:t>(1)</w:t>
            </w:r>
          </w:p>
        </w:tc>
        <w:tc>
          <w:tcPr>
            <w:tcW w:w="186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Net Realized</w:t>
            </w:r>
          </w:p>
        </w:tc>
        <w:tc>
          <w:tcPr>
            <w:tcW w:w="0" w:type="dxa"/>
            <w:vAlign w:val="bottom"/>
          </w:tcPr>
          <w:p>
            <w:pPr>
              <w:spacing w:after="0"/>
              <w:rPr>
                <w:sz w:val="1"/>
                <w:szCs w:val="1"/>
                <w:color w:val="auto"/>
              </w:rPr>
            </w:pPr>
          </w:p>
        </w:tc>
      </w:tr>
      <w:tr>
        <w:trPr>
          <w:trHeight w:val="221"/>
        </w:trPr>
        <w:tc>
          <w:tcPr>
            <w:tcW w:w="408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4900" w:type="dxa"/>
            <w:vAlign w:val="bottom"/>
            <w:vMerge w:val="continue"/>
          </w:tcPr>
          <w:p>
            <w:pPr>
              <w:spacing w:after="0"/>
              <w:rPr>
                <w:sz w:val="19"/>
                <w:szCs w:val="19"/>
                <w:color w:val="auto"/>
              </w:rPr>
            </w:pPr>
          </w:p>
        </w:tc>
        <w:tc>
          <w:tcPr>
            <w:tcW w:w="1860" w:type="dxa"/>
            <w:vAlign w:val="bottom"/>
          </w:tcPr>
          <w:p>
            <w:pPr>
              <w:jc w:val="center"/>
              <w:ind w:left="670"/>
              <w:spacing w:after="0"/>
              <w:rPr>
                <w:sz w:val="20"/>
                <w:szCs w:val="20"/>
                <w:color w:val="auto"/>
              </w:rPr>
            </w:pPr>
            <w:r>
              <w:rPr>
                <w:rFonts w:ascii="Arial" w:cs="Arial" w:eastAsia="Arial" w:hAnsi="Arial"/>
                <w:sz w:val="18"/>
                <w:szCs w:val="18"/>
                <w:b w:val="1"/>
                <w:bCs w:val="1"/>
                <w:color w:val="auto"/>
                <w:w w:val="85"/>
              </w:rPr>
              <w:t>Gains (Losses)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tbl>
      <w:tblPr>
        <w:tblLayout w:type="fixed"/>
        <w:tblInd w:w="0" w:type="dxa"/>
        <w:tblCellMar>
          <w:top w:w="0" w:type="dxa"/>
          <w:left w:w="0" w:type="dxa"/>
          <w:bottom w:w="0" w:type="dxa"/>
          <w:right w:w="0" w:type="dxa"/>
        </w:tblCellMar>
      </w:tblPr>
      <w:tr>
        <w:trPr>
          <w:trHeight w:val="182"/>
        </w:trPr>
        <w:tc>
          <w:tcPr>
            <w:tcW w:w="54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The Wolf Organization, LLC</w:t>
            </w:r>
          </w:p>
        </w:tc>
        <w:tc>
          <w:tcPr>
            <w:tcW w:w="260" w:type="dxa"/>
            <w:vAlign w:val="bottom"/>
          </w:tcPr>
          <w:p>
            <w:pPr>
              <w:spacing w:after="0"/>
              <w:rPr>
                <w:sz w:val="15"/>
                <w:szCs w:val="15"/>
                <w:color w:val="auto"/>
              </w:rPr>
            </w:pPr>
          </w:p>
        </w:tc>
        <w:tc>
          <w:tcPr>
            <w:tcW w:w="34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Vanguard Dealer Services,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Sale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New Era Technology,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Simplex Manufacturing Co.</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US Pack Logistics LLC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Malabar International</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Escrow distribution</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inthinc Technology Solutions,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Trantech Radiator Products, Inc.</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Consolidated Infrastructure Group Holdings, LP</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K2 Industrial Services, Inc.</w:t>
            </w:r>
          </w:p>
        </w:tc>
        <w:tc>
          <w:tcPr>
            <w:tcW w:w="2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Exit of portfolio company</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Oaktree Medical Centre, P.C. (dba Pain Management Associates)</w:t>
            </w:r>
          </w:p>
        </w:tc>
        <w:tc>
          <w:tcPr>
            <w:tcW w:w="260" w:type="dxa"/>
            <w:vAlign w:val="bottom"/>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Exit of portfolio company</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Net realized gain (loss) on investments</w:t>
            </w: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Income tax provision from realized gains on investments</w:t>
            </w:r>
          </w:p>
        </w:tc>
        <w:tc>
          <w:tcPr>
            <w:tcW w:w="2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20"/>
        </w:trPr>
        <w:tc>
          <w:tcPr>
            <w:tcW w:w="5480" w:type="dxa"/>
            <w:vAlign w:val="bottom"/>
          </w:tcPr>
          <w:p>
            <w:pPr>
              <w:ind w:left="20"/>
              <w:spacing w:after="0"/>
              <w:rPr>
                <w:sz w:val="20"/>
                <w:szCs w:val="20"/>
                <w:color w:val="auto"/>
              </w:rPr>
            </w:pPr>
            <w:r>
              <w:rPr>
                <w:rFonts w:ascii="Arial" w:cs="Arial" w:eastAsia="Arial" w:hAnsi="Arial"/>
                <w:sz w:val="18"/>
                <w:szCs w:val="18"/>
                <w:color w:val="auto"/>
              </w:rPr>
              <w:t>Net realized gain (loss), net of income tax provision, on investments</w:t>
            </w:r>
          </w:p>
        </w:tc>
        <w:tc>
          <w:tcPr>
            <w:tcW w:w="26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-1708150</wp:posOffset>
            </wp:positionV>
            <wp:extent cx="713232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-1450975</wp:posOffset>
            </wp:positionV>
            <wp:extent cx="7132320"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-1193800</wp:posOffset>
            </wp:positionV>
            <wp:extent cx="713232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-936625</wp:posOffset>
            </wp:positionV>
            <wp:extent cx="71323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4.0</w:t>
            </w:r>
          </w:p>
        </w:tc>
        <w:tc>
          <w:tcPr>
            <w:tcW w:w="80" w:type="dxa"/>
            <w:vAlign w:val="bottom"/>
          </w:tcPr>
          <w:p>
            <w:pPr>
              <w:spacing w:after="0"/>
              <w:rPr>
                <w:sz w:val="15"/>
                <w:szCs w:val="15"/>
                <w:color w:val="auto"/>
              </w:rPr>
            </w:pPr>
          </w:p>
        </w:tc>
      </w:tr>
      <w:tr>
        <w:trPr>
          <w:trHeight w:val="203"/>
        </w:trPr>
        <w:tc>
          <w:tcPr>
            <w:tcW w:w="7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(0.2 )</w:t>
            </w:r>
          </w:p>
        </w:tc>
      </w:tr>
      <w:tr>
        <w:trPr>
          <w:trHeight w:val="203"/>
        </w:trPr>
        <w:tc>
          <w:tcPr>
            <w:tcW w:w="7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(0.3 )</w:t>
            </w:r>
          </w:p>
        </w:tc>
      </w:tr>
      <w:tr>
        <w:trPr>
          <w:trHeight w:val="203"/>
        </w:trPr>
        <w:tc>
          <w:tcPr>
            <w:tcW w:w="7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(0.4 )</w:t>
            </w:r>
          </w:p>
        </w:tc>
      </w:tr>
      <w:tr>
        <w:trPr>
          <w:trHeight w:val="203"/>
        </w:trPr>
        <w:tc>
          <w:tcPr>
            <w:tcW w:w="7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(1.3 )</w:t>
            </w:r>
          </w:p>
        </w:tc>
      </w:tr>
      <w:tr>
        <w:trPr>
          <w:trHeight w:val="217"/>
        </w:trPr>
        <w:tc>
          <w:tcPr>
            <w:tcW w:w="7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(13.8 )</w:t>
            </w:r>
          </w:p>
        </w:tc>
      </w:tr>
      <w:tr>
        <w:trPr>
          <w:trHeight w:val="182"/>
        </w:trPr>
        <w:tc>
          <w:tcPr>
            <w:tcW w:w="7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(1.2</w:t>
            </w:r>
          </w:p>
        </w:tc>
        <w:tc>
          <w:tcPr>
            <w:tcW w:w="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217"/>
        </w:trPr>
        <w:tc>
          <w:tcPr>
            <w:tcW w:w="7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24"/>
        </w:trPr>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4" w:lineRule="exact"/>
        <w:rPr>
          <w:sz w:val="20"/>
          <w:szCs w:val="20"/>
          <w:color w:val="auto"/>
        </w:rPr>
      </w:pPr>
    </w:p>
    <w:p>
      <w:pPr>
        <w:sectPr>
          <w:pgSz w:w="11900" w:h="16838" w:orient="portrait"/>
          <w:cols w:equalWidth="0" w:num="2">
            <w:col w:w="9220" w:space="240"/>
            <w:col w:w="1780"/>
          </w:cols>
          <w:pgMar w:left="320" w:top="319" w:right="339" w:bottom="1440" w:gutter="0" w:footer="0" w:header="0"/>
          <w:type w:val="continuous"/>
        </w:sectPr>
      </w:pPr>
    </w:p>
    <w:p>
      <w:pPr>
        <w:ind w:left="240" w:right="140" w:hanging="224"/>
        <w:spacing w:after="0" w:line="233" w:lineRule="auto"/>
        <w:rPr>
          <w:sz w:val="20"/>
          <w:szCs w:val="20"/>
          <w:color w:val="auto"/>
        </w:rPr>
      </w:pPr>
      <w:r>
        <w:rPr>
          <w:rFonts w:ascii="Arial" w:cs="Arial" w:eastAsia="Arial" w:hAnsi="Arial"/>
          <w:sz w:val="16"/>
          <w:szCs w:val="16"/>
          <w:color w:val="auto"/>
        </w:rPr>
        <w:t>(1</w:t>
      </w:r>
      <w:r>
        <w:rPr>
          <w:rFonts w:ascii="Arial" w:cs="Arial" w:eastAsia="Arial" w:hAnsi="Arial"/>
          <w:sz w:val="14"/>
          <w:szCs w:val="14"/>
          <w:color w:val="auto"/>
        </w:rPr>
        <w:t>) As it relates to realization events, we define an 'exit' of a portfolio company as situations where we have completely exited our position in all of the portfolio company's securities and no</w:t>
      </w:r>
      <w:r>
        <w:rPr>
          <w:rFonts w:ascii="Arial" w:cs="Arial" w:eastAsia="Arial" w:hAnsi="Arial"/>
          <w:sz w:val="16"/>
          <w:szCs w:val="16"/>
          <w:color w:val="auto"/>
        </w:rPr>
        <w:t xml:space="preserve"> </w:t>
      </w:r>
      <w:r>
        <w:rPr>
          <w:rFonts w:ascii="Arial" w:cs="Arial" w:eastAsia="Arial" w:hAnsi="Arial"/>
          <w:sz w:val="14"/>
          <w:szCs w:val="14"/>
          <w:color w:val="auto"/>
        </w:rPr>
        <w:t>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49" w:lineRule="exact"/>
        <w:rPr>
          <w:sz w:val="20"/>
          <w:szCs w:val="20"/>
          <w:color w:val="auto"/>
        </w:rPr>
      </w:pPr>
    </w:p>
    <w:p>
      <w:pPr>
        <w:jc w:val="both"/>
        <w:ind w:firstLine="479"/>
        <w:spacing w:after="0" w:line="244" w:lineRule="auto"/>
        <w:rPr>
          <w:sz w:val="20"/>
          <w:szCs w:val="20"/>
          <w:color w:val="auto"/>
        </w:rPr>
      </w:pPr>
      <w:r>
        <w:rPr>
          <w:rFonts w:ascii="Arial" w:cs="Arial" w:eastAsia="Arial" w:hAnsi="Arial"/>
          <w:sz w:val="18"/>
          <w:szCs w:val="18"/>
          <w:color w:val="auto"/>
        </w:rPr>
        <w:t>During the years ended December 31, 2021, 2020, and 2019, we recorded a net change in unrealized appreciation (depreciation) on investments attributable to the following (dollars in millions):</w:t>
      </w:r>
    </w:p>
    <w:tbl>
      <w:tblPr>
        <w:tblLayout w:type="fixed"/>
        <w:tblInd w:w="0" w:type="dxa"/>
        <w:tblCellMar>
          <w:top w:w="0" w:type="dxa"/>
          <w:left w:w="0" w:type="dxa"/>
          <w:bottom w:w="0" w:type="dxa"/>
          <w:right w:w="0" w:type="dxa"/>
        </w:tblCellMar>
      </w:tblPr>
      <w:tr>
        <w:trPr>
          <w:trHeight w:val="201"/>
        </w:trPr>
        <w:tc>
          <w:tcPr>
            <w:tcW w:w="6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Unrealized Appreciation (Depreciation)</w:t>
            </w:r>
          </w:p>
        </w:tc>
        <w:tc>
          <w:tcPr>
            <w:tcW w:w="2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130"/>
              <w:spacing w:after="0" w:line="201" w:lineRule="exact"/>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Exit, sale or restructuring of investments</w:t>
            </w:r>
          </w:p>
        </w:tc>
        <w:tc>
          <w:tcPr>
            <w:tcW w:w="4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Fair value adjustments to debt investments</w:t>
            </w:r>
          </w:p>
        </w:tc>
        <w:tc>
          <w:tcPr>
            <w:tcW w:w="260" w:type="dxa"/>
            <w:vAlign w:val="bottom"/>
          </w:tcPr>
          <w:p>
            <w:pPr>
              <w:spacing w:after="0"/>
              <w:rPr>
                <w:sz w:val="17"/>
                <w:szCs w:val="17"/>
                <w:color w:val="auto"/>
              </w:rPr>
            </w:pPr>
          </w:p>
        </w:tc>
        <w:tc>
          <w:tcPr>
            <w:tcW w:w="13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(5.5 )</w:t>
            </w:r>
          </w:p>
        </w:tc>
        <w:tc>
          <w:tcPr>
            <w:tcW w:w="260" w:type="dxa"/>
            <w:vAlign w:val="bottom"/>
          </w:tcPr>
          <w:p>
            <w:pPr>
              <w:spacing w:after="0"/>
              <w:rPr>
                <w:sz w:val="17"/>
                <w:szCs w:val="17"/>
                <w:color w:val="auto"/>
              </w:rPr>
            </w:pPr>
          </w:p>
        </w:tc>
        <w:tc>
          <w:tcPr>
            <w:tcW w:w="126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(27.8 )</w:t>
            </w:r>
          </w:p>
        </w:tc>
        <w:tc>
          <w:tcPr>
            <w:tcW w:w="2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68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Fair value adjustments to equity investments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56.0</w:t>
            </w:r>
          </w:p>
        </w:tc>
        <w:tc>
          <w:tcPr>
            <w:tcW w:w="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change in unrealized appreciation (depreciation)</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41.5</w:t>
            </w:r>
          </w:p>
        </w:tc>
        <w:tc>
          <w:tcPr>
            <w:tcW w:w="38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1"/>
              <w:spacing w:after="0" w:line="196" w:lineRule="exact"/>
              <w:rPr>
                <w:sz w:val="20"/>
                <w:szCs w:val="20"/>
                <w:color w:val="auto"/>
              </w:rPr>
            </w:pPr>
            <w:r>
              <w:rPr>
                <w:rFonts w:ascii="Arial" w:cs="Arial" w:eastAsia="Arial" w:hAnsi="Arial"/>
                <w:sz w:val="18"/>
                <w:szCs w:val="18"/>
                <w:color w:val="auto"/>
              </w:rPr>
              <w:t>(6.6 )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-159385</wp:posOffset>
            </wp:positionV>
            <wp:extent cx="60325" cy="160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16002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51435" cy="1600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1600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160020"/>
                    </a:xfrm>
                    <a:prstGeom prst="rect">
                      <a:avLst/>
                    </a:prstGeom>
                    <a:noFill/>
                  </pic:spPr>
                </pic:pic>
              </a:graphicData>
            </a:graphic>
          </wp:anchor>
        </w:drawing>
      </w:r>
    </w:p>
    <w:p>
      <w:pPr>
        <w:spacing w:after="0" w:line="33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58" w:lineRule="exact"/>
        <w:rPr>
          <w:sz w:val="20"/>
          <w:szCs w:val="20"/>
          <w:color w:val="auto"/>
        </w:rPr>
      </w:pPr>
    </w:p>
    <w:p>
      <w:pPr>
        <w:jc w:val="both"/>
        <w:ind w:firstLine="479"/>
        <w:spacing w:after="0" w:line="261" w:lineRule="auto"/>
        <w:rPr>
          <w:sz w:val="20"/>
          <w:szCs w:val="20"/>
          <w:color w:val="auto"/>
        </w:rPr>
      </w:pPr>
      <w:r>
        <w:rPr>
          <w:rFonts w:ascii="Arial" w:cs="Arial" w:eastAsia="Arial" w:hAnsi="Arial"/>
          <w:sz w:val="18"/>
          <w:szCs w:val="18"/>
          <w:color w:val="auto"/>
        </w:rPr>
        <w:t>Net increase in net assets resulting from operations was $116.1 million, $31.2 million, and $48.5 million for the years ended December 31, 2021, 2020, and 2019, respectively, as a result of the events described above.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jc w:val="both"/>
        <w:ind w:firstLine="478"/>
        <w:spacing w:after="0" w:line="255" w:lineRule="auto"/>
        <w:rPr>
          <w:sz w:val="20"/>
          <w:szCs w:val="20"/>
          <w:color w:val="auto"/>
        </w:rPr>
      </w:pPr>
      <w:r>
        <w:rPr>
          <w:rFonts w:ascii="Arial" w:cs="Arial" w:eastAsia="Arial" w:hAnsi="Arial"/>
          <w:sz w:val="17"/>
          <w:szCs w:val="17"/>
          <w:color w:val="auto"/>
        </w:rPr>
        <w:t>As of December 31, 2021, we had $169.4 million in cash and cash equivalents and our net assets totaled $487.8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This “Liquidity and Capital Resources” section should be read in conjunction with the “COVID-19 Updates” section above.</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jc w:val="both"/>
        <w:ind w:firstLine="479"/>
        <w:spacing w:after="0" w:line="257" w:lineRule="auto"/>
        <w:rPr>
          <w:sz w:val="20"/>
          <w:szCs w:val="20"/>
          <w:color w:val="auto"/>
        </w:rPr>
      </w:pPr>
      <w:r>
        <w:rPr>
          <w:rFonts w:ascii="Arial" w:cs="Arial" w:eastAsia="Arial" w:hAnsi="Arial"/>
          <w:sz w:val="17"/>
          <w:szCs w:val="17"/>
          <w:color w:val="auto"/>
        </w:rPr>
        <w:t>For the year ended December 31, 2021, we experienced a net increase in cash and cash equivalents in the amount of $45.1 million. During that period, we were provided $167.9 million of cash from operating activities, which included proceeds received from sales and repayments of investments of $472.8 million, which were partially offset by the funding of $346.7 million of investments. During the same period, we received proceeds from the issuances of SBA debentures of $23.5 million and proceeds from the issuance of our November 2026 Notes of $125.0 million; which were partially offset by repayments of Public Notes of $182.3 million, repayments of SBA debentures of $63.5 million, cash dividends paid to stockholders of $39.1 million, and the payment of deferred financing costs related to our debt financings of $4.0 million.</w:t>
      </w:r>
    </w:p>
    <w:p>
      <w:pPr>
        <w:spacing w:after="0" w:line="121" w:lineRule="exact"/>
        <w:rPr>
          <w:sz w:val="20"/>
          <w:szCs w:val="20"/>
          <w:color w:val="auto"/>
        </w:rPr>
      </w:pPr>
    </w:p>
    <w:p>
      <w:pPr>
        <w:jc w:val="both"/>
        <w:ind w:firstLine="479"/>
        <w:spacing w:after="0"/>
        <w:rPr>
          <w:sz w:val="20"/>
          <w:szCs w:val="20"/>
          <w:color w:val="auto"/>
        </w:rPr>
      </w:pPr>
      <w:r>
        <w:rPr>
          <w:rFonts w:ascii="Arial" w:cs="Arial" w:eastAsia="Arial" w:hAnsi="Arial"/>
          <w:sz w:val="18"/>
          <w:szCs w:val="18"/>
          <w:color w:val="auto"/>
        </w:rPr>
        <w:t>For the year ended December 31, 2020, we experienced a net increase in cash and cash equivalents in the amount of $109.3 million. During that period, we were provided $56.0 million of cash from operating activities, which included proceeds received from sales and repayments of investments of $210.8 million, which were partially offset by the funding of $190.0 million of investments. During the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69" w:name="page70"/>
    <w:bookmarkEnd w:id="69"/>
    <w:p>
      <w:pPr>
        <w:jc w:val="both"/>
        <w:spacing w:after="0" w:line="262" w:lineRule="auto"/>
        <w:rPr>
          <w:sz w:val="20"/>
          <w:szCs w:val="20"/>
          <w:color w:val="auto"/>
        </w:rPr>
      </w:pPr>
      <w:r>
        <w:rPr>
          <w:rFonts w:ascii="Arial" w:cs="Arial" w:eastAsia="Arial" w:hAnsi="Arial"/>
          <w:sz w:val="17"/>
          <w:szCs w:val="17"/>
          <w:color w:val="auto"/>
        </w:rPr>
        <w:t>same period, we received proceeds from the issuances of SBA debentures of $6.0 million and proceeds from the issuance of our February 2026 Notes of $125.0 million; which were partially offset by repayments of SBA debentures of $16.5 million, net repayments of $25.0 million from borrowings under our Credit Facility, cash dividends paid to stockholders of $32.5 million, and the payment of deferred financing costs related to our debt financings of $3.4 million and repurchases of common stock under the Stock Repurchase Program (as defined below) of $0.3 million.</w:t>
      </w:r>
    </w:p>
    <w:p>
      <w:pPr>
        <w:spacing w:after="0" w:line="118" w:lineRule="exact"/>
        <w:rPr>
          <w:sz w:val="20"/>
          <w:szCs w:val="20"/>
          <w:color w:val="auto"/>
        </w:rPr>
      </w:pPr>
    </w:p>
    <w:p>
      <w:pPr>
        <w:jc w:val="both"/>
        <w:ind w:firstLine="479"/>
        <w:spacing w:after="0" w:line="257" w:lineRule="auto"/>
        <w:rPr>
          <w:sz w:val="20"/>
          <w:szCs w:val="20"/>
          <w:color w:val="auto"/>
        </w:rPr>
      </w:pPr>
      <w:r>
        <w:rPr>
          <w:rFonts w:ascii="Arial" w:cs="Arial" w:eastAsia="Arial" w:hAnsi="Arial"/>
          <w:sz w:val="17"/>
          <w:szCs w:val="17"/>
          <w:color w:val="auto"/>
        </w:rPr>
        <w:t>For the year ended December 31, 2019, we experienced a net decrease in cash and cash equivalents in the amount of $27.0 million. During that period, we used $68.7 million of cash for operating activities, which included the funding of $219.2 million of investments, which were partially offset by proceeds received from sales and repayments of investments of $120.6 million. During the same period, we received proceeds from the issuances of SBA debentures of $7.5 million and proceeds from the issuance of our Public Notes of $132.3 million; which were partially offset by repayments of SBA debentures of $41.0 million, net repayments of $11.5 million from borrowings under our Credit Facility, cash dividends paid to stockholders of $39.1 million, and the payment of deferred financing costs related to our debt financings of $6.4 million.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Capital Resources</w:t>
      </w:r>
    </w:p>
    <w:p>
      <w:pPr>
        <w:spacing w:after="0" w:line="158" w:lineRule="exact"/>
        <w:rPr>
          <w:sz w:val="20"/>
          <w:szCs w:val="20"/>
          <w:color w:val="auto"/>
        </w:rPr>
      </w:pPr>
    </w:p>
    <w:p>
      <w:pPr>
        <w:jc w:val="both"/>
        <w:ind w:firstLine="479"/>
        <w:spacing w:after="0" w:line="261"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SBA Debentures</w:t>
      </w:r>
    </w:p>
    <w:p>
      <w:pPr>
        <w:spacing w:after="0" w:line="158" w:lineRule="exact"/>
        <w:rPr>
          <w:sz w:val="20"/>
          <w:szCs w:val="20"/>
          <w:color w:val="auto"/>
        </w:rPr>
      </w:pPr>
    </w:p>
    <w:p>
      <w:pPr>
        <w:jc w:val="both"/>
        <w:ind w:firstLine="479"/>
        <w:spacing w:after="0" w:line="253" w:lineRule="auto"/>
        <w:rPr>
          <w:sz w:val="20"/>
          <w:szCs w:val="20"/>
          <w:color w:val="auto"/>
        </w:rPr>
      </w:pPr>
      <w:r>
        <w:rPr>
          <w:rFonts w:ascii="Arial" w:cs="Arial" w:eastAsia="Arial" w:hAnsi="Arial"/>
          <w:sz w:val="17"/>
          <w:szCs w:val="17"/>
          <w:color w:val="auto"/>
        </w:rPr>
        <w:t>The Funds are licensed to operate as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December 31, 2021, Fund II and Fund III had $70.0 million and $37.0 million of outstanding SBA debentures, respectively. Subject to SBA regulatory requirements and approval, Fund III may access up to $138.0 million of additional SBA debentures under the SBIC debenture program. For more information on the SBA debentures, please refer to Note 6 to our consolidated financial statements.</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Credit Facility</w:t>
      </w:r>
    </w:p>
    <w:p>
      <w:pPr>
        <w:spacing w:after="0" w:line="158" w:lineRule="exact"/>
        <w:rPr>
          <w:sz w:val="20"/>
          <w:szCs w:val="20"/>
          <w:color w:val="auto"/>
        </w:rPr>
      </w:pPr>
    </w:p>
    <w:p>
      <w:pPr>
        <w:jc w:val="both"/>
        <w:ind w:firstLine="479"/>
        <w:spacing w:after="0" w:line="255" w:lineRule="auto"/>
        <w:rPr>
          <w:sz w:val="20"/>
          <w:szCs w:val="20"/>
          <w:color w:val="auto"/>
        </w:rPr>
      </w:pPr>
      <w:r>
        <w:rPr>
          <w:rFonts w:ascii="Arial" w:cs="Arial" w:eastAsia="Arial" w:hAnsi="Arial"/>
          <w:sz w:val="17"/>
          <w:szCs w:val="17"/>
          <w:color w:val="auto"/>
        </w:rPr>
        <w:t>In June 2014, we entered into a senior secured revolving credit agreement (the "Credit Agreement" and the senior secured revolving credit facility) to provide additional funding for our investment and operational activities. On April 24, 2019, we entered into the Amended Credit Agreement, which amends, restates, and replaces the Credit Agreement. On June 26, 2020, the Company amended the Amended Credit Agreement, but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 The Credit Facility is secured by substantially all of our assets, excluding the assets of the Funds.</w:t>
      </w:r>
    </w:p>
    <w:p>
      <w:pPr>
        <w:spacing w:after="0" w:line="126" w:lineRule="exact"/>
        <w:rPr>
          <w:sz w:val="20"/>
          <w:szCs w:val="20"/>
          <w:color w:val="auto"/>
        </w:rPr>
      </w:pPr>
    </w:p>
    <w:p>
      <w:pPr>
        <w:jc w:val="both"/>
        <w:ind w:firstLine="479"/>
        <w:spacing w:after="0" w:line="252" w:lineRule="auto"/>
        <w:rPr>
          <w:sz w:val="20"/>
          <w:szCs w:val="20"/>
          <w:color w:val="auto"/>
        </w:rPr>
      </w:pPr>
      <w:r>
        <w:rPr>
          <w:rFonts w:ascii="Arial" w:cs="Arial" w:eastAsia="Arial" w:hAnsi="Arial"/>
          <w:sz w:val="17"/>
          <w:szCs w:val="17"/>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26" w:lineRule="exact"/>
        <w:rPr>
          <w:sz w:val="20"/>
          <w:szCs w:val="20"/>
          <w:color w:val="auto"/>
        </w:rPr>
      </w:pPr>
    </w:p>
    <w:p>
      <w:pPr>
        <w:jc w:val="both"/>
        <w:ind w:right="20" w:firstLine="479"/>
        <w:spacing w:after="0" w:line="244" w:lineRule="auto"/>
        <w:rPr>
          <w:sz w:val="20"/>
          <w:szCs w:val="20"/>
          <w:color w:val="auto"/>
        </w:rPr>
      </w:pPr>
      <w:r>
        <w:rPr>
          <w:rFonts w:ascii="Arial" w:cs="Arial" w:eastAsia="Arial" w:hAnsi="Arial"/>
          <w:sz w:val="18"/>
          <w:szCs w:val="18"/>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w:t>
      </w: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0" w:name="page71"/>
    <w:bookmarkEnd w:id="70"/>
    <w:p>
      <w:pPr>
        <w:jc w:val="both"/>
        <w:spacing w:after="0" w:line="248" w:lineRule="auto"/>
        <w:rPr>
          <w:sz w:val="20"/>
          <w:szCs w:val="20"/>
          <w:color w:val="auto"/>
        </w:rPr>
      </w:pPr>
      <w:r>
        <w:rPr>
          <w:rFonts w:ascii="Arial" w:cs="Arial" w:eastAsia="Arial" w:hAnsi="Arial"/>
          <w:sz w:val="18"/>
          <w:szCs w:val="18"/>
          <w:color w:val="auto"/>
        </w:rPr>
        <w:t>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28" w:lineRule="exact"/>
        <w:rPr>
          <w:sz w:val="20"/>
          <w:szCs w:val="20"/>
          <w:color w:val="auto"/>
        </w:rPr>
      </w:pPr>
    </w:p>
    <w:p>
      <w:pPr>
        <w:jc w:val="both"/>
        <w:ind w:firstLine="479"/>
        <w:spacing w:after="0" w:line="243" w:lineRule="auto"/>
        <w:rPr>
          <w:sz w:val="20"/>
          <w:szCs w:val="20"/>
          <w:color w:val="auto"/>
        </w:rPr>
      </w:pPr>
      <w:r>
        <w:rPr>
          <w:rFonts w:ascii="Arial" w:cs="Arial" w:eastAsia="Arial" w:hAnsi="Arial"/>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2021, we were in compliance with all covenants of the Credit Facility and there were no borrowings outstanding under the Credit Facility.</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Notes</w:t>
      </w:r>
    </w:p>
    <w:p>
      <w:pPr>
        <w:spacing w:after="0" w:line="158" w:lineRule="exact"/>
        <w:rPr>
          <w:sz w:val="20"/>
          <w:szCs w:val="20"/>
          <w:color w:val="auto"/>
        </w:rPr>
      </w:pPr>
    </w:p>
    <w:p>
      <w:pPr>
        <w:jc w:val="both"/>
        <w:ind w:firstLine="479"/>
        <w:spacing w:after="0" w:line="255"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offering expenses of $0.4 million, were approximately $48.1 million. The 2023 Notes will mature on February 1, 2023 and bear interest at a rate of 5.875%. The 2023 Notes may be redeemed in whole or in part at any time or from time to time at our option on or after February 1, 2020. On January 19, 2021, we redeemed $50.0 million in the aggregate principal amount on the issued and outstanding 2023 Notes, resulting in a realized loss on extinguishment of debt of approximately $0.8 million.</w:t>
      </w:r>
    </w:p>
    <w:p>
      <w:pPr>
        <w:spacing w:after="0" w:line="126" w:lineRule="exact"/>
        <w:rPr>
          <w:sz w:val="20"/>
          <w:szCs w:val="20"/>
          <w:color w:val="auto"/>
        </w:rPr>
      </w:pPr>
    </w:p>
    <w:p>
      <w:pPr>
        <w:jc w:val="both"/>
        <w:ind w:firstLine="479"/>
        <w:spacing w:after="0" w:line="253" w:lineRule="auto"/>
        <w:rPr>
          <w:sz w:val="20"/>
          <w:szCs w:val="20"/>
          <w:color w:val="auto"/>
        </w:rPr>
      </w:pPr>
      <w:r>
        <w:rPr>
          <w:rFonts w:ascii="Arial" w:cs="Arial" w:eastAsia="Arial" w:hAnsi="Arial"/>
          <w:sz w:val="17"/>
          <w:szCs w:val="17"/>
          <w:color w:val="auto"/>
        </w:rPr>
        <w:t>On February 8, 2019, we closed the public offering of approximately $60.0 million in aggregate principal amount of our 6.000% notes due 2024, or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 The February 2024 Notes will mature on February 15, 2024 and bear interest at a rate of 6.000%. The February 2024 Notes may be redeemed in whole or in part at any time or from time to time at our option on or after February 15, 2021. On February 16, 2021, the Company redeemed $50.0 million of the $69.0 million in aggregate principal amount on the February 2024 Notes, resulting in a realized loss on extinguishment of debt of approximately $1.1 million. On November 2, 2021, we fully redeemed the remaining $19.0 million in aggregate principal amount on the issued and outstanding February 2024 Notes, resulting in a realized loss on extinguishment of debt of approximately $0.3 million.</w:t>
      </w:r>
    </w:p>
    <w:p>
      <w:pPr>
        <w:spacing w:after="0" w:line="130" w:lineRule="exact"/>
        <w:rPr>
          <w:sz w:val="20"/>
          <w:szCs w:val="20"/>
          <w:color w:val="auto"/>
        </w:rPr>
      </w:pPr>
    </w:p>
    <w:p>
      <w:pPr>
        <w:jc w:val="both"/>
        <w:ind w:firstLine="479"/>
        <w:spacing w:after="0" w:line="254" w:lineRule="auto"/>
        <w:rPr>
          <w:sz w:val="20"/>
          <w:szCs w:val="20"/>
          <w:color w:val="auto"/>
        </w:rPr>
      </w:pPr>
      <w:r>
        <w:rPr>
          <w:rFonts w:ascii="Arial" w:cs="Arial" w:eastAsia="Arial" w:hAnsi="Arial"/>
          <w:sz w:val="17"/>
          <w:szCs w:val="17"/>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$0.3 million, were approximately $61.1 million. The November 2024 Notes will mature on November 1, 2024 and bear interest at a rate of 5.375%. The November 2024 Notes may be redeemed in whole or in part at any time or from time to time at our option on or after November 1, 2021. On November 2, 2021, we fully redeemed the $63.3 million in aggregate principal amount on the issued and outstanding November 2024 Notes, resulting in a realized loss on extinguishment of debt of approximately $1.3 million.</w:t>
      </w:r>
    </w:p>
    <w:p>
      <w:pPr>
        <w:spacing w:after="0" w:line="181" w:lineRule="exact"/>
        <w:rPr>
          <w:sz w:val="20"/>
          <w:szCs w:val="20"/>
          <w:color w:val="auto"/>
        </w:rPr>
      </w:pPr>
    </w:p>
    <w:p>
      <w:pPr>
        <w:jc w:val="both"/>
        <w:ind w:firstLine="479"/>
        <w:spacing w:after="0" w:line="255" w:lineRule="auto"/>
        <w:rPr>
          <w:sz w:val="20"/>
          <w:szCs w:val="20"/>
          <w:color w:val="auto"/>
        </w:rPr>
      </w:pPr>
      <w:r>
        <w:rPr>
          <w:rFonts w:ascii="Arial" w:cs="Arial" w:eastAsia="Arial" w:hAnsi="Arial"/>
          <w:sz w:val="17"/>
          <w:szCs w:val="17"/>
          <w:color w:val="auto"/>
        </w:rPr>
        <w:t>On December 23, 2020, we closed the offering of approximately $125.0 million in aggregate principal amount of our 4.75% notes due 2026, or the “January 2026 Notes”. The total net proceeds to us from the January 2026 Notes after deducting underwriting discounts of $2.5 million and offering expenses of $0.4 million, were approximately $122.1 million.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or at par thereafter. Interest on the January 2026 Notes is payable on January 31 and July 31 of each year. We do not intend to list the January 2026 Notes on any securities exchange or automated dealer quotation system. As of December 31, 2021, the outstanding principal balance of the February 2026 Notes was approximately $125.0 million.</w:t>
      </w:r>
    </w:p>
    <w:p>
      <w:pPr>
        <w:spacing w:after="0" w:line="180" w:lineRule="exact"/>
        <w:rPr>
          <w:sz w:val="20"/>
          <w:szCs w:val="20"/>
          <w:color w:val="auto"/>
        </w:rPr>
      </w:pPr>
    </w:p>
    <w:p>
      <w:pPr>
        <w:jc w:val="both"/>
        <w:ind w:firstLine="479"/>
        <w:spacing w:after="0" w:line="251" w:lineRule="auto"/>
        <w:rPr>
          <w:sz w:val="20"/>
          <w:szCs w:val="20"/>
          <w:color w:val="auto"/>
        </w:rPr>
      </w:pPr>
      <w:r>
        <w:rPr>
          <w:rFonts w:ascii="Arial" w:cs="Arial" w:eastAsia="Arial" w:hAnsi="Arial"/>
          <w:sz w:val="17"/>
          <w:szCs w:val="17"/>
          <w:color w:val="auto"/>
        </w:rPr>
        <w:t>On October 8, 2021, we closed the offering of approximately $125.0 million in aggregate principal amount of our 3.50% notes due 2026, or the “November 2026 Notes” (collectively with the Public Notes and the January 2026 Notes, the “Notes”). The total net proceeds to us from the November 2026 Notes, based on a public offering price of 99.996% of par, after deducting underwriting discounts of $2.5 million and offering expenses of $0.3 million, were approximately $122.2 million. The November 2026 Notes will mature on November 15, 2026 and bear interest at a rate of 3.50%. The November 2026 Notes may be redeemed in whole or in part at any time or from time to time at our option subject to a make whole provision if redeemed more than three months prior to maturity or at par thereafter. Interest on the November 2026 Notes is payable on May 15 and November 15 of each year, beginning May 15, 2022. We do not intend to list the November 2026 Notes on any securities exchange or automated dealer quotation system. As of December 31, 2021, the outstanding principal balance of the November 2026 Notes was approximately $125.0 million.</w:t>
      </w:r>
    </w:p>
    <w:p>
      <w:pPr>
        <w:spacing w:after="0" w:line="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1" w:name="page72"/>
    <w:bookmarkEnd w:id="71"/>
    <w:p>
      <w:pPr>
        <w:jc w:val="both"/>
        <w:ind w:firstLine="479"/>
        <w:spacing w:after="0" w:line="243" w:lineRule="auto"/>
        <w:rPr>
          <w:sz w:val="20"/>
          <w:szCs w:val="20"/>
          <w:color w:val="auto"/>
        </w:rPr>
      </w:pPr>
      <w:r>
        <w:rPr>
          <w:rFonts w:ascii="Arial" w:cs="Arial" w:eastAsia="Arial" w:hAnsi="Arial"/>
          <w:sz w:val="18"/>
          <w:szCs w:val="18"/>
          <w:color w:val="auto"/>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Secured Borrowing</w:t>
      </w:r>
    </w:p>
    <w:p>
      <w:pPr>
        <w:spacing w:after="0" w:line="158" w:lineRule="exact"/>
        <w:rPr>
          <w:sz w:val="20"/>
          <w:szCs w:val="20"/>
          <w:color w:val="auto"/>
        </w:rPr>
      </w:pPr>
    </w:p>
    <w:p>
      <w:pPr>
        <w:jc w:val="both"/>
        <w:ind w:left="20" w:firstLine="479"/>
        <w:spacing w:after="0" w:line="241" w:lineRule="auto"/>
        <w:rPr>
          <w:sz w:val="20"/>
          <w:szCs w:val="20"/>
          <w:color w:val="auto"/>
        </w:rPr>
      </w:pPr>
      <w:r>
        <w:rPr>
          <w:rFonts w:ascii="Arial" w:cs="Arial" w:eastAsia="Arial" w:hAnsi="Arial"/>
          <w:sz w:val="18"/>
          <w:szCs w:val="18"/>
          <w:color w:val="auto"/>
        </w:rPr>
        <w:t>As of December 31, 2021, the carrying value of secured borrowings totaled $17.6 million and the fair value of the associated loans included in investments was $17.5 million. As of December 31, 2020, there were no secured borrowings outstanding.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4.392% as of December 31, 2021.</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December 31, 2021, the weighted average stated interest rates for our SBA debentures and the Notes were 2.676% and 4.125%,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had $100.0 million of unutilized commitment under our Credit Facility and we were subject to a 1.375% fee on such amount.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weighted average stated interest rate on total debt outstanding was 3.724%.</w:t>
      </w:r>
    </w:p>
    <w:p>
      <w:pPr>
        <w:spacing w:after="0" w:line="142" w:lineRule="exact"/>
        <w:rPr>
          <w:sz w:val="20"/>
          <w:szCs w:val="20"/>
          <w:color w:val="auto"/>
        </w:rPr>
      </w:pPr>
    </w:p>
    <w:p>
      <w:pPr>
        <w:jc w:val="both"/>
        <w:ind w:firstLine="479"/>
        <w:spacing w:after="0" w:line="254" w:lineRule="auto"/>
        <w:rPr>
          <w:sz w:val="20"/>
          <w:szCs w:val="20"/>
          <w:color w:val="auto"/>
        </w:rPr>
      </w:pPr>
      <w:r>
        <w:rPr>
          <w:rFonts w:ascii="Arial" w:cs="Arial" w:eastAsia="Arial" w:hAnsi="Arial"/>
          <w:sz w:val="17"/>
          <w:szCs w:val="17"/>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As a result, we are subject to the 150% asset coverage ratio effective as of April 29, 2020. We have received exemptive relief from the U.S. Securities and Exchange Commission (“SEC”) to allow us to exclude the senior securities issued by the Funds from the definition of senior securities in the 150% asset coverage requirement applicable to the Company under the 1940 Act, which, in turn, will enable us to fund more investments with debt capital.</w:t>
      </w:r>
    </w:p>
    <w:p>
      <w:pPr>
        <w:spacing w:after="0" w:line="127" w:lineRule="exact"/>
        <w:rPr>
          <w:sz w:val="20"/>
          <w:szCs w:val="20"/>
          <w:color w:val="auto"/>
        </w:rPr>
      </w:pPr>
    </w:p>
    <w:p>
      <w:pPr>
        <w:jc w:val="both"/>
        <w:ind w:firstLine="479"/>
        <w:spacing w:after="0" w:line="254" w:lineRule="auto"/>
        <w:rPr>
          <w:sz w:val="20"/>
          <w:szCs w:val="20"/>
          <w:color w:val="auto"/>
        </w:rPr>
      </w:pPr>
      <w:r>
        <w:rPr>
          <w:rFonts w:ascii="Arial" w:cs="Arial" w:eastAsia="Arial" w:hAnsi="Arial"/>
          <w:sz w:val="17"/>
          <w:szCs w:val="17"/>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July 14, 2021, our stockholders voted to allow us to sell or otherwise issue common stock at a price below net asset value per share for a period of one year ending on the earlier of June 14, 2022 or the date of our 2022 Annual Meeting of Stockholders. We expect to present to our stockholders a similar proposal at our 2022 Annual Meeting of Stockholders. Our stockholders specified that the cumulative number of shares sold in each offering during the one-year period ending on the earlier of June 14, 2022 or the date of our 2022 Annual Meeting of Stockholders may not exceed 25.0% of our outstanding common stock immediately prior to each such sale.</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Stock Repurchase Program</w:t>
      </w:r>
    </w:p>
    <w:p>
      <w:pPr>
        <w:spacing w:after="0" w:line="158" w:lineRule="exact"/>
        <w:rPr>
          <w:sz w:val="20"/>
          <w:szCs w:val="20"/>
          <w:color w:val="auto"/>
        </w:rPr>
      </w:pPr>
    </w:p>
    <w:p>
      <w:pPr>
        <w:jc w:val="both"/>
        <w:ind w:firstLine="478"/>
        <w:spacing w:after="0" w:line="252" w:lineRule="auto"/>
        <w:rPr>
          <w:sz w:val="20"/>
          <w:szCs w:val="20"/>
          <w:color w:val="auto"/>
        </w:rPr>
      </w:pPr>
      <w:r>
        <w:rPr>
          <w:rFonts w:ascii="Arial" w:cs="Arial" w:eastAsia="Arial" w:hAnsi="Arial"/>
          <w:sz w:val="17"/>
          <w:szCs w:val="17"/>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During the year ended December 31, 2020, the Company repurchased 25,719 shares, of common stock on the open market for $0.3 million. The Company did not make any repurchases of common stock during the years ended December 31, 2021 and 2019. Refer to Note 8 to our consolidated financial statements for additional information concerning stock repurchases.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jc w:val="both"/>
        <w:ind w:firstLine="478"/>
        <w:spacing w:after="0" w:line="237"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58" w:lineRule="exact"/>
        <w:rPr>
          <w:sz w:val="20"/>
          <w:szCs w:val="20"/>
          <w:color w:val="auto"/>
        </w:rPr>
      </w:pPr>
    </w:p>
    <w:p>
      <w:pPr>
        <w:jc w:val="both"/>
        <w:ind w:right="20" w:firstLine="478"/>
        <w:spacing w:after="0" w:line="261"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17"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21"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17" w:lineRule="exact"/>
        <w:rPr>
          <w:sz w:val="20"/>
          <w:szCs w:val="20"/>
          <w:color w:val="auto"/>
        </w:rPr>
      </w:pPr>
    </w:p>
    <w:p>
      <w:pPr>
        <w:ind w:left="1060" w:right="160" w:hanging="404"/>
        <w:spacing w:after="0" w:line="228"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the Investment Advisor responsible for the portfolio investment;</w:t>
      </w:r>
    </w:p>
    <w:p>
      <w:pPr>
        <w:ind w:left="1060" w:hanging="404"/>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7" w:lineRule="exact"/>
        <w:rPr>
          <w:rFonts w:ascii="Arial" w:cs="Arial" w:eastAsia="Arial" w:hAnsi="Arial"/>
          <w:sz w:val="17"/>
          <w:szCs w:val="17"/>
          <w:color w:val="auto"/>
        </w:rPr>
      </w:pPr>
    </w:p>
    <w:p>
      <w:pPr>
        <w:jc w:val="both"/>
        <w:ind w:left="1060" w:right="160" w:hanging="404"/>
        <w:spacing w:after="0" w:line="20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spacing w:after="0" w:line="5" w:lineRule="exact"/>
        <w:rPr>
          <w:rFonts w:ascii="Arial" w:cs="Arial" w:eastAsia="Arial" w:hAnsi="Arial"/>
          <w:sz w:val="18"/>
          <w:szCs w:val="18"/>
          <w:color w:val="auto"/>
        </w:rPr>
      </w:pPr>
    </w:p>
    <w:p>
      <w:pPr>
        <w:jc w:val="both"/>
        <w:ind w:left="1060" w:right="160" w:hanging="404"/>
        <w:spacing w:after="0" w:line="211"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consulted with the independent third-party valuation firm(s) in arriving at our determination of fair value for 17 and 12 of our portfolio company investments representing 21.8% and 25.8% of the total portfolio investments at fair value (exclusive of new portfolio company investments made during the three months ended December 31, 2021 and 2020, respectively) as of December 31, 2021 and 2020, respectively;</w:t>
      </w:r>
    </w:p>
    <w:p>
      <w:pPr>
        <w:spacing w:after="0" w:line="1" w:lineRule="exact"/>
        <w:rPr>
          <w:rFonts w:ascii="Arial" w:cs="Arial" w:eastAsia="Arial" w:hAnsi="Arial"/>
          <w:sz w:val="18"/>
          <w:szCs w:val="18"/>
          <w:color w:val="auto"/>
        </w:rPr>
      </w:pPr>
    </w:p>
    <w:p>
      <w:pPr>
        <w:ind w:left="1060" w:right="160" w:hanging="404"/>
        <w:spacing w:after="0" w:line="219"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ind w:left="1060" w:right="160" w:hanging="404"/>
        <w:spacing w:after="0" w:line="226"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discusses the valuations and determines the fair value of each investment in our portfolio in good faith, based on the input of the Investment Advisor, the independent valuation firm(s) and the audit committee.</w:t>
      </w:r>
    </w:p>
    <w:p>
      <w:pPr>
        <w:spacing w:after="0" w:line="134"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28"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21"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28" w:lineRule="exact"/>
        <w:rPr>
          <w:sz w:val="20"/>
          <w:szCs w:val="20"/>
          <w:color w:val="auto"/>
        </w:rPr>
      </w:pPr>
    </w:p>
    <w:p>
      <w:pPr>
        <w:jc w:val="both"/>
        <w:ind w:firstLine="478"/>
        <w:spacing w:after="0" w:line="251" w:lineRule="auto"/>
        <w:rPr>
          <w:sz w:val="20"/>
          <w:szCs w:val="20"/>
          <w:color w:val="auto"/>
        </w:rPr>
      </w:pPr>
      <w:r>
        <w:rPr>
          <w:rFonts w:ascii="Arial" w:cs="Arial" w:eastAsia="Arial" w:hAnsi="Arial"/>
          <w:sz w:val="17"/>
          <w:szCs w:val="17"/>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3" w:name="page74"/>
    <w:bookmarkEnd w:id="73"/>
    <w:p>
      <w:pPr>
        <w:jc w:val="both"/>
        <w:spacing w:after="0" w:line="257" w:lineRule="auto"/>
        <w:rPr>
          <w:sz w:val="20"/>
          <w:szCs w:val="20"/>
          <w:color w:val="auto"/>
        </w:rPr>
      </w:pPr>
      <w:r>
        <w:rPr>
          <w:rFonts w:ascii="Arial" w:cs="Arial" w:eastAsia="Arial" w:hAnsi="Arial"/>
          <w:sz w:val="17"/>
          <w:szCs w:val="17"/>
          <w:color w:val="auto"/>
        </w:rPr>
        <w:t>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21"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08"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35" w:lineRule="exact"/>
        <w:rPr>
          <w:sz w:val="20"/>
          <w:szCs w:val="20"/>
          <w:color w:val="auto"/>
        </w:rPr>
      </w:pPr>
    </w:p>
    <w:p>
      <w:pPr>
        <w:jc w:val="both"/>
        <w:ind w:firstLine="478"/>
        <w:spacing w:after="0" w:line="324"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firstLine="478"/>
        <w:spacing w:after="0"/>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135" w:lineRule="exact"/>
        <w:rPr>
          <w:sz w:val="20"/>
          <w:szCs w:val="20"/>
          <w:color w:val="auto"/>
        </w:rPr>
      </w:pPr>
    </w:p>
    <w:p>
      <w:pPr>
        <w:jc w:val="both"/>
        <w:ind w:firstLine="478"/>
        <w:spacing w:after="0"/>
        <w:rPr>
          <w:sz w:val="20"/>
          <w:szCs w:val="20"/>
          <w:color w:val="auto"/>
        </w:rPr>
      </w:pPr>
      <w:r>
        <w:rPr>
          <w:rFonts w:ascii="Arial" w:cs="Arial" w:eastAsia="Arial" w:hAnsi="Arial"/>
          <w:sz w:val="18"/>
          <w:szCs w:val="18"/>
          <w:i w:val="1"/>
          <w:iCs w:val="1"/>
          <w:color w:val="auto"/>
        </w:rPr>
        <w:t>Interest and dividend income</w:t>
      </w:r>
      <w:r>
        <w:rPr>
          <w:rFonts w:ascii="Arial" w:cs="Arial" w:eastAsia="Arial" w:hAnsi="Arial"/>
          <w:sz w:val="18"/>
          <w:szCs w:val="18"/>
          <w:color w:val="auto"/>
        </w:rPr>
        <w:t>. Interest and dividend income are recorded on the accrual basis to the extent that we expect to collect such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35"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27" w:lineRule="exact"/>
        <w:rPr>
          <w:sz w:val="20"/>
          <w:szCs w:val="20"/>
          <w:color w:val="auto"/>
        </w:rPr>
      </w:pPr>
    </w:p>
    <w:p>
      <w:pPr>
        <w:jc w:val="both"/>
        <w:ind w:firstLine="478"/>
        <w:spacing w:after="0" w:line="237" w:lineRule="auto"/>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we are accruing PIK dividends) are placed on non-accrual status when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4" w:name="page75"/>
    <w:bookmarkEnd w:id="74"/>
    <w:p>
      <w:pPr>
        <w:jc w:val="both"/>
        <w:ind w:firstLine="478"/>
        <w:spacing w:after="0" w:line="241"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our debt investments, we will sometimes receive warrants or other equity-related securities (Warrants). We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35" w:lineRule="exact"/>
        <w:rPr>
          <w:sz w:val="20"/>
          <w:szCs w:val="20"/>
          <w:color w:val="auto"/>
        </w:rPr>
      </w:pPr>
    </w:p>
    <w:p>
      <w:pPr>
        <w:jc w:val="both"/>
        <w:ind w:firstLine="478"/>
        <w:spacing w:after="0" w:line="274" w:lineRule="auto"/>
        <w:rPr>
          <w:sz w:val="20"/>
          <w:szCs w:val="20"/>
          <w:color w:val="auto"/>
        </w:rPr>
      </w:pPr>
      <w:r>
        <w:rPr>
          <w:rFonts w:ascii="Arial" w:cs="Arial" w:eastAsia="Arial" w:hAnsi="Arial"/>
          <w:sz w:val="16"/>
          <w:szCs w:val="16"/>
          <w:i w:val="1"/>
          <w:iCs w:val="1"/>
          <w:color w:val="auto"/>
        </w:rPr>
        <w:t xml:space="preserve">Fee income. </w:t>
      </w:r>
      <w:r>
        <w:rPr>
          <w:rFonts w:ascii="Arial" w:cs="Arial" w:eastAsia="Arial" w:hAnsi="Arial"/>
          <w:sz w:val="16"/>
          <w:szCs w:val="16"/>
          <w:color w:val="auto"/>
        </w:rPr>
        <w:t>All transaction fees earned in connection with our investments are recognized as fee income and are generally non-recurring. Such fees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 In 2020, the Company elected to change the manner in which it presents the recognition of management services fees income. Previously, the Company classified management services fees as a component of interest on idle funds and other income on the Consolidated Statement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09"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58"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7"/>
          <w:szCs w:val="17"/>
          <w:i w:val="1"/>
          <w:iCs w:val="1"/>
          <w:color w:val="auto"/>
        </w:rPr>
        <w:t xml:space="preserve">Partial loan and equity sales. </w:t>
      </w:r>
      <w:r>
        <w:rPr>
          <w:rFonts w:ascii="Arial" w:cs="Arial" w:eastAsia="Arial" w:hAnsi="Arial"/>
          <w:sz w:val="17"/>
          <w:szCs w:val="17"/>
          <w:color w:val="auto"/>
        </w:rPr>
        <w:t>The Company follows the guidance in ASC 860,</w:t>
      </w:r>
      <w:r>
        <w:rPr>
          <w:rFonts w:ascii="Arial" w:cs="Arial" w:eastAsia="Arial" w:hAnsi="Arial"/>
          <w:sz w:val="17"/>
          <w:szCs w:val="17"/>
          <w:i w:val="1"/>
          <w:iCs w:val="1"/>
          <w:color w:val="auto"/>
        </w:rPr>
        <w:t xml:space="preserve"> Transfers and Servicing, </w:t>
      </w:r>
      <w:r>
        <w:rPr>
          <w:rFonts w:ascii="Arial" w:cs="Arial" w:eastAsia="Arial" w:hAnsi="Arial"/>
          <w:sz w:val="17"/>
          <w:szCs w:val="17"/>
          <w:color w:val="auto"/>
        </w:rPr>
        <w:t>when accounting for loan (debt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0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“Reference Rate Reform (Topic 848),”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Company has agreements that have LIBOR as a reference rate with certain portfolio companies and under the Credit Facility (as described in Note 6). Many of these agreements (including the credit agreement relating to the Credit Facility) include an alternative successor rate or language for choosing an alternative successor rate when LIBOR reference is no longer considered to be appropriate. With respect to other agreements, the Company intends to work with its portfolio companies to modify agreements to choose an alternative successor rate.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did not utilize the optional expedients and exceptions provided by ASU 2020-04 during the year ended December 31, 2021.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Rule 12b-2 Update</w:t>
      </w:r>
    </w:p>
    <w:p>
      <w:pPr>
        <w:spacing w:after="0" w:line="108" w:lineRule="exact"/>
        <w:rPr>
          <w:sz w:val="20"/>
          <w:szCs w:val="20"/>
          <w:color w:val="auto"/>
        </w:rPr>
      </w:pPr>
    </w:p>
    <w:p>
      <w:pPr>
        <w:jc w:val="both"/>
        <w:ind w:left="20" w:firstLine="559"/>
        <w:spacing w:after="0" w:line="274" w:lineRule="auto"/>
        <w:rPr>
          <w:sz w:val="20"/>
          <w:szCs w:val="20"/>
          <w:color w:val="auto"/>
        </w:rPr>
      </w:pPr>
      <w:r>
        <w:rPr>
          <w:rFonts w:ascii="Arial" w:cs="Arial" w:eastAsia="Arial" w:hAnsi="Arial"/>
          <w:sz w:val="16"/>
          <w:szCs w:val="16"/>
          <w:color w:val="auto"/>
        </w:rPr>
        <w:t>In March 2020, the SEC adopted a final rule under SEC Release No. 34-88365 (the “Final Rule”), amending the accelerated filer and large accelerated filer definitions in Exchange Act Rule 12b-2. The amendments include a provision under which a BDC will be excluded from the “accelerated filer” and “large accelerated filer” definitions if the BDC has (1) a public float of $75 million or more, but less than $700 million, and (2) has annual investment income of less than $100 million. In addition, BDCs are subject to the same transition provisions for accelerated filer and large accelerated filer status as other issuers, but instead substituting investment income for revenue. The amendments will reduce the number of issuers required to comply with the auditor attestation on the internal control over financial reporting requirement provided under Section 404(b) of the Sarbanes-Oxley Act of 2002. The Final Rule applies to annual report filings due on or after April 27, 2020. As a result, the Company is no longer an accelerated filer.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Rule 1-02(w)(2) Update</w:t>
      </w:r>
    </w:p>
    <w:p>
      <w:pPr>
        <w:spacing w:after="0" w:line="162" w:lineRule="exact"/>
        <w:rPr>
          <w:sz w:val="20"/>
          <w:szCs w:val="20"/>
          <w:color w:val="auto"/>
        </w:rPr>
      </w:pPr>
    </w:p>
    <w:p>
      <w:pPr>
        <w:jc w:val="both"/>
        <w:ind w:firstLine="562"/>
        <w:spacing w:after="0" w:line="239" w:lineRule="auto"/>
        <w:rPr>
          <w:sz w:val="20"/>
          <w:szCs w:val="20"/>
          <w:color w:val="auto"/>
        </w:rPr>
      </w:pPr>
      <w:r>
        <w:rPr>
          <w:rFonts w:ascii="Arial" w:cs="Arial" w:eastAsia="Arial" w:hAnsi="Arial"/>
          <w:sz w:val="18"/>
          <w:szCs w:val="18"/>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5" w:name="page76"/>
    <w:bookmarkEnd w:id="75"/>
    <w:p>
      <w:pPr>
        <w:jc w:val="both"/>
        <w:spacing w:after="0" w:line="276" w:lineRule="auto"/>
        <w:rPr>
          <w:sz w:val="20"/>
          <w:szCs w:val="20"/>
          <w:color w:val="auto"/>
        </w:rPr>
      </w:pPr>
      <w:r>
        <w:rPr>
          <w:rFonts w:ascii="Arial" w:cs="Arial" w:eastAsia="Arial" w:hAnsi="Arial"/>
          <w:sz w:val="16"/>
          <w:szCs w:val="16"/>
          <w:color w:val="auto"/>
        </w:rPr>
        <w:t>information, respectively, in such investment company’s periodic reports for any portfolio company that meets the definition of “significant subsidiary.” The Final Rules adopt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became effective on January 1, 2021, however, the Company elected to early adopt this rule change as of December 31, 2020. The adoption of this guidance did not have a material impact on the Company’s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Regulation S-K Update</w:t>
      </w:r>
    </w:p>
    <w:p>
      <w:pPr>
        <w:spacing w:after="0" w:line="162"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8"/>
          <w:szCs w:val="18"/>
          <w:color w:val="auto"/>
        </w:rPr>
        <w:t>In November 2020, the SEC issued a final rule that modernized and simplifies Management's Discussion and Analysis of Financial Condition and Results of Operations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adopted the Amendments on the effective date which did not have a material impact on the Company’s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58" w:lineRule="exact"/>
        <w:rPr>
          <w:sz w:val="20"/>
          <w:szCs w:val="20"/>
          <w:color w:val="auto"/>
        </w:rPr>
      </w:pPr>
    </w:p>
    <w:p>
      <w:pPr>
        <w:jc w:val="both"/>
        <w:ind w:left="900" w:right="20" w:hanging="474"/>
        <w:spacing w:after="0" w:line="21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entered into the Investment Advisory Agreement with Fidus Investment Advisors, LLC, as our investment advisor. Pursuant to the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w:t>
      </w:r>
    </w:p>
    <w:p>
      <w:pPr>
        <w:spacing w:after="0" w:line="135" w:lineRule="exact"/>
        <w:rPr>
          <w:rFonts w:ascii="Arial" w:cs="Arial" w:eastAsia="Arial" w:hAnsi="Arial"/>
          <w:sz w:val="18"/>
          <w:szCs w:val="18"/>
          <w:color w:val="auto"/>
        </w:rPr>
      </w:pPr>
    </w:p>
    <w:p>
      <w:pPr>
        <w:jc w:val="both"/>
        <w:ind w:left="900" w:right="20" w:hanging="474"/>
        <w:spacing w:after="0" w:line="21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Edward H. Ross, our Chairman and Chief Executive Officer, and Thomas C. Lauer, our President, are managers of Fidus Investment Advisors, LLC. In May 2015, Fidus Investment Advisors, LLC entered into a combination with Fidus Partners, LLC (the “Combination”), by which members of Fidus Investment Advisors LLC and Fidus Partners, LLC (“Partners”) contributed all of their respective membership interest in Fidus Investment Advisors LLC and Partners to a newly formed limited liability company, Fidus Group Holdings, LLC (“Holdings”). As a result, Fidus Investment Advisors LLC is a wholly-owned subsidiary of Holdings, which is a limited liability company organized under the laws of Delaware.</w:t>
      </w:r>
    </w:p>
    <w:p>
      <w:pPr>
        <w:spacing w:after="0" w:line="134" w:lineRule="exact"/>
        <w:rPr>
          <w:rFonts w:ascii="Arial" w:cs="Arial" w:eastAsia="Arial" w:hAnsi="Arial"/>
          <w:sz w:val="18"/>
          <w:szCs w:val="18"/>
          <w:color w:val="auto"/>
        </w:rPr>
      </w:pPr>
    </w:p>
    <w:p>
      <w:pPr>
        <w:ind w:left="900" w:right="20" w:hanging="474"/>
        <w:spacing w:after="0" w:line="235"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256" w:lineRule="exact"/>
        <w:rPr>
          <w:rFonts w:ascii="Arial" w:cs="Arial" w:eastAsia="Arial" w:hAnsi="Arial"/>
          <w:sz w:val="18"/>
          <w:szCs w:val="18"/>
          <w:color w:val="auto"/>
        </w:rPr>
      </w:pPr>
    </w:p>
    <w:p>
      <w:pPr>
        <w:ind w:left="900" w:right="20" w:hanging="474"/>
        <w:spacing w:after="0" w:line="235"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148" w:lineRule="exact"/>
        <w:rPr>
          <w:rFonts w:ascii="Arial" w:cs="Arial" w:eastAsia="Arial" w:hAnsi="Arial"/>
          <w:sz w:val="18"/>
          <w:szCs w:val="18"/>
          <w:color w:val="auto"/>
        </w:rPr>
      </w:pPr>
    </w:p>
    <w:p>
      <w:pPr>
        <w:jc w:val="both"/>
        <w:ind w:left="900" w:right="20" w:hanging="474"/>
        <w:spacing w:after="0" w:line="228"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On February 25, 2020, we sold 50% of our equity investments in 20 portfolio companies to FEF I and received net proceeds of $35.9 million, resulting in a realized gain, net of estimated taxes, of approximately $20.4 million. We will not receive any fees from FEF I for any services provided in our capacity as the General Partner of FEF I.</w:t>
      </w:r>
    </w:p>
    <w:p>
      <w:pPr>
        <w:spacing w:after="0" w:line="151" w:lineRule="exact"/>
        <w:rPr>
          <w:rFonts w:ascii="Arial" w:cs="Arial" w:eastAsia="Arial" w:hAnsi="Arial"/>
          <w:sz w:val="17"/>
          <w:szCs w:val="17"/>
          <w:color w:val="auto"/>
        </w:rPr>
      </w:pPr>
    </w:p>
    <w:p>
      <w:pPr>
        <w:ind w:left="900" w:right="20" w:hanging="474"/>
        <w:spacing w:after="0" w:line="235"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Investment Advisor, in consultation with the Board, agreed to voluntarily waive $0.4 of the income incentive fee for the year ended December 31, 2020. There was no income incentive fee waiver for the year ended December 31, 2021.</w:t>
      </w:r>
    </w:p>
    <w:p>
      <w:pPr>
        <w:spacing w:after="0" w:line="148" w:lineRule="exact"/>
        <w:rPr>
          <w:rFonts w:ascii="Arial" w:cs="Arial" w:eastAsia="Arial" w:hAnsi="Arial"/>
          <w:sz w:val="18"/>
          <w:szCs w:val="18"/>
          <w:color w:val="auto"/>
        </w:rPr>
      </w:pPr>
    </w:p>
    <w:p>
      <w:pPr>
        <w:jc w:val="both"/>
        <w:ind w:left="900" w:right="20" w:hanging="474"/>
        <w:spacing w:after="0" w:line="22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Investment Advisor, in consultation with the Board, agreed to voluntarily waive $0.2 million of the base management fees on any assets accounted for as secured borrowings as defined under GAAP for the year ended December 31, 2021, respectively. There were no secured borrowings included in total assets for the year ended December 31, 2020.</w:t>
      </w:r>
    </w:p>
    <w:p>
      <w:pPr>
        <w:spacing w:after="0" w:line="311"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separate exemptive relief from the SEC, any SBA debentures issued by Fund II and Fund III are not considered senior securities for purposes of the asset coverage requirements.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6" w:name="page77"/>
    <w:bookmarkEnd w:id="76"/>
    <w:p>
      <w:pPr>
        <w:jc w:val="both"/>
        <w:ind w:firstLine="374"/>
        <w:spacing w:after="0" w:line="253" w:lineRule="auto"/>
        <w:rPr>
          <w:sz w:val="20"/>
          <w:szCs w:val="20"/>
          <w:color w:val="auto"/>
        </w:rPr>
      </w:pPr>
      <w:r>
        <w:rPr>
          <w:rFonts w:ascii="Arial" w:cs="Arial" w:eastAsia="Arial" w:hAnsi="Arial"/>
          <w:sz w:val="17"/>
          <w:szCs w:val="17"/>
          <w:color w:val="auto"/>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spacing w:after="0" w:line="126" w:lineRule="exact"/>
        <w:rPr>
          <w:sz w:val="20"/>
          <w:szCs w:val="20"/>
          <w:color w:val="auto"/>
        </w:rPr>
      </w:pPr>
    </w:p>
    <w:p>
      <w:pPr>
        <w:jc w:val="both"/>
        <w:ind w:firstLine="281"/>
        <w:spacing w:after="0" w:line="259" w:lineRule="auto"/>
        <w:rPr>
          <w:sz w:val="20"/>
          <w:szCs w:val="20"/>
          <w:color w:val="auto"/>
        </w:rPr>
      </w:pPr>
      <w:r>
        <w:rPr>
          <w:rFonts w:ascii="Arial" w:cs="Arial" w:eastAsia="Arial" w:hAnsi="Arial"/>
          <w:sz w:val="17"/>
          <w:szCs w:val="17"/>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On January 7, 2022, we issued an additional $1.5 million in SBA debentures.</w:t>
      </w:r>
    </w:p>
    <w:p>
      <w:pPr>
        <w:spacing w:after="0" w:line="158"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February 1, 2022, we invested $10.8 million in first lien debt and common equity of a leading provider of alternative out-of-home advertising across the C-store &amp; gas station, retail, truckside &amp; transit markets, among others.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 February 8, 2022, we exited our debt investments in Mirage Trailers LLC. We received payment in full of $6.7 million on our second lien debt.</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On February 15, 2022, we issued an additional $19.5 million in SBA debentures.</w:t>
      </w:r>
    </w:p>
    <w:p>
      <w:pPr>
        <w:spacing w:after="0" w:line="158" w:lineRule="exact"/>
        <w:rPr>
          <w:sz w:val="20"/>
          <w:szCs w:val="20"/>
          <w:color w:val="auto"/>
        </w:rPr>
      </w:pPr>
    </w:p>
    <w:p>
      <w:pPr>
        <w:jc w:val="both"/>
        <w:ind w:right="20" w:firstLine="469"/>
        <w:spacing w:after="0" w:line="261" w:lineRule="auto"/>
        <w:rPr>
          <w:sz w:val="20"/>
          <w:szCs w:val="20"/>
          <w:color w:val="auto"/>
        </w:rPr>
      </w:pPr>
      <w:r>
        <w:rPr>
          <w:rFonts w:ascii="Arial" w:cs="Arial" w:eastAsia="Arial" w:hAnsi="Arial"/>
          <w:sz w:val="18"/>
          <w:szCs w:val="18"/>
          <w:color w:val="auto"/>
        </w:rPr>
        <w:t>On February 15, 2022, our Board declared a regular quarterly dividend of $0.36 per share and a supplemental dividend of $0.17 per share payable March 25, 2022, to stockholders of record as of March 11, 2022.</w:t>
      </w:r>
    </w:p>
    <w:p>
      <w:pPr>
        <w:spacing w:after="0" w:line="117" w:lineRule="exact"/>
        <w:rPr>
          <w:sz w:val="20"/>
          <w:szCs w:val="20"/>
          <w:color w:val="auto"/>
        </w:rPr>
      </w:pPr>
    </w:p>
    <w:p>
      <w:pPr>
        <w:jc w:val="both"/>
        <w:ind w:right="20" w:firstLine="469"/>
        <w:spacing w:after="0" w:line="248" w:lineRule="auto"/>
        <w:rPr>
          <w:sz w:val="20"/>
          <w:szCs w:val="20"/>
          <w:color w:val="auto"/>
        </w:rPr>
      </w:pPr>
      <w:r>
        <w:rPr>
          <w:rFonts w:ascii="Arial" w:cs="Arial" w:eastAsia="Arial" w:hAnsi="Arial"/>
          <w:sz w:val="18"/>
          <w:szCs w:val="18"/>
          <w:color w:val="auto"/>
        </w:rPr>
        <w:t>On February 17, 2022, we invested $22.4 million in first lien debt and common equity of Micronics Filtration Holdings, Inc. (dba Micronics Engineered Filtration Group, Inc.), a global provider of aftermarket and OEM filtration equipment and consumables for use in mining, chemical, wastewater and various other industrial end markets.</w:t>
      </w:r>
    </w:p>
    <w:p>
      <w:pPr>
        <w:spacing w:after="0" w:line="128"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February 18, 2022, we received a distribution on our equity investment in Frontline Food Services, LLC (f/k/a Accent Food Services, LLC), resulting in a realized gain of approximately $0.2 million.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On February 25, 2022, we issued an additional $10.5 million in SBA debentures.</w:t>
      </w:r>
    </w:p>
    <w:p>
      <w:pPr>
        <w:spacing w:after="0" w:line="158"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February 28, 2022, we repaid $20.0 million of SBA debentures with a weighted average interest rate of 2.819% which would have matured on dates ranging from March 2025 to March 2028.</w:t>
      </w:r>
    </w:p>
    <w:p>
      <w:pPr>
        <w:spacing w:after="0" w:line="11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March 1, 2022, we invested $15.0 million in second lien debt of Quest Software US Holdings, Inc., a global cybersecurity, data intelligence, and IT operations management software provider.</w:t>
      </w:r>
    </w:p>
    <w:p>
      <w:pPr>
        <w:spacing w:after="0" w:line="11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March 1, 2022, we received a distribution on our equity investment in SpendMend LLC, resulting in a realized gain of approximately $6.1 million.</w:t>
      </w:r>
    </w:p>
    <w:p>
      <w:pPr>
        <w:spacing w:after="0" w:line="117"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On March 2, 2022, we invested $14.4 million in subordinated debt, preferred equity and common equity of CIH Intermediate, LLC, a technology-based risk management firm that provides education and customized price risk management services to businesses affected by volatility in the agriculture markets.</w:t>
      </w:r>
    </w:p>
    <w:p>
      <w:pPr>
        <w:spacing w:after="0" w:line="33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2"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addition, U.S. and global capital markets and credit markets have experienced a higher level of stress due to the global COVID-19 pandemic, which has resulted in an increase in the level of volatility across such markets and a general decline in value of the securities held by us.</w:t>
      </w:r>
    </w:p>
    <w:p>
      <w:pPr>
        <w:spacing w:after="0" w:line="12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color w:val="auto"/>
        </w:rPr>
        <w:t>In the future, our investment income may also be affected by changes in various interest rates, including the decommissioning of LIBOR and changes in alternate rates and prime rates, to the extent of any debt investments that include floating interest rates. In connection with the COVID-19 pandemic, the U.S. Federal Reserve and other central banks have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a decrease in in our operating expenses, including with respect to our income incentive fee, or a decrease in the interest rate of our floating interest rate liabilities tied to LIBOR. More recently, the Federal Reserve has indicated that it would likely raise interest rates in March 2022 in response to an increase in inflation. See Item 1A. “Risk Factors – Changes in interest rates will affect our cost of capital and net investment income”, “Risk Factors – Inflation may adversely affect the business, results of operations and financial condition of our portfolio companies, which may, in turn, impact the valuation of such portfolio companies”, and “Risk Factors – Changes relating to the discontinuation LIBOR may adversely affect the value of our portfolio of LIBOR-indexed, floating-rate debt securities.</w:t>
      </w:r>
    </w:p>
    <w:p>
      <w:pPr>
        <w:spacing w:after="0" w:line="117"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6"/>
          <w:szCs w:val="16"/>
          <w:color w:val="auto"/>
        </w:rPr>
        <w:t>As of December 31, 2021 and 2020, 32 and 22 portfolio company’s debt investments, respectively, bore interest at a variable rate, which represented $376.0 million and $230.9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5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right="20" w:firstLine="374"/>
        <w:spacing w:after="0" w:line="258" w:lineRule="auto"/>
        <w:rPr>
          <w:sz w:val="20"/>
          <w:szCs w:val="20"/>
          <w:color w:val="auto"/>
        </w:rPr>
      </w:pPr>
      <w:r>
        <w:rPr>
          <w:rFonts w:ascii="Arial" w:cs="Arial" w:eastAsia="Arial" w:hAnsi="Arial"/>
          <w:sz w:val="17"/>
          <w:szCs w:val="17"/>
          <w:color w:val="auto"/>
        </w:rPr>
        <w:t>The following table shows the approximate annualized increase or decrease in the components of net investment income due to hypothetical base rate changes in interest rates, assuming no changes in our investments and borrowings as of December 31, 2021 (dollars in millions):</w:t>
      </w:r>
    </w:p>
    <w:tbl>
      <w:tblPr>
        <w:tblLayout w:type="fixed"/>
        <w:tblInd w:w="0" w:type="dxa"/>
        <w:tblCellMar>
          <w:top w:w="0" w:type="dxa"/>
          <w:left w:w="0" w:type="dxa"/>
          <w:bottom w:w="0" w:type="dxa"/>
          <w:right w:w="0" w:type="dxa"/>
        </w:tblCellMar>
      </w:tblPr>
      <w:tr>
        <w:trPr>
          <w:trHeight w:val="183"/>
        </w:trPr>
        <w:tc>
          <w:tcPr>
            <w:tcW w:w="3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3"/>
          </w:tcPr>
          <w:p>
            <w:pPr>
              <w:jc w:val="center"/>
              <w:ind w:right="470"/>
              <w:spacing w:after="0" w:line="183" w:lineRule="exact"/>
              <w:rPr>
                <w:sz w:val="20"/>
                <w:szCs w:val="20"/>
                <w:color w:val="auto"/>
              </w:rPr>
            </w:pPr>
            <w:r>
              <w:rPr>
                <w:rFonts w:ascii="Arial" w:cs="Arial" w:eastAsia="Arial" w:hAnsi="Arial"/>
                <w:sz w:val="18"/>
                <w:szCs w:val="18"/>
                <w:b w:val="1"/>
                <w:bCs w:val="1"/>
                <w:color w:val="auto"/>
                <w:w w:val="91"/>
              </w:rPr>
              <w:t>Interest Income</w:t>
            </w:r>
          </w:p>
        </w:tc>
        <w:tc>
          <w:tcPr>
            <w:tcW w:w="1960" w:type="dxa"/>
            <w:vAlign w:val="bottom"/>
            <w:gridSpan w:val="3"/>
          </w:tcPr>
          <w:p>
            <w:pPr>
              <w:jc w:val="center"/>
              <w:ind w:right="510"/>
              <w:spacing w:after="0" w:line="183" w:lineRule="exact"/>
              <w:rPr>
                <w:sz w:val="20"/>
                <w:szCs w:val="20"/>
                <w:color w:val="auto"/>
              </w:rPr>
            </w:pPr>
            <w:r>
              <w:rPr>
                <w:rFonts w:ascii="Arial" w:cs="Arial" w:eastAsia="Arial" w:hAnsi="Arial"/>
                <w:sz w:val="18"/>
                <w:szCs w:val="18"/>
                <w:b w:val="1"/>
                <w:bCs w:val="1"/>
                <w:color w:val="auto"/>
                <w:w w:val="88"/>
              </w:rPr>
              <w:t>Interest Expense</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3"/>
          </w:tcPr>
          <w:p>
            <w:pPr>
              <w:jc w:val="center"/>
              <w:ind w:right="450"/>
              <w:spacing w:after="0" w:line="181" w:lineRule="exact"/>
              <w:rPr>
                <w:sz w:val="20"/>
                <w:szCs w:val="20"/>
                <w:color w:val="auto"/>
              </w:rPr>
            </w:pPr>
            <w:r>
              <w:rPr>
                <w:rFonts w:ascii="Arial" w:cs="Arial" w:eastAsia="Arial" w:hAnsi="Arial"/>
                <w:sz w:val="18"/>
                <w:szCs w:val="18"/>
                <w:b w:val="1"/>
                <w:bCs w:val="1"/>
                <w:color w:val="auto"/>
                <w:w w:val="87"/>
              </w:rPr>
              <w:t>Increase</w:t>
            </w:r>
          </w:p>
        </w:tc>
        <w:tc>
          <w:tcPr>
            <w:tcW w:w="1960" w:type="dxa"/>
            <w:vAlign w:val="bottom"/>
            <w:gridSpan w:val="3"/>
          </w:tcPr>
          <w:p>
            <w:pPr>
              <w:jc w:val="center"/>
              <w:ind w:right="510"/>
              <w:spacing w:after="0" w:line="181" w:lineRule="exact"/>
              <w:rPr>
                <w:sz w:val="20"/>
                <w:szCs w:val="20"/>
                <w:color w:val="auto"/>
              </w:rPr>
            </w:pPr>
            <w:r>
              <w:rPr>
                <w:rFonts w:ascii="Arial" w:cs="Arial" w:eastAsia="Arial" w:hAnsi="Arial"/>
                <w:sz w:val="18"/>
                <w:szCs w:val="18"/>
                <w:b w:val="1"/>
                <w:bCs w:val="1"/>
                <w:color w:val="auto"/>
                <w:w w:val="87"/>
              </w:rPr>
              <w:t>Increase</w:t>
            </w:r>
          </w:p>
        </w:tc>
        <w:tc>
          <w:tcPr>
            <w:tcW w:w="1780" w:type="dxa"/>
            <w:vAlign w:val="bottom"/>
            <w:gridSpan w:val="3"/>
          </w:tcPr>
          <w:p>
            <w:pPr>
              <w:jc w:val="center"/>
              <w:ind w:right="530"/>
              <w:spacing w:after="0" w:line="181" w:lineRule="exact"/>
              <w:rPr>
                <w:sz w:val="20"/>
                <w:szCs w:val="20"/>
                <w:color w:val="auto"/>
              </w:rPr>
            </w:pPr>
            <w:r>
              <w:rPr>
                <w:rFonts w:ascii="Arial" w:cs="Arial" w:eastAsia="Arial" w:hAnsi="Arial"/>
                <w:sz w:val="18"/>
                <w:szCs w:val="18"/>
                <w:b w:val="1"/>
                <w:bCs w:val="1"/>
                <w:color w:val="auto"/>
                <w:w w:val="89"/>
              </w:rPr>
              <w:t>Net Increase</w:t>
            </w:r>
          </w:p>
        </w:tc>
        <w:tc>
          <w:tcPr>
            <w:tcW w:w="144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w w:val="94"/>
              </w:rPr>
              <w:t>Net Investment</w:t>
            </w:r>
          </w:p>
        </w:tc>
        <w:tc>
          <w:tcPr>
            <w:tcW w:w="60" w:type="dxa"/>
            <w:vAlign w:val="bottom"/>
          </w:tcPr>
          <w:p>
            <w:pPr>
              <w:spacing w:after="0"/>
              <w:rPr>
                <w:sz w:val="15"/>
                <w:szCs w:val="15"/>
                <w:color w:val="auto"/>
              </w:rPr>
            </w:pPr>
          </w:p>
        </w:tc>
      </w:tr>
      <w:tr>
        <w:trPr>
          <w:trHeight w:val="243"/>
        </w:trPr>
        <w:tc>
          <w:tcPr>
            <w:tcW w:w="4140" w:type="dxa"/>
            <w:vAlign w:val="bottom"/>
            <w:gridSpan w:val="3"/>
          </w:tcPr>
          <w:p>
            <w:pPr>
              <w:jc w:val="right"/>
              <w:ind w:right="1630"/>
              <w:spacing w:after="0"/>
              <w:rPr>
                <w:sz w:val="20"/>
                <w:szCs w:val="20"/>
                <w:color w:val="auto"/>
              </w:rPr>
            </w:pPr>
            <w:r>
              <w:rPr>
                <w:rFonts w:ascii="Arial" w:cs="Arial" w:eastAsia="Arial" w:hAnsi="Arial"/>
                <w:sz w:val="18"/>
                <w:szCs w:val="18"/>
                <w:b w:val="1"/>
                <w:bCs w:val="1"/>
                <w:color w:val="auto"/>
                <w:w w:val="87"/>
              </w:rPr>
              <w:t>Basis Point Increase (Decrease)</w:t>
            </w:r>
          </w:p>
        </w:tc>
        <w:tc>
          <w:tcPr>
            <w:tcW w:w="1860" w:type="dxa"/>
            <w:vAlign w:val="bottom"/>
            <w:gridSpan w:val="3"/>
          </w:tcPr>
          <w:p>
            <w:pPr>
              <w:jc w:val="center"/>
              <w:ind w:right="450"/>
              <w:spacing w:after="0" w:line="243" w:lineRule="exact"/>
              <w:rPr>
                <w:sz w:val="20"/>
                <w:szCs w:val="20"/>
                <w:color w:val="auto"/>
              </w:rPr>
            </w:pPr>
            <w:r>
              <w:rPr>
                <w:rFonts w:ascii="Arial" w:cs="Arial" w:eastAsia="Arial" w:hAnsi="Arial"/>
                <w:sz w:val="18"/>
                <w:szCs w:val="18"/>
                <w:b w:val="1"/>
                <w:bCs w:val="1"/>
                <w:color w:val="auto"/>
                <w:w w:val="82"/>
              </w:rPr>
              <w:t xml:space="preserve">(Decrease) </w:t>
            </w:r>
            <w:r>
              <w:rPr>
                <w:rFonts w:ascii="Arial" w:cs="Arial" w:eastAsia="Arial" w:hAnsi="Arial"/>
                <w:sz w:val="24"/>
                <w:szCs w:val="24"/>
                <w:b w:val="1"/>
                <w:bCs w:val="1"/>
                <w:color w:val="auto"/>
                <w:w w:val="82"/>
                <w:vertAlign w:val="superscript"/>
              </w:rPr>
              <w:t>(1) (2)</w:t>
            </w:r>
          </w:p>
        </w:tc>
        <w:tc>
          <w:tcPr>
            <w:tcW w:w="196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86"/>
              </w:rPr>
              <w:t>(Decrease)</w:t>
            </w:r>
          </w:p>
        </w:tc>
        <w:tc>
          <w:tcPr>
            <w:tcW w:w="17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86"/>
              </w:rPr>
              <w:t>(Decrease)</w:t>
            </w:r>
          </w:p>
        </w:tc>
        <w:tc>
          <w:tcPr>
            <w:tcW w:w="1440" w:type="dxa"/>
            <w:vAlign w:val="bottom"/>
          </w:tcPr>
          <w:p>
            <w:pPr>
              <w:jc w:val="right"/>
              <w:ind w:right="330"/>
              <w:spacing w:after="0" w:line="243" w:lineRule="exact"/>
              <w:rPr>
                <w:sz w:val="20"/>
                <w:szCs w:val="20"/>
                <w:color w:val="auto"/>
              </w:rPr>
            </w:pPr>
            <w:r>
              <w:rPr>
                <w:rFonts w:ascii="Arial" w:cs="Arial" w:eastAsia="Arial" w:hAnsi="Arial"/>
                <w:sz w:val="18"/>
                <w:szCs w:val="18"/>
                <w:b w:val="1"/>
                <w:bCs w:val="1"/>
                <w:color w:val="auto"/>
              </w:rPr>
              <w:t xml:space="preserve">Income </w:t>
            </w:r>
            <w:r>
              <w:rPr>
                <w:rFonts w:ascii="Arial" w:cs="Arial" w:eastAsia="Arial" w:hAnsi="Arial"/>
                <w:sz w:val="24"/>
                <w:szCs w:val="24"/>
                <w:b w:val="1"/>
                <w:bCs w:val="1"/>
                <w:color w:val="auto"/>
                <w:vertAlign w:val="superscript"/>
              </w:rPr>
              <w:t>(3)</w:t>
            </w:r>
          </w:p>
        </w:tc>
        <w:tc>
          <w:tcPr>
            <w:tcW w:w="60" w:type="dxa"/>
            <w:vAlign w:val="bottom"/>
          </w:tcPr>
          <w:p>
            <w:pPr>
              <w:spacing w:after="0"/>
              <w:rPr>
                <w:sz w:val="21"/>
                <w:szCs w:val="21"/>
                <w:color w:val="auto"/>
              </w:rPr>
            </w:pPr>
          </w:p>
        </w:tc>
      </w:tr>
      <w:tr>
        <w:trPr>
          <w:trHeight w:val="196"/>
        </w:trPr>
        <w:tc>
          <w:tcPr>
            <w:tcW w:w="3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39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(150 )</w:t>
            </w:r>
          </w:p>
        </w:tc>
        <w:tc>
          <w:tcPr>
            <w:tcW w:w="160" w:type="dxa"/>
            <w:vAlign w:val="bottom"/>
          </w:tcPr>
          <w:p>
            <w:pPr>
              <w:spacing w:after="0"/>
              <w:rPr>
                <w:sz w:val="17"/>
                <w:szCs w:val="17"/>
                <w:color w:val="auto"/>
              </w:rPr>
            </w:pPr>
          </w:p>
        </w:tc>
        <w:tc>
          <w:tcPr>
            <w:tcW w:w="1860" w:type="dxa"/>
            <w:vAlign w:val="bottom"/>
            <w:gridSpan w:val="3"/>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3980" w:type="dxa"/>
            <w:vAlign w:val="bottom"/>
            <w:gridSpan w:val="2"/>
            <w:shd w:val="clear" w:color="auto" w:fill="CCEEFF"/>
          </w:tcPr>
          <w:p>
            <w:pPr>
              <w:jc w:val="right"/>
              <w:ind w:right="141"/>
              <w:spacing w:after="0" w:line="202" w:lineRule="exact"/>
              <w:rPr>
                <w:sz w:val="20"/>
                <w:szCs w:val="20"/>
                <w:color w:val="auto"/>
              </w:rPr>
            </w:pPr>
            <w:r>
              <w:rPr>
                <w:rFonts w:ascii="Arial" w:cs="Arial" w:eastAsia="Arial" w:hAnsi="Arial"/>
                <w:sz w:val="18"/>
                <w:szCs w:val="18"/>
                <w:color w:val="auto"/>
              </w:rPr>
              <w:t>(100 )</w:t>
            </w:r>
          </w:p>
        </w:tc>
        <w:tc>
          <w:tcPr>
            <w:tcW w:w="1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39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(50 )</w:t>
            </w:r>
          </w:p>
        </w:tc>
        <w:tc>
          <w:tcPr>
            <w:tcW w:w="160" w:type="dxa"/>
            <w:vAlign w:val="bottom"/>
          </w:tcPr>
          <w:p>
            <w:pPr>
              <w:spacing w:after="0"/>
              <w:rPr>
                <w:sz w:val="17"/>
                <w:szCs w:val="17"/>
                <w:color w:val="auto"/>
              </w:rPr>
            </w:pPr>
          </w:p>
        </w:tc>
        <w:tc>
          <w:tcPr>
            <w:tcW w:w="1860" w:type="dxa"/>
            <w:vAlign w:val="bottom"/>
            <w:gridSpan w:val="3"/>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3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7"/>
                <w:szCs w:val="17"/>
                <w:color w:val="auto"/>
              </w:rPr>
            </w:pPr>
          </w:p>
        </w:tc>
      </w:tr>
      <w:tr>
        <w:trPr>
          <w:trHeight w:val="203"/>
        </w:trPr>
        <w:tc>
          <w:tcPr>
            <w:tcW w:w="37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r>
      <w:tr>
        <w:trPr>
          <w:trHeight w:val="203"/>
        </w:trPr>
        <w:tc>
          <w:tcPr>
            <w:tcW w:w="3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7"/>
                <w:szCs w:val="17"/>
                <w:color w:val="auto"/>
              </w:rPr>
            </w:pPr>
          </w:p>
        </w:tc>
      </w:tr>
      <w:tr>
        <w:trPr>
          <w:trHeight w:val="203"/>
        </w:trPr>
        <w:tc>
          <w:tcPr>
            <w:tcW w:w="370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60" w:type="dxa"/>
            <w:vAlign w:val="bottom"/>
          </w:tcPr>
          <w:p>
            <w:pPr>
              <w:spacing w:after="0"/>
              <w:rPr>
                <w:sz w:val="17"/>
                <w:szCs w:val="17"/>
                <w:color w:val="auto"/>
              </w:rPr>
            </w:pPr>
          </w:p>
        </w:tc>
      </w:tr>
      <w:tr>
        <w:trPr>
          <w:trHeight w:val="203"/>
        </w:trPr>
        <w:tc>
          <w:tcPr>
            <w:tcW w:w="3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7"/>
                <w:szCs w:val="17"/>
                <w:color w:val="auto"/>
              </w:rPr>
            </w:pPr>
          </w:p>
        </w:tc>
      </w:tr>
      <w:tr>
        <w:trPr>
          <w:trHeight w:val="230"/>
        </w:trPr>
        <w:tc>
          <w:tcPr>
            <w:tcW w:w="370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0"/>
                <w:szCs w:val="20"/>
                <w:color w:val="auto"/>
              </w:rPr>
            </w:pPr>
          </w:p>
        </w:tc>
      </w:tr>
    </w:tbl>
    <w:p>
      <w:pPr>
        <w:spacing w:after="0" w:line="156" w:lineRule="exact"/>
        <w:rPr>
          <w:sz w:val="20"/>
          <w:szCs w:val="20"/>
          <w:color w:val="auto"/>
        </w:rPr>
      </w:pPr>
    </w:p>
    <w:p>
      <w:pPr>
        <w:ind w:left="360" w:hanging="339"/>
        <w:spacing w:after="0"/>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Certain of our variable rate debt investments have a LIBOR or PRIME interest rate floor, which lessens the impact of decreases in interest rates.</w:t>
      </w:r>
    </w:p>
    <w:p>
      <w:pPr>
        <w:spacing w:after="0" w:line="68" w:lineRule="exact"/>
        <w:rPr>
          <w:rFonts w:ascii="Arial" w:cs="Arial" w:eastAsia="Arial" w:hAnsi="Arial"/>
          <w:sz w:val="14"/>
          <w:szCs w:val="14"/>
          <w:color w:val="auto"/>
        </w:rPr>
      </w:pPr>
    </w:p>
    <w:p>
      <w:pPr>
        <w:ind w:left="360" w:hanging="339"/>
        <w:spacing w:after="0"/>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Interest income calculated assuming three-month LIBOR rate and the PRIME rate as of December 31, 2021.</w:t>
      </w:r>
    </w:p>
    <w:p>
      <w:pPr>
        <w:spacing w:after="0" w:line="82" w:lineRule="exact"/>
        <w:rPr>
          <w:rFonts w:ascii="Arial" w:cs="Arial" w:eastAsia="Arial" w:hAnsi="Arial"/>
          <w:sz w:val="14"/>
          <w:szCs w:val="14"/>
          <w:color w:val="auto"/>
        </w:rPr>
      </w:pPr>
    </w:p>
    <w:p>
      <w:pPr>
        <w:ind w:left="360" w:hanging="339"/>
        <w:spacing w:after="0"/>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the impact of income incentive fee at 20.0% on net increase (decrease) in net interest.</w:t>
      </w:r>
    </w:p>
    <w:p>
      <w:pPr>
        <w:spacing w:after="0" w:line="82" w:lineRule="exact"/>
        <w:rPr>
          <w:rFonts w:ascii="Arial" w:cs="Arial" w:eastAsia="Arial" w:hAnsi="Arial"/>
          <w:sz w:val="14"/>
          <w:szCs w:val="14"/>
          <w:color w:val="auto"/>
        </w:rPr>
      </w:pPr>
    </w:p>
    <w:p>
      <w:pPr>
        <w:ind w:left="360" w:hanging="339"/>
        <w:spacing w:after="0"/>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December 31, 2021, we did not have any borrowings outstanding under our Credit Facility.</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58" w:lineRule="exact"/>
        <w:rPr>
          <w:sz w:val="20"/>
          <w:szCs w:val="20"/>
          <w:color w:val="auto"/>
        </w:rPr>
      </w:pPr>
    </w:p>
    <w:p>
      <w:pPr>
        <w:ind w:left="3980"/>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Page</w:t>
            </w:r>
          </w:p>
        </w:tc>
      </w:tr>
      <w:tr>
        <w:trPr>
          <w:trHeight w:val="304"/>
        </w:trPr>
        <w:tc>
          <w:tcPr>
            <w:tcW w:w="42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Report of Independent Registered Public Accounting Firm</w:t>
              </w:r>
            </w:hyperlink>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99"/>
        </w:trPr>
        <w:tc>
          <w:tcPr>
            <w:tcW w:w="1022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780" w:type="dxa"/>
            <w:vAlign w:val="bottom"/>
          </w:tcPr>
          <w:p>
            <w:pPr>
              <w:spacing w:after="0"/>
              <w:rPr>
                <w:sz w:val="24"/>
                <w:szCs w:val="24"/>
                <w:color w:val="auto"/>
              </w:rPr>
            </w:pPr>
          </w:p>
        </w:tc>
      </w:tr>
      <w:tr>
        <w:trPr>
          <w:trHeight w:val="297"/>
        </w:trPr>
        <w:tc>
          <w:tcPr>
            <w:tcW w:w="360" w:type="dxa"/>
            <w:vAlign w:val="bottom"/>
          </w:tcPr>
          <w:p>
            <w:pPr>
              <w:spacing w:after="0"/>
              <w:rPr>
                <w:sz w:val="24"/>
                <w:szCs w:val="24"/>
                <w:color w:val="auto"/>
              </w:rPr>
            </w:pPr>
          </w:p>
        </w:tc>
        <w:tc>
          <w:tcPr>
            <w:tcW w:w="614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Consolidated Statements of Assets and Liabilities as of December 31, 2021 and 2020</w:t>
              </w:r>
            </w:hyperlink>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58"/>
        </w:trPr>
        <w:tc>
          <w:tcPr>
            <w:tcW w:w="360" w:type="dxa"/>
            <w:vAlign w:val="bottom"/>
          </w:tcPr>
          <w:p>
            <w:pPr>
              <w:spacing w:after="0"/>
              <w:rPr>
                <w:sz w:val="24"/>
                <w:szCs w:val="24"/>
                <w:color w:val="auto"/>
              </w:rPr>
            </w:pPr>
          </w:p>
        </w:tc>
        <w:tc>
          <w:tcPr>
            <w:tcW w:w="69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Consolidated Statements of Operations for the Years Ended December 31, 2021, 2020 and 2019</w:t>
              </w:r>
            </w:hyperlink>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58"/>
        </w:trPr>
        <w:tc>
          <w:tcPr>
            <w:tcW w:w="360" w:type="dxa"/>
            <w:vAlign w:val="bottom"/>
          </w:tcPr>
          <w:p>
            <w:pPr>
              <w:spacing w:after="0"/>
              <w:rPr>
                <w:sz w:val="24"/>
                <w:szCs w:val="24"/>
                <w:color w:val="auto"/>
              </w:rPr>
            </w:pPr>
          </w:p>
        </w:tc>
        <w:tc>
          <w:tcPr>
            <w:tcW w:w="774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84">
              <w:r>
                <w:rPr>
                  <w:rFonts w:ascii="Arial" w:cs="Arial" w:eastAsia="Arial" w:hAnsi="Arial"/>
                  <w:sz w:val="18"/>
                  <w:szCs w:val="18"/>
                  <w:color w:val="0000FF"/>
                  <w:w w:val="88"/>
                </w:rPr>
                <w:t>Consolidated Statements of Changes in Net Assets for the Years Ended December 31, 2021, 2020 and 2019</w:t>
              </w:r>
            </w:hyperlink>
          </w:p>
        </w:tc>
        <w:tc>
          <w:tcPr>
            <w:tcW w:w="2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58"/>
        </w:trPr>
        <w:tc>
          <w:tcPr>
            <w:tcW w:w="360" w:type="dxa"/>
            <w:vAlign w:val="bottom"/>
          </w:tcPr>
          <w:p>
            <w:pPr>
              <w:spacing w:after="0"/>
              <w:rPr>
                <w:sz w:val="24"/>
                <w:szCs w:val="24"/>
                <w:color w:val="auto"/>
              </w:rPr>
            </w:pPr>
          </w:p>
        </w:tc>
        <w:tc>
          <w:tcPr>
            <w:tcW w:w="696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Consolidated Statements of Cash Flows for the Years Ended December 31, 2021, 2020 and 2019</w:t>
              </w:r>
            </w:hyperlink>
          </w:p>
        </w:tc>
        <w:tc>
          <w:tcPr>
            <w:tcW w:w="290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58"/>
        </w:trPr>
        <w:tc>
          <w:tcPr>
            <w:tcW w:w="360" w:type="dxa"/>
            <w:vAlign w:val="bottom"/>
          </w:tcPr>
          <w:p>
            <w:pPr>
              <w:spacing w:after="0"/>
              <w:rPr>
                <w:sz w:val="24"/>
                <w:szCs w:val="24"/>
                <w:color w:val="auto"/>
              </w:rPr>
            </w:pPr>
          </w:p>
        </w:tc>
        <w:tc>
          <w:tcPr>
            <w:tcW w:w="540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Consolidated Schedules of Investments as of December 31, 2021 and 2020</w:t>
              </w:r>
            </w:hyperlink>
          </w:p>
        </w:tc>
        <w:tc>
          <w:tcPr>
            <w:tcW w:w="44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58"/>
        </w:trPr>
        <w:tc>
          <w:tcPr>
            <w:tcW w:w="360" w:type="dxa"/>
            <w:vAlign w:val="bottom"/>
          </w:tcPr>
          <w:p>
            <w:pPr>
              <w:spacing w:after="0"/>
              <w:rPr>
                <w:sz w:val="24"/>
                <w:szCs w:val="24"/>
                <w:color w:val="auto"/>
              </w:rPr>
            </w:pPr>
          </w:p>
        </w:tc>
        <w:tc>
          <w:tcPr>
            <w:tcW w:w="3140" w:type="dxa"/>
            <w:vAlign w:val="bottom"/>
            <w:tcBorders>
              <w:bottom w:val="single" w:sz="8" w:color="0000FF"/>
            </w:tcBorders>
          </w:tcPr>
          <w:p>
            <w:pPr>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Notes to Consolidated Financial Statements</w:t>
              </w:r>
            </w:hyperlink>
          </w:p>
        </w:tc>
        <w:tc>
          <w:tcPr>
            <w:tcW w:w="672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96</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Fidus Investment Corporation and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We have audited the accompanying consolidated statements of assets and liabilities of Fidus Investment Corporation and Subsidiaries (the Company), including the consolidated schedules of investments, as of December 31, 2021 and 2020, the related consolidated statements of operations, changes in net assets, and cash flows for each of the three years in the period ended December 31, 2021, and the related notes, which include the senior securities table, to the consolidated financial statements (collectively, the financial statements). In our opinion, the financial statements present fairly, in all material respects, the financial position of the Company as of December 31, 2021 and 2020, and the results of its operations, changes in net assets, and cash flows for each of the three years in the period ended December 31, 2021, in conformity with accounting principles generally accepted in the United States of America.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7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December 31, 2021 and 2020, by correspondence with the custodians, portfolio companies or agents or by other appropriate procedures where replies from custodians, portfolio companies or agents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level 3 investments</w:t>
      </w:r>
    </w:p>
    <w:p>
      <w:pPr>
        <w:spacing w:after="0" w:line="198"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As discussed in Notes 2 and 4 to the consolidated financial statements, the Company measures substantially all of its investments at fair value using unobservable inputs and assumptions as there is no readily available market value. Due to the use of unobservable inputs in determining fair value, these investments are classified as level 3 within the fair value hierarchy and total $719,124 thousand as of December 31, 2021.</w:t>
      </w:r>
    </w:p>
    <w:p>
      <w:pPr>
        <w:spacing w:after="0" w:line="15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identified the valuation of certain level 3 investments as a critical audit matter because of certain significant assumptions management makes in determining the estimate, including the selected valuation techniques, revenue or EBITDA multiples, and discount rates. Auditing management’s valuation techniques and assumptions of revenue and EBITDA multiples and the discount rate involved a high degree of auditor judgment and increased audit effort, including the use of valuation specialists, as changes in these assumptions could have a significant impact on the fair value of the level 3 investments.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valuation of level 3 investments included the following, among others: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0" w:name="page81"/>
    <w:bookmarkEnd w:id="80"/>
    <w:p>
      <w:pPr>
        <w:ind w:left="1020" w:hanging="503"/>
        <w:spacing w:after="0" w:line="248"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the Company’s process to determine fair value of its level 3 investments, including controls over the Company’s methods and selection of significant unobservable inputs and tested a control over key financial inputs used in the valuation for operating effectiveness.</w:t>
      </w:r>
    </w:p>
    <w:p>
      <w:pPr>
        <w:spacing w:after="0" w:line="276" w:lineRule="exact"/>
        <w:rPr>
          <w:rFonts w:ascii="Arial" w:cs="Arial" w:eastAsia="Arial" w:hAnsi="Arial"/>
          <w:sz w:val="18"/>
          <w:szCs w:val="18"/>
          <w:color w:val="auto"/>
        </w:rPr>
      </w:pPr>
    </w:p>
    <w:p>
      <w:pPr>
        <w:ind w:left="1020" w:right="660" w:hanging="503"/>
        <w:spacing w:after="0" w:line="262"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evaluated the appropriateness of management’s valuation techniques, such as the discounted cash flow or enterprise value, and management’s asset coverage analysis. We also evaluated whether assumptions used by management, including revenue or EBITDA multiples and discount rates, were reasonable by comparing these inputs to market information obtained from external sources. For a selection of investments, we utilized valuation specialists to perform this evaluation.</w:t>
      </w:r>
    </w:p>
    <w:p>
      <w:pPr>
        <w:spacing w:after="0" w:line="266" w:lineRule="exact"/>
        <w:rPr>
          <w:rFonts w:ascii="Arial" w:cs="Arial" w:eastAsia="Arial" w:hAnsi="Arial"/>
          <w:sz w:val="17"/>
          <w:szCs w:val="17"/>
          <w:color w:val="auto"/>
        </w:rPr>
      </w:pPr>
    </w:p>
    <w:p>
      <w:pPr>
        <w:ind w:left="1020" w:right="16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 select number of investments, we utilized the valuation specialists to develop an independent fair value estimate which was compared to management’s estimate.</w:t>
      </w:r>
    </w:p>
    <w:p>
      <w:pPr>
        <w:spacing w:after="0" w:line="265"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evaluated the Company’s historical ability to estimate fair value by comparing the fair value as estimated by management against sale transactions, where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98"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As discussed in Notes 2 and 6 to the consolidated financial statements, secured borrowings were $17,637 thousand as of December 31, 2021 and the Company evaluates the accounting principles when determining if there has been a sale or disposition of a portfolio investment.</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identified the transfer of financial assets as a critical audit matter as management’s assessment of the accounting principles that determine if a financial transfer occurred is complex and requires that management make significant judgments, including determining (1) if assets are legally isolated from the Company, (2) if there is continuing involvement of the Company and (3) if third party constraints provide a more than trivial benefit to the Company. Auditing management’s determination of whether the transfer should be accounted for as a sale or secured borrowing involved a high degree of auditor judgment and increased audit effort as changes in management’s judgments could change the conclusion reached.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transfer of financial assets analysis included the following, among others:</w:t>
      </w:r>
    </w:p>
    <w:p>
      <w:pPr>
        <w:spacing w:after="0" w:line="306" w:lineRule="exact"/>
        <w:rPr>
          <w:sz w:val="20"/>
          <w:szCs w:val="20"/>
          <w:color w:val="auto"/>
        </w:rPr>
      </w:pPr>
    </w:p>
    <w:p>
      <w:pPr>
        <w:ind w:left="1020" w:right="2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evaluated the Company’s determination of sale or secured borrowing by evaluating the following factors: (1) if the transferred assets were isolated from the Company, (2) if there is continuing involvement of the Company, and (3) if third party constraints provide a more than trivial benefit to the Company.</w:t>
      </w:r>
    </w:p>
    <w:p>
      <w:pPr>
        <w:spacing w:after="0" w:line="276"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inspected legal documents and correspondence with custodians, portfolio companies or agents in order to evaluate whether the criteria for sale treatment under the accounting principles was met.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Assets and Liabilities</w:t>
      </w:r>
    </w:p>
    <w:p>
      <w:pPr>
        <w:ind w:left="376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Control investments (cost: $6,833 and $32,969, respectively)</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2,151</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28,253</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20"/>
              <w:spacing w:after="0"/>
              <w:rPr>
                <w:sz w:val="20"/>
                <w:szCs w:val="20"/>
                <w:color w:val="auto"/>
              </w:rPr>
            </w:pPr>
            <w:r>
              <w:rPr>
                <w:rFonts w:ascii="Arial" w:cs="Arial" w:eastAsia="Arial" w:hAnsi="Arial"/>
                <w:sz w:val="14"/>
                <w:szCs w:val="14"/>
                <w:color w:val="auto"/>
              </w:rPr>
              <w:t>Affiliate investments (cost: $55,519 and $31,836, respectively)</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137,284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81,394</w:t>
            </w:r>
          </w:p>
        </w:tc>
        <w:tc>
          <w:tcPr>
            <w:tcW w:w="6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Non-control/non-affiliate investments (cost: $559,434 and $622,222, respectively)</w:t>
            </w:r>
          </w:p>
        </w:tc>
        <w:tc>
          <w:tcPr>
            <w:tcW w:w="2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579,689</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633,222</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Total investments, at fair value (cost: $621,786 and $687,027, respectively)</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719,124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742,869</w:t>
            </w:r>
          </w:p>
        </w:tc>
        <w:tc>
          <w:tcPr>
            <w:tcW w:w="60" w:type="dxa"/>
            <w:vAlign w:val="bottom"/>
          </w:tcPr>
          <w:p>
            <w:pPr>
              <w:spacing w:after="0"/>
              <w:rPr>
                <w:sz w:val="14"/>
                <w:szCs w:val="14"/>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169,417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124,308</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8,231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7,548</w:t>
            </w:r>
          </w:p>
        </w:tc>
        <w:tc>
          <w:tcPr>
            <w:tcW w:w="60" w:type="dxa"/>
            <w:vAlign w:val="bottom"/>
          </w:tcPr>
          <w:p>
            <w:pPr>
              <w:spacing w:after="0"/>
              <w:rPr>
                <w:sz w:val="15"/>
                <w:szCs w:val="15"/>
                <w:color w:val="auto"/>
              </w:rPr>
            </w:pPr>
          </w:p>
        </w:tc>
      </w:tr>
      <w:tr>
        <w:trPr>
          <w:trHeight w:val="17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413</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1,015</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897,185</w:t>
            </w:r>
          </w:p>
        </w:tc>
        <w:tc>
          <w:tcPr>
            <w:tcW w:w="26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875,740</w:t>
            </w:r>
          </w:p>
        </w:tc>
        <w:tc>
          <w:tcPr>
            <w:tcW w:w="6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77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SBA debentures, net of deferred financing costs (Note 6)</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103,978</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144,004</w:t>
            </w:r>
          </w:p>
        </w:tc>
        <w:tc>
          <w:tcPr>
            <w:tcW w:w="6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Notes, net of deferred financing costs (Note 6)</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245,016</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300,294</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Borrowings under Credit Facility, net of deferred financing costs (Note 6)</w:t>
            </w:r>
          </w:p>
        </w:tc>
        <w:tc>
          <w:tcPr>
            <w:tcW w:w="240" w:type="dxa"/>
            <w:vAlign w:val="bottom"/>
          </w:tcPr>
          <w:p>
            <w:pPr>
              <w:spacing w:after="0"/>
              <w:rPr>
                <w:sz w:val="15"/>
                <w:szCs w:val="15"/>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4"/>
                <w:szCs w:val="14"/>
                <w:color w:val="auto"/>
              </w:rPr>
              <w:t>(595 )</w:t>
            </w:r>
          </w:p>
        </w:tc>
        <w:tc>
          <w:tcPr>
            <w:tcW w:w="22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(1,048 )</w:t>
            </w: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Secured Borrowings</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17,637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Accrued interest and fees payable</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4,668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3,500</w:t>
            </w:r>
          </w:p>
        </w:tc>
        <w:tc>
          <w:tcPr>
            <w:tcW w:w="6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Base management fee payable, net of base management fee waiver – due to affiliate</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3,135</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3,244</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Income incentive fee payable – due to affiliate</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2,622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2,610</w:t>
            </w:r>
          </w:p>
        </w:tc>
        <w:tc>
          <w:tcPr>
            <w:tcW w:w="6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gains incentive fee payable – due to affiliate</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29,227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11,031</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Administration fee payable and other – due to affiliate</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668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576</w:t>
            </w:r>
          </w:p>
        </w:tc>
        <w:tc>
          <w:tcPr>
            <w:tcW w:w="6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Taxes (receivable) payable</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Accounts payable and other liabilities</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60" w:type="dxa"/>
            <w:vAlign w:val="bottom"/>
          </w:tcPr>
          <w:p>
            <w:pPr>
              <w:spacing w:after="0"/>
              <w:rPr>
                <w:sz w:val="15"/>
                <w:szCs w:val="15"/>
                <w:color w:val="auto"/>
              </w:rPr>
            </w:pPr>
          </w:p>
        </w:tc>
      </w:tr>
      <w:tr>
        <w:trPr>
          <w:trHeight w:val="16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409,421</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464,980</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Commitments and contingencies (Note 7)</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ASSETS</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Common stock, $0.001 par value (100,000,000 shares authorized, 24,437,400 and 24,437,400 shares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issued and outstanding at December 31, 2021 and December 31, 2020, respectively)</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361,807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363,982</w:t>
            </w:r>
          </w:p>
        </w:tc>
        <w:tc>
          <w:tcPr>
            <w:tcW w:w="6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distributable earnings</w:t>
            </w:r>
          </w:p>
        </w:tc>
        <w:tc>
          <w:tcPr>
            <w:tcW w:w="2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125,933</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46,754</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net assets</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487,764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410,760</w:t>
            </w:r>
          </w:p>
        </w:tc>
        <w:tc>
          <w:tcPr>
            <w:tcW w:w="60" w:type="dxa"/>
            <w:vAlign w:val="bottom"/>
          </w:tcPr>
          <w:p>
            <w:pPr>
              <w:spacing w:after="0"/>
              <w:rPr>
                <w:sz w:val="14"/>
                <w:szCs w:val="14"/>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and net assets</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897,185</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875,740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asset value per common share</w:t>
            </w:r>
          </w:p>
        </w:tc>
        <w:tc>
          <w:tcPr>
            <w:tcW w:w="24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19.96</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16.81</w:t>
            </w:r>
          </w:p>
        </w:tc>
        <w:tc>
          <w:tcPr>
            <w:tcW w:w="60" w:type="dxa"/>
            <w:vAlign w:val="bottom"/>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-3133725</wp:posOffset>
            </wp:positionV>
            <wp:extent cx="514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-3133725</wp:posOffset>
            </wp:positionV>
            <wp:extent cx="431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-2679700</wp:posOffset>
            </wp:positionV>
            <wp:extent cx="5143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-2679700</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-1076325</wp:posOffset>
            </wp:positionV>
            <wp:extent cx="5143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-1076325</wp:posOffset>
            </wp:positionV>
            <wp:extent cx="431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-399415</wp:posOffset>
            </wp:positionV>
            <wp:extent cx="5143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-399415</wp:posOffset>
            </wp:positionV>
            <wp:extent cx="431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-161925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-145415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-161925</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-145415</wp:posOffset>
            </wp:positionV>
            <wp:extent cx="431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ind w:left="4020"/>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6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r>
      <w:tr>
        <w:trPr>
          <w:trHeight w:val="169"/>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Investment Income: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6"/>
        </w:trPr>
        <w:tc>
          <w:tcPr>
            <w:tcW w:w="6000" w:type="dxa"/>
            <w:vAlign w:val="bottom"/>
            <w:shd w:val="clear" w:color="auto" w:fill="DBEEF4"/>
          </w:tcPr>
          <w:p>
            <w:pPr>
              <w:ind w:left="160"/>
              <w:spacing w:after="0"/>
              <w:rPr>
                <w:sz w:val="20"/>
                <w:szCs w:val="20"/>
                <w:color w:val="auto"/>
              </w:rPr>
            </w:pPr>
            <w:r>
              <w:rPr>
                <w:rFonts w:ascii="Arial" w:cs="Arial" w:eastAsia="Arial" w:hAnsi="Arial"/>
                <w:sz w:val="14"/>
                <w:szCs w:val="14"/>
                <w:color w:val="auto"/>
              </w:rPr>
              <w:t>Interest income</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spacing w:after="0"/>
              <w:rPr>
                <w:sz w:val="15"/>
                <w:szCs w:val="15"/>
                <w:color w:val="auto"/>
              </w:rPr>
            </w:pP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spacing w:after="0"/>
              <w:rPr>
                <w:sz w:val="15"/>
                <w:szCs w:val="15"/>
                <w:color w:val="auto"/>
              </w:rPr>
            </w:pPr>
          </w:p>
        </w:tc>
        <w:tc>
          <w:tcPr>
            <w:tcW w:w="42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4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r>
      <w:tr>
        <w:trPr>
          <w:trHeight w:val="175"/>
        </w:trPr>
        <w:tc>
          <w:tcPr>
            <w:tcW w:w="6000" w:type="dxa"/>
            <w:vAlign w:val="bottom"/>
          </w:tcPr>
          <w:p>
            <w:pPr>
              <w:ind w:left="300"/>
              <w:spacing w:after="0"/>
              <w:rPr>
                <w:sz w:val="20"/>
                <w:szCs w:val="20"/>
                <w:color w:val="auto"/>
              </w:rPr>
            </w:pPr>
            <w:r>
              <w:rPr>
                <w:rFonts w:ascii="Arial" w:cs="Arial" w:eastAsia="Arial" w:hAnsi="Arial"/>
                <w:sz w:val="14"/>
                <w:szCs w:val="14"/>
                <w:color w:val="auto"/>
              </w:rPr>
              <w:t>Control investments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3,735</w:t>
            </w:r>
          </w:p>
        </w:tc>
        <w:tc>
          <w:tcPr>
            <w:tcW w:w="160" w:type="dxa"/>
            <w:vAlign w:val="bottom"/>
          </w:tcPr>
          <w:p>
            <w:pPr>
              <w:spacing w:after="0"/>
              <w:rPr>
                <w:sz w:val="15"/>
                <w:szCs w:val="15"/>
                <w:color w:val="auto"/>
              </w:rPr>
            </w:pPr>
          </w:p>
        </w:tc>
        <w:tc>
          <w:tcPr>
            <w:tcW w:w="5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1,889</w:t>
            </w:r>
          </w:p>
        </w:tc>
        <w:tc>
          <w:tcPr>
            <w:tcW w:w="4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848</w:t>
            </w:r>
          </w:p>
        </w:tc>
        <w:tc>
          <w:tcPr>
            <w:tcW w:w="260" w:type="dxa"/>
            <w:vAlign w:val="bottom"/>
          </w:tcPr>
          <w:p>
            <w:pPr>
              <w:spacing w:after="0"/>
              <w:rPr>
                <w:sz w:val="15"/>
                <w:szCs w:val="15"/>
                <w:color w:val="auto"/>
              </w:rPr>
            </w:pPr>
          </w:p>
        </w:tc>
      </w:tr>
      <w:tr>
        <w:trPr>
          <w:trHeight w:val="176"/>
        </w:trPr>
        <w:tc>
          <w:tcPr>
            <w:tcW w:w="6000" w:type="dxa"/>
            <w:vAlign w:val="bottom"/>
            <w:shd w:val="clear" w:color="auto" w:fill="DBEEF4"/>
          </w:tcPr>
          <w:p>
            <w:pPr>
              <w:ind w:left="300"/>
              <w:spacing w:after="0"/>
              <w:rPr>
                <w:sz w:val="20"/>
                <w:szCs w:val="20"/>
                <w:color w:val="auto"/>
              </w:rPr>
            </w:pPr>
            <w:r>
              <w:rPr>
                <w:rFonts w:ascii="Arial" w:cs="Arial" w:eastAsia="Arial" w:hAnsi="Arial"/>
                <w:sz w:val="14"/>
                <w:szCs w:val="14"/>
                <w:color w:val="auto"/>
              </w:rPr>
              <w:t>Affiliate investments</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2,695</w:t>
            </w: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3,511</w:t>
            </w:r>
          </w:p>
        </w:tc>
        <w:tc>
          <w:tcPr>
            <w:tcW w:w="42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40" w:type="dxa"/>
            <w:vAlign w:val="bottom"/>
            <w:shd w:val="clear" w:color="auto" w:fill="DBEEF4"/>
          </w:tcPr>
          <w:p>
            <w:pPr>
              <w:jc w:val="right"/>
              <w:spacing w:after="0"/>
              <w:rPr>
                <w:sz w:val="20"/>
                <w:szCs w:val="20"/>
                <w:color w:val="auto"/>
              </w:rPr>
            </w:pPr>
            <w:r>
              <w:rPr>
                <w:rFonts w:ascii="Arial" w:cs="Arial" w:eastAsia="Arial" w:hAnsi="Arial"/>
                <w:sz w:val="14"/>
                <w:szCs w:val="14"/>
                <w:color w:val="auto"/>
              </w:rPr>
              <w:t>5,257</w:t>
            </w:r>
          </w:p>
        </w:tc>
        <w:tc>
          <w:tcPr>
            <w:tcW w:w="260" w:type="dxa"/>
            <w:vAlign w:val="bottom"/>
            <w:shd w:val="clear" w:color="auto" w:fill="DBEEF4"/>
          </w:tcPr>
          <w:p>
            <w:pPr>
              <w:spacing w:after="0"/>
              <w:rPr>
                <w:sz w:val="15"/>
                <w:szCs w:val="15"/>
                <w:color w:val="auto"/>
              </w:rPr>
            </w:pPr>
          </w:p>
        </w:tc>
      </w:tr>
      <w:tr>
        <w:trPr>
          <w:trHeight w:val="176"/>
        </w:trPr>
        <w:tc>
          <w:tcPr>
            <w:tcW w:w="6000" w:type="dxa"/>
            <w:vAlign w:val="bottom"/>
          </w:tcPr>
          <w:p>
            <w:pPr>
              <w:ind w:left="300"/>
              <w:spacing w:after="0"/>
              <w:rPr>
                <w:sz w:val="20"/>
                <w:szCs w:val="20"/>
                <w:color w:val="auto"/>
              </w:rPr>
            </w:pPr>
            <w:r>
              <w:rPr>
                <w:rFonts w:ascii="Arial" w:cs="Arial" w:eastAsia="Arial" w:hAnsi="Arial"/>
                <w:sz w:val="14"/>
                <w:szCs w:val="14"/>
                <w:color w:val="auto"/>
              </w:rPr>
              <w:t>Non-control/non-affiliate investments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66,648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68,095</w:t>
            </w:r>
          </w:p>
        </w:tc>
        <w:tc>
          <w:tcPr>
            <w:tcW w:w="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56,070</w:t>
            </w:r>
          </w:p>
        </w:tc>
        <w:tc>
          <w:tcPr>
            <w:tcW w:w="260" w:type="dxa"/>
            <w:vAlign w:val="bottom"/>
          </w:tcPr>
          <w:p>
            <w:pPr>
              <w:spacing w:after="0"/>
              <w:rPr>
                <w:sz w:val="15"/>
                <w:szCs w:val="15"/>
                <w:color w:val="auto"/>
              </w:rPr>
            </w:pPr>
          </w:p>
        </w:tc>
      </w:tr>
      <w:tr>
        <w:trPr>
          <w:trHeight w:val="169"/>
        </w:trPr>
        <w:tc>
          <w:tcPr>
            <w:tcW w:w="6000" w:type="dxa"/>
            <w:vAlign w:val="bottom"/>
            <w:shd w:val="clear" w:color="auto" w:fill="DBEEF4"/>
          </w:tcPr>
          <w:p>
            <w:pPr>
              <w:ind w:left="460"/>
              <w:spacing w:after="0"/>
              <w:rPr>
                <w:sz w:val="20"/>
                <w:szCs w:val="20"/>
                <w:color w:val="auto"/>
              </w:rPr>
            </w:pPr>
            <w:r>
              <w:rPr>
                <w:rFonts w:ascii="Arial" w:cs="Arial" w:eastAsia="Arial" w:hAnsi="Arial"/>
                <w:sz w:val="14"/>
                <w:szCs w:val="14"/>
                <w:color w:val="auto"/>
              </w:rPr>
              <w:t>Total interest income</w:t>
            </w:r>
          </w:p>
        </w:tc>
        <w:tc>
          <w:tcPr>
            <w:tcW w:w="320" w:type="dxa"/>
            <w:vAlign w:val="bottom"/>
            <w:shd w:val="clear" w:color="auto" w:fill="DBEEF4"/>
          </w:tcPr>
          <w:p>
            <w:pPr>
              <w:spacing w:after="0"/>
              <w:rPr>
                <w:sz w:val="14"/>
                <w:szCs w:val="14"/>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73,078</w:t>
            </w:r>
          </w:p>
        </w:tc>
        <w:tc>
          <w:tcPr>
            <w:tcW w:w="160" w:type="dxa"/>
            <w:vAlign w:val="bottom"/>
            <w:shd w:val="clear" w:color="auto" w:fill="DBEEF4"/>
          </w:tcPr>
          <w:p>
            <w:pPr>
              <w:spacing w:after="0"/>
              <w:rPr>
                <w:sz w:val="14"/>
                <w:szCs w:val="14"/>
                <w:color w:val="auto"/>
              </w:rPr>
            </w:pPr>
          </w:p>
        </w:tc>
        <w:tc>
          <w:tcPr>
            <w:tcW w:w="260" w:type="dxa"/>
            <w:vAlign w:val="bottom"/>
            <w:shd w:val="clear" w:color="auto" w:fill="DBEEF4"/>
          </w:tcPr>
          <w:p>
            <w:pPr>
              <w:spacing w:after="0"/>
              <w:rPr>
                <w:sz w:val="14"/>
                <w:szCs w:val="14"/>
                <w:color w:val="auto"/>
              </w:rPr>
            </w:pPr>
          </w:p>
        </w:tc>
        <w:tc>
          <w:tcPr>
            <w:tcW w:w="320" w:type="dxa"/>
            <w:vAlign w:val="bottom"/>
            <w:shd w:val="clear" w:color="auto" w:fill="DBEEF4"/>
          </w:tcPr>
          <w:p>
            <w:pPr>
              <w:spacing w:after="0"/>
              <w:rPr>
                <w:sz w:val="14"/>
                <w:szCs w:val="14"/>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73,495</w:t>
            </w:r>
          </w:p>
        </w:tc>
        <w:tc>
          <w:tcPr>
            <w:tcW w:w="42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1040" w:type="dxa"/>
            <w:vAlign w:val="bottom"/>
            <w:shd w:val="clear" w:color="auto" w:fill="DBEEF4"/>
          </w:tcPr>
          <w:p>
            <w:pPr>
              <w:jc w:val="right"/>
              <w:spacing w:after="0"/>
              <w:rPr>
                <w:sz w:val="20"/>
                <w:szCs w:val="20"/>
                <w:color w:val="auto"/>
              </w:rPr>
            </w:pPr>
            <w:r>
              <w:rPr>
                <w:rFonts w:ascii="Arial" w:cs="Arial" w:eastAsia="Arial" w:hAnsi="Arial"/>
                <w:sz w:val="14"/>
                <w:szCs w:val="14"/>
                <w:color w:val="auto"/>
              </w:rPr>
              <w:t>62,175</w:t>
            </w:r>
          </w:p>
        </w:tc>
        <w:tc>
          <w:tcPr>
            <w:tcW w:w="260" w:type="dxa"/>
            <w:vAlign w:val="bottom"/>
            <w:shd w:val="clear" w:color="auto" w:fill="DBEEF4"/>
          </w:tcPr>
          <w:p>
            <w:pPr>
              <w:spacing w:after="0"/>
              <w:rPr>
                <w:sz w:val="14"/>
                <w:szCs w:val="14"/>
                <w:color w:val="auto"/>
              </w:rPr>
            </w:pPr>
          </w:p>
        </w:tc>
      </w:tr>
      <w:tr>
        <w:trPr>
          <w:trHeight w:val="176"/>
        </w:trPr>
        <w:tc>
          <w:tcPr>
            <w:tcW w:w="6000" w:type="dxa"/>
            <w:vAlign w:val="bottom"/>
          </w:tcPr>
          <w:p>
            <w:pPr>
              <w:ind w:left="160"/>
              <w:spacing w:after="0"/>
              <w:rPr>
                <w:sz w:val="20"/>
                <w:szCs w:val="20"/>
                <w:color w:val="auto"/>
              </w:rPr>
            </w:pPr>
            <w:r>
              <w:rPr>
                <w:rFonts w:ascii="Arial" w:cs="Arial" w:eastAsia="Arial" w:hAnsi="Arial"/>
                <w:sz w:val="14"/>
                <w:szCs w:val="14"/>
                <w:color w:val="auto"/>
              </w:rPr>
              <w:t>Payment-in-kind interest income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6000" w:type="dxa"/>
            <w:vAlign w:val="bottom"/>
            <w:shd w:val="clear" w:color="auto" w:fill="DBEEF4"/>
          </w:tcPr>
          <w:p>
            <w:pPr>
              <w:ind w:left="300"/>
              <w:spacing w:after="0"/>
              <w:rPr>
                <w:sz w:val="20"/>
                <w:szCs w:val="20"/>
                <w:color w:val="auto"/>
              </w:rPr>
            </w:pPr>
            <w:r>
              <w:rPr>
                <w:rFonts w:ascii="Arial" w:cs="Arial" w:eastAsia="Arial" w:hAnsi="Arial"/>
                <w:sz w:val="14"/>
                <w:szCs w:val="14"/>
                <w:color w:val="auto"/>
              </w:rPr>
              <w:t>Control investments</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2,117</w:t>
            </w: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1,748</w:t>
            </w:r>
          </w:p>
        </w:tc>
        <w:tc>
          <w:tcPr>
            <w:tcW w:w="42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40" w:type="dxa"/>
            <w:vAlign w:val="bottom"/>
            <w:shd w:val="clear" w:color="auto" w:fill="DBEEF4"/>
          </w:tcPr>
          <w:p>
            <w:pPr>
              <w:jc w:val="right"/>
              <w:spacing w:after="0"/>
              <w:rPr>
                <w:sz w:val="20"/>
                <w:szCs w:val="20"/>
                <w:color w:val="auto"/>
              </w:rPr>
            </w:pPr>
            <w:r>
              <w:rPr>
                <w:rFonts w:ascii="Arial" w:cs="Arial" w:eastAsia="Arial" w:hAnsi="Arial"/>
                <w:sz w:val="14"/>
                <w:szCs w:val="14"/>
                <w:color w:val="auto"/>
              </w:rPr>
              <w:t>2,122</w:t>
            </w:r>
          </w:p>
        </w:tc>
        <w:tc>
          <w:tcPr>
            <w:tcW w:w="260" w:type="dxa"/>
            <w:vAlign w:val="bottom"/>
            <w:shd w:val="clear" w:color="auto" w:fill="DBEEF4"/>
          </w:tcPr>
          <w:p>
            <w:pPr>
              <w:spacing w:after="0"/>
              <w:rPr>
                <w:sz w:val="15"/>
                <w:szCs w:val="15"/>
                <w:color w:val="auto"/>
              </w:rPr>
            </w:pPr>
          </w:p>
        </w:tc>
      </w:tr>
      <w:tr>
        <w:trPr>
          <w:trHeight w:val="175"/>
        </w:trPr>
        <w:tc>
          <w:tcPr>
            <w:tcW w:w="6000" w:type="dxa"/>
            <w:vAlign w:val="bottom"/>
          </w:tcPr>
          <w:p>
            <w:pPr>
              <w:ind w:left="300"/>
              <w:spacing w:after="0"/>
              <w:rPr>
                <w:sz w:val="20"/>
                <w:szCs w:val="20"/>
                <w:color w:val="auto"/>
              </w:rPr>
            </w:pPr>
            <w:r>
              <w:rPr>
                <w:rFonts w:ascii="Arial" w:cs="Arial" w:eastAsia="Arial" w:hAnsi="Arial"/>
                <w:sz w:val="14"/>
                <w:szCs w:val="14"/>
                <w:color w:val="auto"/>
              </w:rPr>
              <w:t>Affiliate investments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388</w:t>
            </w:r>
          </w:p>
        </w:tc>
        <w:tc>
          <w:tcPr>
            <w:tcW w:w="260" w:type="dxa"/>
            <w:vAlign w:val="bottom"/>
          </w:tcPr>
          <w:p>
            <w:pPr>
              <w:spacing w:after="0"/>
              <w:rPr>
                <w:sz w:val="15"/>
                <w:szCs w:val="15"/>
                <w:color w:val="auto"/>
              </w:rPr>
            </w:pPr>
          </w:p>
        </w:tc>
      </w:tr>
      <w:tr>
        <w:trPr>
          <w:trHeight w:val="176"/>
        </w:trPr>
        <w:tc>
          <w:tcPr>
            <w:tcW w:w="6000" w:type="dxa"/>
            <w:vAlign w:val="bottom"/>
            <w:tcBorders>
              <w:bottom w:val="single" w:sz="8" w:color="DBEEF4"/>
            </w:tcBorders>
            <w:shd w:val="clear" w:color="auto" w:fill="DBEEF4"/>
          </w:tcPr>
          <w:p>
            <w:pPr>
              <w:ind w:left="300"/>
              <w:spacing w:after="0"/>
              <w:rPr>
                <w:sz w:val="20"/>
                <w:szCs w:val="20"/>
                <w:color w:val="auto"/>
              </w:rPr>
            </w:pPr>
            <w:r>
              <w:rPr>
                <w:rFonts w:ascii="Arial" w:cs="Arial" w:eastAsia="Arial" w:hAnsi="Arial"/>
                <w:sz w:val="14"/>
                <w:szCs w:val="14"/>
                <w:color w:val="auto"/>
              </w:rPr>
              <w:t>Non-control/non-affiliate investments</w:t>
            </w:r>
          </w:p>
        </w:tc>
        <w:tc>
          <w:tcPr>
            <w:tcW w:w="320" w:type="dxa"/>
            <w:vAlign w:val="bottom"/>
            <w:tcBorders>
              <w:bottom w:val="single" w:sz="8" w:color="auto"/>
            </w:tcBorders>
            <w:shd w:val="clear" w:color="auto" w:fill="DBEEF4"/>
          </w:tcPr>
          <w:p>
            <w:pPr>
              <w:spacing w:after="0"/>
              <w:rPr>
                <w:sz w:val="15"/>
                <w:szCs w:val="15"/>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1,809</w:t>
            </w:r>
          </w:p>
        </w:tc>
        <w:tc>
          <w:tcPr>
            <w:tcW w:w="160" w:type="dxa"/>
            <w:vAlign w:val="bottom"/>
            <w:tcBorders>
              <w:bottom w:val="single" w:sz="8" w:color="DBEEF4"/>
            </w:tcBorders>
            <w:shd w:val="clear" w:color="auto" w:fill="DBEEF4"/>
          </w:tcPr>
          <w:p>
            <w:pPr>
              <w:spacing w:after="0"/>
              <w:rPr>
                <w:sz w:val="15"/>
                <w:szCs w:val="15"/>
                <w:color w:val="auto"/>
              </w:rPr>
            </w:pPr>
          </w:p>
        </w:tc>
        <w:tc>
          <w:tcPr>
            <w:tcW w:w="260" w:type="dxa"/>
            <w:vAlign w:val="bottom"/>
            <w:tcBorders>
              <w:bottom w:val="single" w:sz="8" w:color="DBEEF4"/>
            </w:tcBorders>
            <w:shd w:val="clear" w:color="auto" w:fill="DBEEF4"/>
          </w:tcPr>
          <w:p>
            <w:pPr>
              <w:spacing w:after="0"/>
              <w:rPr>
                <w:sz w:val="15"/>
                <w:szCs w:val="15"/>
                <w:color w:val="auto"/>
              </w:rPr>
            </w:pPr>
          </w:p>
        </w:tc>
        <w:tc>
          <w:tcPr>
            <w:tcW w:w="320" w:type="dxa"/>
            <w:vAlign w:val="bottom"/>
            <w:tcBorders>
              <w:bottom w:val="single" w:sz="8" w:color="auto"/>
            </w:tcBorders>
            <w:shd w:val="clear" w:color="auto" w:fill="DBEEF4"/>
          </w:tcPr>
          <w:p>
            <w:pPr>
              <w:spacing w:after="0"/>
              <w:rPr>
                <w:sz w:val="15"/>
                <w:szCs w:val="15"/>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2,625</w:t>
            </w:r>
          </w:p>
        </w:tc>
        <w:tc>
          <w:tcPr>
            <w:tcW w:w="42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10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6,590</w:t>
            </w:r>
          </w:p>
        </w:tc>
        <w:tc>
          <w:tcPr>
            <w:tcW w:w="260" w:type="dxa"/>
            <w:vAlign w:val="bottom"/>
            <w:tcBorders>
              <w:bottom w:val="single" w:sz="8" w:color="DBEEF4"/>
            </w:tcBorders>
            <w:shd w:val="clear" w:color="auto" w:fill="DBEEF4"/>
          </w:tcPr>
          <w:p>
            <w:pPr>
              <w:spacing w:after="0"/>
              <w:rPr>
                <w:sz w:val="15"/>
                <w:szCs w:val="15"/>
                <w:color w:val="auto"/>
              </w:rPr>
            </w:pPr>
          </w:p>
        </w:tc>
      </w:tr>
      <w:tr>
        <w:trPr>
          <w:trHeight w:val="169"/>
        </w:trPr>
        <w:tc>
          <w:tcPr>
            <w:tcW w:w="6000" w:type="dxa"/>
            <w:vAlign w:val="bottom"/>
          </w:tcPr>
          <w:p>
            <w:pPr>
              <w:ind w:left="460"/>
              <w:spacing w:after="0"/>
              <w:rPr>
                <w:sz w:val="20"/>
                <w:szCs w:val="20"/>
                <w:color w:val="auto"/>
              </w:rPr>
            </w:pPr>
            <w:r>
              <w:rPr>
                <w:rFonts w:ascii="Arial" w:cs="Arial" w:eastAsia="Arial" w:hAnsi="Arial"/>
                <w:sz w:val="14"/>
                <w:szCs w:val="14"/>
                <w:color w:val="auto"/>
              </w:rPr>
              <w:t>Total payment-in-kind interest income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4,294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4,660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9,100</w:t>
            </w:r>
          </w:p>
        </w:tc>
        <w:tc>
          <w:tcPr>
            <w:tcW w:w="260" w:type="dxa"/>
            <w:vAlign w:val="bottom"/>
          </w:tcPr>
          <w:p>
            <w:pPr>
              <w:spacing w:after="0"/>
              <w:rPr>
                <w:sz w:val="14"/>
                <w:szCs w:val="14"/>
                <w:color w:val="auto"/>
              </w:rPr>
            </w:pPr>
          </w:p>
        </w:tc>
      </w:tr>
      <w:tr>
        <w:trPr>
          <w:trHeight w:val="176"/>
        </w:trPr>
        <w:tc>
          <w:tcPr>
            <w:tcW w:w="6000" w:type="dxa"/>
            <w:vAlign w:val="bottom"/>
            <w:shd w:val="clear" w:color="auto" w:fill="DBEEF4"/>
          </w:tcPr>
          <w:p>
            <w:pPr>
              <w:ind w:left="160"/>
              <w:spacing w:after="0"/>
              <w:rPr>
                <w:sz w:val="20"/>
                <w:szCs w:val="20"/>
                <w:color w:val="auto"/>
              </w:rPr>
            </w:pPr>
            <w:r>
              <w:rPr>
                <w:rFonts w:ascii="Arial" w:cs="Arial" w:eastAsia="Arial" w:hAnsi="Arial"/>
                <w:sz w:val="14"/>
                <w:szCs w:val="14"/>
                <w:color w:val="auto"/>
              </w:rPr>
              <w:t>Dividend income</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spacing w:after="0"/>
              <w:rPr>
                <w:sz w:val="15"/>
                <w:szCs w:val="15"/>
                <w:color w:val="auto"/>
              </w:rPr>
            </w:pP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spacing w:after="0"/>
              <w:rPr>
                <w:sz w:val="15"/>
                <w:szCs w:val="15"/>
                <w:color w:val="auto"/>
              </w:rPr>
            </w:pPr>
          </w:p>
        </w:tc>
        <w:tc>
          <w:tcPr>
            <w:tcW w:w="42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4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r>
      <w:tr>
        <w:trPr>
          <w:trHeight w:val="176"/>
        </w:trPr>
        <w:tc>
          <w:tcPr>
            <w:tcW w:w="6000" w:type="dxa"/>
            <w:vAlign w:val="bottom"/>
          </w:tcPr>
          <w:p>
            <w:pPr>
              <w:ind w:left="300"/>
              <w:spacing w:after="0"/>
              <w:rPr>
                <w:sz w:val="20"/>
                <w:szCs w:val="20"/>
                <w:color w:val="auto"/>
              </w:rPr>
            </w:pPr>
            <w:r>
              <w:rPr>
                <w:rFonts w:ascii="Arial" w:cs="Arial" w:eastAsia="Arial" w:hAnsi="Arial"/>
                <w:sz w:val="14"/>
                <w:szCs w:val="14"/>
                <w:color w:val="auto"/>
              </w:rPr>
              <w:t>Control investments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r>
      <w:tr>
        <w:trPr>
          <w:trHeight w:val="175"/>
        </w:trPr>
        <w:tc>
          <w:tcPr>
            <w:tcW w:w="6000" w:type="dxa"/>
            <w:vAlign w:val="bottom"/>
            <w:shd w:val="clear" w:color="auto" w:fill="DBEEF4"/>
          </w:tcPr>
          <w:p>
            <w:pPr>
              <w:ind w:left="300"/>
              <w:spacing w:after="0"/>
              <w:rPr>
                <w:sz w:val="20"/>
                <w:szCs w:val="20"/>
                <w:color w:val="auto"/>
              </w:rPr>
            </w:pPr>
            <w:r>
              <w:rPr>
                <w:rFonts w:ascii="Arial" w:cs="Arial" w:eastAsia="Arial" w:hAnsi="Arial"/>
                <w:sz w:val="14"/>
                <w:szCs w:val="14"/>
                <w:color w:val="auto"/>
              </w:rPr>
              <w:t>Affiliate investments</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1,172</w:t>
            </w: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837</w:t>
            </w:r>
          </w:p>
        </w:tc>
        <w:tc>
          <w:tcPr>
            <w:tcW w:w="42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4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1,454</w:t>
            </w:r>
          </w:p>
        </w:tc>
        <w:tc>
          <w:tcPr>
            <w:tcW w:w="260" w:type="dxa"/>
            <w:vAlign w:val="bottom"/>
            <w:shd w:val="clear" w:color="auto" w:fill="DBEEF4"/>
          </w:tcPr>
          <w:p>
            <w:pPr>
              <w:spacing w:after="0"/>
              <w:rPr>
                <w:sz w:val="15"/>
                <w:szCs w:val="15"/>
                <w:color w:val="auto"/>
              </w:rPr>
            </w:pPr>
          </w:p>
        </w:tc>
      </w:tr>
      <w:tr>
        <w:trPr>
          <w:trHeight w:val="176"/>
        </w:trPr>
        <w:tc>
          <w:tcPr>
            <w:tcW w:w="6000" w:type="dxa"/>
            <w:vAlign w:val="bottom"/>
          </w:tcPr>
          <w:p>
            <w:pPr>
              <w:ind w:left="300"/>
              <w:spacing w:after="0"/>
              <w:rPr>
                <w:sz w:val="20"/>
                <w:szCs w:val="20"/>
                <w:color w:val="auto"/>
              </w:rPr>
            </w:pPr>
            <w:r>
              <w:rPr>
                <w:rFonts w:ascii="Arial" w:cs="Arial" w:eastAsia="Arial" w:hAnsi="Arial"/>
                <w:sz w:val="14"/>
                <w:szCs w:val="14"/>
                <w:color w:val="auto"/>
              </w:rPr>
              <w:t>Non-control/non-affiliate investments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1,630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(30 )</w:t>
            </w:r>
          </w:p>
        </w:tc>
      </w:tr>
      <w:tr>
        <w:trPr>
          <w:trHeight w:val="169"/>
        </w:trPr>
        <w:tc>
          <w:tcPr>
            <w:tcW w:w="6000" w:type="dxa"/>
            <w:vAlign w:val="bottom"/>
            <w:shd w:val="clear" w:color="auto" w:fill="DBEEF4"/>
          </w:tcPr>
          <w:p>
            <w:pPr>
              <w:ind w:left="460"/>
              <w:spacing w:after="0"/>
              <w:rPr>
                <w:sz w:val="20"/>
                <w:szCs w:val="20"/>
                <w:color w:val="auto"/>
              </w:rPr>
            </w:pPr>
            <w:r>
              <w:rPr>
                <w:rFonts w:ascii="Arial" w:cs="Arial" w:eastAsia="Arial" w:hAnsi="Arial"/>
                <w:sz w:val="14"/>
                <w:szCs w:val="14"/>
                <w:color w:val="auto"/>
              </w:rPr>
              <w:t>Total dividend income</w:t>
            </w:r>
          </w:p>
        </w:tc>
        <w:tc>
          <w:tcPr>
            <w:tcW w:w="320" w:type="dxa"/>
            <w:vAlign w:val="bottom"/>
            <w:tcBorders>
              <w:top w:val="single" w:sz="8" w:color="auto"/>
            </w:tcBorders>
            <w:shd w:val="clear" w:color="auto" w:fill="DBEEF4"/>
          </w:tcPr>
          <w:p>
            <w:pPr>
              <w:spacing w:after="0"/>
              <w:rPr>
                <w:sz w:val="14"/>
                <w:szCs w:val="14"/>
                <w:color w:val="auto"/>
              </w:rPr>
            </w:pPr>
          </w:p>
        </w:tc>
        <w:tc>
          <w:tcPr>
            <w:tcW w:w="1080" w:type="dxa"/>
            <w:vAlign w:val="bottom"/>
            <w:tcBorders>
              <w:top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2,635</w:t>
            </w:r>
          </w:p>
        </w:tc>
        <w:tc>
          <w:tcPr>
            <w:tcW w:w="160" w:type="dxa"/>
            <w:vAlign w:val="bottom"/>
            <w:shd w:val="clear" w:color="auto" w:fill="DBEEF4"/>
          </w:tcPr>
          <w:p>
            <w:pPr>
              <w:spacing w:after="0"/>
              <w:rPr>
                <w:sz w:val="14"/>
                <w:szCs w:val="14"/>
                <w:color w:val="auto"/>
              </w:rPr>
            </w:pPr>
          </w:p>
        </w:tc>
        <w:tc>
          <w:tcPr>
            <w:tcW w:w="260" w:type="dxa"/>
            <w:vAlign w:val="bottom"/>
            <w:shd w:val="clear" w:color="auto" w:fill="DBEEF4"/>
          </w:tcPr>
          <w:p>
            <w:pPr>
              <w:spacing w:after="0"/>
              <w:rPr>
                <w:sz w:val="14"/>
                <w:szCs w:val="14"/>
                <w:color w:val="auto"/>
              </w:rPr>
            </w:pPr>
          </w:p>
        </w:tc>
        <w:tc>
          <w:tcPr>
            <w:tcW w:w="320" w:type="dxa"/>
            <w:vAlign w:val="bottom"/>
            <w:tcBorders>
              <w:top w:val="single" w:sz="8" w:color="auto"/>
            </w:tcBorders>
            <w:shd w:val="clear" w:color="auto" w:fill="DBEEF4"/>
          </w:tcPr>
          <w:p>
            <w:pPr>
              <w:spacing w:after="0"/>
              <w:rPr>
                <w:sz w:val="14"/>
                <w:szCs w:val="14"/>
                <w:color w:val="auto"/>
              </w:rPr>
            </w:pPr>
          </w:p>
        </w:tc>
        <w:tc>
          <w:tcPr>
            <w:tcW w:w="1080" w:type="dxa"/>
            <w:vAlign w:val="bottom"/>
            <w:tcBorders>
              <w:top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2,467</w:t>
            </w:r>
          </w:p>
        </w:tc>
        <w:tc>
          <w:tcPr>
            <w:tcW w:w="420" w:type="dxa"/>
            <w:vAlign w:val="bottom"/>
            <w:shd w:val="clear" w:color="auto" w:fill="DBEEF4"/>
          </w:tcPr>
          <w:p>
            <w:pPr>
              <w:spacing w:after="0"/>
              <w:rPr>
                <w:sz w:val="14"/>
                <w:szCs w:val="14"/>
                <w:color w:val="auto"/>
              </w:rPr>
            </w:pPr>
          </w:p>
        </w:tc>
        <w:tc>
          <w:tcPr>
            <w:tcW w:w="300" w:type="dxa"/>
            <w:vAlign w:val="bottom"/>
            <w:tcBorders>
              <w:top w:val="single" w:sz="8" w:color="auto"/>
            </w:tcBorders>
            <w:shd w:val="clear" w:color="auto" w:fill="DBEEF4"/>
          </w:tcPr>
          <w:p>
            <w:pPr>
              <w:spacing w:after="0"/>
              <w:rPr>
                <w:sz w:val="14"/>
                <w:szCs w:val="14"/>
                <w:color w:val="auto"/>
              </w:rPr>
            </w:pPr>
          </w:p>
        </w:tc>
        <w:tc>
          <w:tcPr>
            <w:tcW w:w="1040" w:type="dxa"/>
            <w:vAlign w:val="bottom"/>
            <w:tcBorders>
              <w:top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1,424</w:t>
            </w:r>
          </w:p>
        </w:tc>
        <w:tc>
          <w:tcPr>
            <w:tcW w:w="260" w:type="dxa"/>
            <w:vAlign w:val="bottom"/>
            <w:shd w:val="clear" w:color="auto" w:fill="DBEEF4"/>
          </w:tcPr>
          <w:p>
            <w:pPr>
              <w:spacing w:after="0"/>
              <w:rPr>
                <w:sz w:val="14"/>
                <w:szCs w:val="14"/>
                <w:color w:val="auto"/>
              </w:rPr>
            </w:pPr>
          </w:p>
        </w:tc>
      </w:tr>
      <w:tr>
        <w:trPr>
          <w:trHeight w:val="175"/>
        </w:trPr>
        <w:tc>
          <w:tcPr>
            <w:tcW w:w="6000" w:type="dxa"/>
            <w:vAlign w:val="bottom"/>
          </w:tcPr>
          <w:p>
            <w:pPr>
              <w:ind w:left="160"/>
              <w:spacing w:after="0"/>
              <w:rPr>
                <w:sz w:val="20"/>
                <w:szCs w:val="20"/>
                <w:color w:val="auto"/>
              </w:rPr>
            </w:pPr>
            <w:r>
              <w:rPr>
                <w:rFonts w:ascii="Arial" w:cs="Arial" w:eastAsia="Arial" w:hAnsi="Arial"/>
                <w:sz w:val="14"/>
                <w:szCs w:val="14"/>
                <w:color w:val="auto"/>
              </w:rPr>
              <w:t>Fee income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6000" w:type="dxa"/>
            <w:vAlign w:val="bottom"/>
            <w:shd w:val="clear" w:color="auto" w:fill="DBEEF4"/>
          </w:tcPr>
          <w:p>
            <w:pPr>
              <w:ind w:left="300"/>
              <w:spacing w:after="0"/>
              <w:rPr>
                <w:sz w:val="20"/>
                <w:szCs w:val="20"/>
                <w:color w:val="auto"/>
              </w:rPr>
            </w:pPr>
            <w:r>
              <w:rPr>
                <w:rFonts w:ascii="Arial" w:cs="Arial" w:eastAsia="Arial" w:hAnsi="Arial"/>
                <w:sz w:val="14"/>
                <w:szCs w:val="14"/>
                <w:color w:val="auto"/>
              </w:rPr>
              <w:t>Control investments</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1,872</w:t>
            </w: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500" w:type="dxa"/>
            <w:vAlign w:val="bottom"/>
            <w:gridSpan w:val="2"/>
            <w:shd w:val="clear" w:color="auto" w:fill="DBEEF4"/>
          </w:tcPr>
          <w:p>
            <w:pPr>
              <w:jc w:val="right"/>
              <w:ind w:right="3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BEEF4"/>
          </w:tcPr>
          <w:p>
            <w:pPr>
              <w:spacing w:after="0"/>
              <w:rPr>
                <w:sz w:val="15"/>
                <w:szCs w:val="15"/>
                <w:color w:val="auto"/>
              </w:rPr>
            </w:pPr>
          </w:p>
        </w:tc>
        <w:tc>
          <w:tcPr>
            <w:tcW w:w="1040" w:type="dxa"/>
            <w:vAlign w:val="bottom"/>
            <w:shd w:val="clear" w:color="auto" w:fill="DBEEF4"/>
          </w:tcPr>
          <w:p>
            <w:pPr>
              <w:jc w:val="right"/>
              <w:spacing w:after="0"/>
              <w:rPr>
                <w:sz w:val="20"/>
                <w:szCs w:val="20"/>
                <w:color w:val="auto"/>
              </w:rPr>
            </w:pPr>
            <w:r>
              <w:rPr>
                <w:rFonts w:ascii="Arial" w:cs="Arial" w:eastAsia="Arial" w:hAnsi="Arial"/>
                <w:sz w:val="14"/>
                <w:szCs w:val="14"/>
                <w:color w:val="auto"/>
              </w:rPr>
              <w:t>349</w:t>
            </w:r>
          </w:p>
        </w:tc>
        <w:tc>
          <w:tcPr>
            <w:tcW w:w="260" w:type="dxa"/>
            <w:vAlign w:val="bottom"/>
            <w:shd w:val="clear" w:color="auto" w:fill="DBEEF4"/>
          </w:tcPr>
          <w:p>
            <w:pPr>
              <w:spacing w:after="0"/>
              <w:rPr>
                <w:sz w:val="15"/>
                <w:szCs w:val="15"/>
                <w:color w:val="auto"/>
              </w:rPr>
            </w:pPr>
          </w:p>
        </w:tc>
      </w:tr>
      <w:tr>
        <w:trPr>
          <w:trHeight w:val="175"/>
        </w:trPr>
        <w:tc>
          <w:tcPr>
            <w:tcW w:w="6000" w:type="dxa"/>
            <w:vAlign w:val="bottom"/>
          </w:tcPr>
          <w:p>
            <w:pPr>
              <w:ind w:left="300"/>
              <w:spacing w:after="0"/>
              <w:rPr>
                <w:sz w:val="20"/>
                <w:szCs w:val="20"/>
                <w:color w:val="auto"/>
              </w:rPr>
            </w:pPr>
            <w:r>
              <w:rPr>
                <w:rFonts w:ascii="Arial" w:cs="Arial" w:eastAsia="Arial" w:hAnsi="Arial"/>
                <w:sz w:val="14"/>
                <w:szCs w:val="14"/>
                <w:color w:val="auto"/>
              </w:rPr>
              <w:t>Affiliate investments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5"/>
                <w:szCs w:val="15"/>
                <w:color w:val="auto"/>
              </w:rPr>
            </w:pPr>
          </w:p>
        </w:tc>
      </w:tr>
      <w:tr>
        <w:trPr>
          <w:trHeight w:val="176"/>
        </w:trPr>
        <w:tc>
          <w:tcPr>
            <w:tcW w:w="6000" w:type="dxa"/>
            <w:vAlign w:val="bottom"/>
            <w:tcBorders>
              <w:bottom w:val="single" w:sz="8" w:color="DBEEF4"/>
            </w:tcBorders>
            <w:shd w:val="clear" w:color="auto" w:fill="DBEEF4"/>
          </w:tcPr>
          <w:p>
            <w:pPr>
              <w:ind w:left="300"/>
              <w:spacing w:after="0"/>
              <w:rPr>
                <w:sz w:val="20"/>
                <w:szCs w:val="20"/>
                <w:color w:val="auto"/>
              </w:rPr>
            </w:pPr>
            <w:r>
              <w:rPr>
                <w:rFonts w:ascii="Arial" w:cs="Arial" w:eastAsia="Arial" w:hAnsi="Arial"/>
                <w:sz w:val="14"/>
                <w:szCs w:val="14"/>
                <w:color w:val="auto"/>
              </w:rPr>
              <w:t>Non-control/non-affiliate investments</w:t>
            </w:r>
          </w:p>
        </w:tc>
        <w:tc>
          <w:tcPr>
            <w:tcW w:w="320" w:type="dxa"/>
            <w:vAlign w:val="bottom"/>
            <w:tcBorders>
              <w:bottom w:val="single" w:sz="8" w:color="auto"/>
            </w:tcBorders>
            <w:shd w:val="clear" w:color="auto" w:fill="DBEEF4"/>
          </w:tcPr>
          <w:p>
            <w:pPr>
              <w:spacing w:after="0"/>
              <w:rPr>
                <w:sz w:val="15"/>
                <w:szCs w:val="15"/>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8,174</w:t>
            </w:r>
          </w:p>
        </w:tc>
        <w:tc>
          <w:tcPr>
            <w:tcW w:w="160" w:type="dxa"/>
            <w:vAlign w:val="bottom"/>
            <w:tcBorders>
              <w:bottom w:val="single" w:sz="8" w:color="DBEEF4"/>
            </w:tcBorders>
            <w:shd w:val="clear" w:color="auto" w:fill="DBEEF4"/>
          </w:tcPr>
          <w:p>
            <w:pPr>
              <w:spacing w:after="0"/>
              <w:rPr>
                <w:sz w:val="15"/>
                <w:szCs w:val="15"/>
                <w:color w:val="auto"/>
              </w:rPr>
            </w:pPr>
          </w:p>
        </w:tc>
        <w:tc>
          <w:tcPr>
            <w:tcW w:w="260" w:type="dxa"/>
            <w:vAlign w:val="bottom"/>
            <w:tcBorders>
              <w:bottom w:val="single" w:sz="8" w:color="DBEEF4"/>
            </w:tcBorders>
            <w:shd w:val="clear" w:color="auto" w:fill="DBEEF4"/>
          </w:tcPr>
          <w:p>
            <w:pPr>
              <w:spacing w:after="0"/>
              <w:rPr>
                <w:sz w:val="15"/>
                <w:szCs w:val="15"/>
                <w:color w:val="auto"/>
              </w:rPr>
            </w:pPr>
          </w:p>
        </w:tc>
        <w:tc>
          <w:tcPr>
            <w:tcW w:w="320" w:type="dxa"/>
            <w:vAlign w:val="bottom"/>
            <w:tcBorders>
              <w:bottom w:val="single" w:sz="8" w:color="auto"/>
            </w:tcBorders>
            <w:shd w:val="clear" w:color="auto" w:fill="DBEEF4"/>
          </w:tcPr>
          <w:p>
            <w:pPr>
              <w:spacing w:after="0"/>
              <w:rPr>
                <w:sz w:val="15"/>
                <w:szCs w:val="15"/>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4,372</w:t>
            </w:r>
          </w:p>
        </w:tc>
        <w:tc>
          <w:tcPr>
            <w:tcW w:w="42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10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3,926</w:t>
            </w:r>
          </w:p>
        </w:tc>
        <w:tc>
          <w:tcPr>
            <w:tcW w:w="260" w:type="dxa"/>
            <w:vAlign w:val="bottom"/>
            <w:tcBorders>
              <w:bottom w:val="single" w:sz="8" w:color="DBEEF4"/>
            </w:tcBorders>
            <w:shd w:val="clear" w:color="auto" w:fill="DBEEF4"/>
          </w:tcPr>
          <w:p>
            <w:pPr>
              <w:spacing w:after="0"/>
              <w:rPr>
                <w:sz w:val="15"/>
                <w:szCs w:val="15"/>
                <w:color w:val="auto"/>
              </w:rPr>
            </w:pPr>
          </w:p>
        </w:tc>
      </w:tr>
      <w:tr>
        <w:trPr>
          <w:trHeight w:val="169"/>
        </w:trPr>
        <w:tc>
          <w:tcPr>
            <w:tcW w:w="6000" w:type="dxa"/>
            <w:vAlign w:val="bottom"/>
          </w:tcPr>
          <w:p>
            <w:pPr>
              <w:ind w:left="460"/>
              <w:spacing w:after="0"/>
              <w:rPr>
                <w:sz w:val="20"/>
                <w:szCs w:val="20"/>
                <w:color w:val="auto"/>
              </w:rPr>
            </w:pPr>
            <w:r>
              <w:rPr>
                <w:rFonts w:ascii="Arial" w:cs="Arial" w:eastAsia="Arial" w:hAnsi="Arial"/>
                <w:sz w:val="14"/>
                <w:szCs w:val="14"/>
                <w:color w:val="auto"/>
              </w:rPr>
              <w:t>Total fee income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10,431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4,492</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4,324</w:t>
            </w:r>
          </w:p>
        </w:tc>
        <w:tc>
          <w:tcPr>
            <w:tcW w:w="260" w:type="dxa"/>
            <w:vAlign w:val="bottom"/>
          </w:tcPr>
          <w:p>
            <w:pPr>
              <w:spacing w:after="0"/>
              <w:rPr>
                <w:sz w:val="14"/>
                <w:szCs w:val="14"/>
                <w:color w:val="auto"/>
              </w:rPr>
            </w:pPr>
          </w:p>
        </w:tc>
      </w:tr>
      <w:tr>
        <w:trPr>
          <w:trHeight w:val="175"/>
        </w:trPr>
        <w:tc>
          <w:tcPr>
            <w:tcW w:w="6000" w:type="dxa"/>
            <w:vAlign w:val="bottom"/>
            <w:tcBorders>
              <w:bottom w:val="single" w:sz="8" w:color="DBEEF4"/>
            </w:tcBorders>
            <w:shd w:val="clear" w:color="auto" w:fill="DBEEF4"/>
          </w:tcPr>
          <w:p>
            <w:pPr>
              <w:ind w:left="160"/>
              <w:spacing w:after="0"/>
              <w:rPr>
                <w:sz w:val="20"/>
                <w:szCs w:val="20"/>
                <w:color w:val="auto"/>
              </w:rPr>
            </w:pPr>
            <w:r>
              <w:rPr>
                <w:rFonts w:ascii="Arial" w:cs="Arial" w:eastAsia="Arial" w:hAnsi="Arial"/>
                <w:sz w:val="14"/>
                <w:szCs w:val="14"/>
                <w:color w:val="auto"/>
              </w:rPr>
              <w:t>Interest on idle funds</w:t>
            </w:r>
          </w:p>
        </w:tc>
        <w:tc>
          <w:tcPr>
            <w:tcW w:w="320" w:type="dxa"/>
            <w:vAlign w:val="bottom"/>
            <w:tcBorders>
              <w:bottom w:val="single" w:sz="8" w:color="auto"/>
            </w:tcBorders>
            <w:shd w:val="clear" w:color="auto" w:fill="DBEEF4"/>
          </w:tcPr>
          <w:p>
            <w:pPr>
              <w:spacing w:after="0"/>
              <w:rPr>
                <w:sz w:val="15"/>
                <w:szCs w:val="15"/>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DBEEF4"/>
            </w:tcBorders>
            <w:shd w:val="clear" w:color="auto" w:fill="DBEEF4"/>
          </w:tcPr>
          <w:p>
            <w:pPr>
              <w:spacing w:after="0"/>
              <w:rPr>
                <w:sz w:val="15"/>
                <w:szCs w:val="15"/>
                <w:color w:val="auto"/>
              </w:rPr>
            </w:pPr>
          </w:p>
        </w:tc>
        <w:tc>
          <w:tcPr>
            <w:tcW w:w="260" w:type="dxa"/>
            <w:vAlign w:val="bottom"/>
            <w:tcBorders>
              <w:bottom w:val="single" w:sz="8" w:color="DBEEF4"/>
            </w:tcBorders>
            <w:shd w:val="clear" w:color="auto" w:fill="DBEEF4"/>
          </w:tcPr>
          <w:p>
            <w:pPr>
              <w:spacing w:after="0"/>
              <w:rPr>
                <w:sz w:val="15"/>
                <w:szCs w:val="15"/>
                <w:color w:val="auto"/>
              </w:rPr>
            </w:pPr>
          </w:p>
        </w:tc>
        <w:tc>
          <w:tcPr>
            <w:tcW w:w="320" w:type="dxa"/>
            <w:vAlign w:val="bottom"/>
            <w:tcBorders>
              <w:bottom w:val="single" w:sz="8" w:color="auto"/>
            </w:tcBorders>
            <w:shd w:val="clear" w:color="auto" w:fill="DBEEF4"/>
          </w:tcPr>
          <w:p>
            <w:pPr>
              <w:spacing w:after="0"/>
              <w:rPr>
                <w:sz w:val="15"/>
                <w:szCs w:val="15"/>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9</w:t>
            </w:r>
          </w:p>
        </w:tc>
        <w:tc>
          <w:tcPr>
            <w:tcW w:w="42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10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83</w:t>
            </w:r>
          </w:p>
        </w:tc>
        <w:tc>
          <w:tcPr>
            <w:tcW w:w="260" w:type="dxa"/>
            <w:vAlign w:val="bottom"/>
            <w:tcBorders>
              <w:bottom w:val="single" w:sz="8" w:color="DBEEF4"/>
            </w:tcBorders>
            <w:shd w:val="clear" w:color="auto" w:fill="DBEEF4"/>
          </w:tcPr>
          <w:p>
            <w:pPr>
              <w:spacing w:after="0"/>
              <w:rPr>
                <w:sz w:val="15"/>
                <w:szCs w:val="15"/>
                <w:color w:val="auto"/>
              </w:rPr>
            </w:pPr>
          </w:p>
        </w:tc>
      </w:tr>
      <w:tr>
        <w:trPr>
          <w:trHeight w:val="169"/>
        </w:trPr>
        <w:tc>
          <w:tcPr>
            <w:tcW w:w="6000" w:type="dxa"/>
            <w:vAlign w:val="bottom"/>
          </w:tcPr>
          <w:p>
            <w:pPr>
              <w:ind w:left="20"/>
              <w:spacing w:after="0"/>
              <w:rPr>
                <w:sz w:val="20"/>
                <w:szCs w:val="20"/>
                <w:color w:val="auto"/>
              </w:rPr>
            </w:pPr>
            <w:r>
              <w:rPr>
                <w:rFonts w:ascii="Arial" w:cs="Arial" w:eastAsia="Arial" w:hAnsi="Arial"/>
                <w:sz w:val="14"/>
                <w:szCs w:val="14"/>
                <w:color w:val="auto"/>
              </w:rPr>
              <w:t>Total investment income</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90,446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85,123</w:t>
            </w: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77,106</w:t>
            </w:r>
          </w:p>
        </w:tc>
        <w:tc>
          <w:tcPr>
            <w:tcW w:w="260" w:type="dxa"/>
            <w:vAlign w:val="bottom"/>
          </w:tcPr>
          <w:p>
            <w:pPr>
              <w:spacing w:after="0"/>
              <w:rPr>
                <w:sz w:val="14"/>
                <w:szCs w:val="14"/>
                <w:color w:val="auto"/>
              </w:rPr>
            </w:pPr>
          </w:p>
        </w:tc>
      </w:tr>
      <w:tr>
        <w:trPr>
          <w:trHeight w:val="169"/>
        </w:trPr>
        <w:tc>
          <w:tcPr>
            <w:tcW w:w="6000" w:type="dxa"/>
            <w:vAlign w:val="bottom"/>
            <w:shd w:val="clear" w:color="auto" w:fill="DBEEF4"/>
          </w:tcPr>
          <w:p>
            <w:pPr>
              <w:ind w:left="20"/>
              <w:spacing w:after="0"/>
              <w:rPr>
                <w:sz w:val="20"/>
                <w:szCs w:val="20"/>
                <w:color w:val="auto"/>
              </w:rPr>
            </w:pPr>
            <w:r>
              <w:rPr>
                <w:rFonts w:ascii="Arial" w:cs="Arial" w:eastAsia="Arial" w:hAnsi="Arial"/>
                <w:sz w:val="14"/>
                <w:szCs w:val="14"/>
                <w:b w:val="1"/>
                <w:bCs w:val="1"/>
                <w:color w:val="auto"/>
              </w:rPr>
              <w:t>Expenses:</w:t>
            </w:r>
          </w:p>
        </w:tc>
        <w:tc>
          <w:tcPr>
            <w:tcW w:w="320" w:type="dxa"/>
            <w:vAlign w:val="bottom"/>
            <w:shd w:val="clear" w:color="auto" w:fill="DBEEF4"/>
          </w:tcPr>
          <w:p>
            <w:pPr>
              <w:spacing w:after="0"/>
              <w:rPr>
                <w:sz w:val="14"/>
                <w:szCs w:val="14"/>
                <w:color w:val="auto"/>
              </w:rPr>
            </w:pPr>
          </w:p>
        </w:tc>
        <w:tc>
          <w:tcPr>
            <w:tcW w:w="1080" w:type="dxa"/>
            <w:vAlign w:val="bottom"/>
            <w:shd w:val="clear" w:color="auto" w:fill="DBEEF4"/>
          </w:tcPr>
          <w:p>
            <w:pPr>
              <w:spacing w:after="0"/>
              <w:rPr>
                <w:sz w:val="14"/>
                <w:szCs w:val="14"/>
                <w:color w:val="auto"/>
              </w:rPr>
            </w:pPr>
          </w:p>
        </w:tc>
        <w:tc>
          <w:tcPr>
            <w:tcW w:w="160" w:type="dxa"/>
            <w:vAlign w:val="bottom"/>
            <w:shd w:val="clear" w:color="auto" w:fill="DBEEF4"/>
          </w:tcPr>
          <w:p>
            <w:pPr>
              <w:spacing w:after="0"/>
              <w:rPr>
                <w:sz w:val="14"/>
                <w:szCs w:val="14"/>
                <w:color w:val="auto"/>
              </w:rPr>
            </w:pPr>
          </w:p>
        </w:tc>
        <w:tc>
          <w:tcPr>
            <w:tcW w:w="260" w:type="dxa"/>
            <w:vAlign w:val="bottom"/>
            <w:shd w:val="clear" w:color="auto" w:fill="DBEEF4"/>
          </w:tcPr>
          <w:p>
            <w:pPr>
              <w:spacing w:after="0"/>
              <w:rPr>
                <w:sz w:val="14"/>
                <w:szCs w:val="14"/>
                <w:color w:val="auto"/>
              </w:rPr>
            </w:pPr>
          </w:p>
        </w:tc>
        <w:tc>
          <w:tcPr>
            <w:tcW w:w="320" w:type="dxa"/>
            <w:vAlign w:val="bottom"/>
            <w:shd w:val="clear" w:color="auto" w:fill="DBEEF4"/>
          </w:tcPr>
          <w:p>
            <w:pPr>
              <w:spacing w:after="0"/>
              <w:rPr>
                <w:sz w:val="14"/>
                <w:szCs w:val="14"/>
                <w:color w:val="auto"/>
              </w:rPr>
            </w:pPr>
          </w:p>
        </w:tc>
        <w:tc>
          <w:tcPr>
            <w:tcW w:w="1080" w:type="dxa"/>
            <w:vAlign w:val="bottom"/>
            <w:shd w:val="clear" w:color="auto" w:fill="DBEEF4"/>
          </w:tcPr>
          <w:p>
            <w:pPr>
              <w:spacing w:after="0"/>
              <w:rPr>
                <w:sz w:val="14"/>
                <w:szCs w:val="14"/>
                <w:color w:val="auto"/>
              </w:rPr>
            </w:pPr>
          </w:p>
        </w:tc>
        <w:tc>
          <w:tcPr>
            <w:tcW w:w="42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1040" w:type="dxa"/>
            <w:vAlign w:val="bottom"/>
            <w:shd w:val="clear" w:color="auto" w:fill="DBEEF4"/>
          </w:tcPr>
          <w:p>
            <w:pPr>
              <w:spacing w:after="0"/>
              <w:rPr>
                <w:sz w:val="14"/>
                <w:szCs w:val="14"/>
                <w:color w:val="auto"/>
              </w:rPr>
            </w:pPr>
          </w:p>
        </w:tc>
        <w:tc>
          <w:tcPr>
            <w:tcW w:w="260" w:type="dxa"/>
            <w:vAlign w:val="bottom"/>
            <w:shd w:val="clear" w:color="auto" w:fill="DBEEF4"/>
          </w:tcPr>
          <w:p>
            <w:pPr>
              <w:spacing w:after="0"/>
              <w:rPr>
                <w:sz w:val="14"/>
                <w:szCs w:val="14"/>
                <w:color w:val="auto"/>
              </w:rPr>
            </w:pPr>
          </w:p>
        </w:tc>
      </w:tr>
      <w:tr>
        <w:trPr>
          <w:trHeight w:val="175"/>
        </w:trPr>
        <w:tc>
          <w:tcPr>
            <w:tcW w:w="6000" w:type="dxa"/>
            <w:vAlign w:val="bottom"/>
          </w:tcPr>
          <w:p>
            <w:pPr>
              <w:ind w:left="160"/>
              <w:spacing w:after="0"/>
              <w:rPr>
                <w:sz w:val="20"/>
                <w:szCs w:val="20"/>
                <w:color w:val="auto"/>
              </w:rPr>
            </w:pPr>
            <w:r>
              <w:rPr>
                <w:rFonts w:ascii="Arial" w:cs="Arial" w:eastAsia="Arial" w:hAnsi="Arial"/>
                <w:sz w:val="14"/>
                <w:szCs w:val="14"/>
                <w:color w:val="auto"/>
              </w:rPr>
              <w:t>Interest and financing expenses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19,164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19,678</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17,072</w:t>
            </w:r>
          </w:p>
        </w:tc>
        <w:tc>
          <w:tcPr>
            <w:tcW w:w="260" w:type="dxa"/>
            <w:vAlign w:val="bottom"/>
          </w:tcPr>
          <w:p>
            <w:pPr>
              <w:spacing w:after="0"/>
              <w:rPr>
                <w:sz w:val="15"/>
                <w:szCs w:val="15"/>
                <w:color w:val="auto"/>
              </w:rPr>
            </w:pPr>
          </w:p>
        </w:tc>
      </w:tr>
      <w:tr>
        <w:trPr>
          <w:trHeight w:val="176"/>
        </w:trPr>
        <w:tc>
          <w:tcPr>
            <w:tcW w:w="6000" w:type="dxa"/>
            <w:vAlign w:val="bottom"/>
            <w:shd w:val="clear" w:color="auto" w:fill="DBEEF4"/>
          </w:tcPr>
          <w:p>
            <w:pPr>
              <w:ind w:left="160"/>
              <w:spacing w:after="0"/>
              <w:rPr>
                <w:sz w:val="20"/>
                <w:szCs w:val="20"/>
                <w:color w:val="auto"/>
              </w:rPr>
            </w:pPr>
            <w:r>
              <w:rPr>
                <w:rFonts w:ascii="Arial" w:cs="Arial" w:eastAsia="Arial" w:hAnsi="Arial"/>
                <w:sz w:val="14"/>
                <w:szCs w:val="14"/>
                <w:color w:val="auto"/>
              </w:rPr>
              <w:t>Base management fee</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12,874</w:t>
            </w: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12,932</w:t>
            </w:r>
          </w:p>
        </w:tc>
        <w:tc>
          <w:tcPr>
            <w:tcW w:w="42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4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12,399</w:t>
            </w:r>
          </w:p>
        </w:tc>
        <w:tc>
          <w:tcPr>
            <w:tcW w:w="260" w:type="dxa"/>
            <w:vAlign w:val="bottom"/>
            <w:shd w:val="clear" w:color="auto" w:fill="DBEEF4"/>
          </w:tcPr>
          <w:p>
            <w:pPr>
              <w:spacing w:after="0"/>
              <w:rPr>
                <w:sz w:val="15"/>
                <w:szCs w:val="15"/>
                <w:color w:val="auto"/>
              </w:rPr>
            </w:pPr>
          </w:p>
        </w:tc>
      </w:tr>
      <w:tr>
        <w:trPr>
          <w:trHeight w:val="175"/>
        </w:trPr>
        <w:tc>
          <w:tcPr>
            <w:tcW w:w="6000" w:type="dxa"/>
            <w:vAlign w:val="bottom"/>
          </w:tcPr>
          <w:p>
            <w:pPr>
              <w:ind w:left="160"/>
              <w:spacing w:after="0"/>
              <w:rPr>
                <w:sz w:val="20"/>
                <w:szCs w:val="20"/>
                <w:color w:val="auto"/>
              </w:rPr>
            </w:pPr>
            <w:r>
              <w:rPr>
                <w:rFonts w:ascii="Arial" w:cs="Arial" w:eastAsia="Arial" w:hAnsi="Arial"/>
                <w:sz w:val="14"/>
                <w:szCs w:val="14"/>
                <w:color w:val="auto"/>
              </w:rPr>
              <w:t>Incentive fee - income</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10,266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8,952</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7,445</w:t>
            </w:r>
          </w:p>
        </w:tc>
        <w:tc>
          <w:tcPr>
            <w:tcW w:w="260" w:type="dxa"/>
            <w:vAlign w:val="bottom"/>
          </w:tcPr>
          <w:p>
            <w:pPr>
              <w:spacing w:after="0"/>
              <w:rPr>
                <w:sz w:val="15"/>
                <w:szCs w:val="15"/>
                <w:color w:val="auto"/>
              </w:rPr>
            </w:pPr>
          </w:p>
        </w:tc>
      </w:tr>
      <w:tr>
        <w:trPr>
          <w:trHeight w:val="175"/>
        </w:trPr>
        <w:tc>
          <w:tcPr>
            <w:tcW w:w="6000" w:type="dxa"/>
            <w:vAlign w:val="bottom"/>
            <w:shd w:val="clear" w:color="auto" w:fill="DBEEF4"/>
          </w:tcPr>
          <w:p>
            <w:pPr>
              <w:ind w:left="160"/>
              <w:spacing w:after="0"/>
              <w:rPr>
                <w:sz w:val="20"/>
                <w:szCs w:val="20"/>
                <w:color w:val="auto"/>
              </w:rPr>
            </w:pPr>
            <w:r>
              <w:rPr>
                <w:rFonts w:ascii="Arial" w:cs="Arial" w:eastAsia="Arial" w:hAnsi="Arial"/>
                <w:sz w:val="14"/>
                <w:szCs w:val="14"/>
                <w:color w:val="auto"/>
              </w:rPr>
              <w:t>Incentive fee (reversal) - capital gains</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18,196</w:t>
            </w: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500" w:type="dxa"/>
            <w:vAlign w:val="bottom"/>
            <w:gridSpan w:val="2"/>
            <w:shd w:val="clear" w:color="auto" w:fill="DBEEF4"/>
          </w:tcPr>
          <w:p>
            <w:pPr>
              <w:jc w:val="right"/>
              <w:ind w:right="288"/>
              <w:spacing w:after="0"/>
              <w:rPr>
                <w:sz w:val="20"/>
                <w:szCs w:val="20"/>
                <w:color w:val="auto"/>
              </w:rPr>
            </w:pPr>
            <w:r>
              <w:rPr>
                <w:rFonts w:ascii="Arial" w:cs="Arial" w:eastAsia="Arial" w:hAnsi="Arial"/>
                <w:sz w:val="14"/>
                <w:szCs w:val="14"/>
                <w:color w:val="auto"/>
              </w:rPr>
              <w:t>(1,684 )</w:t>
            </w:r>
          </w:p>
        </w:tc>
        <w:tc>
          <w:tcPr>
            <w:tcW w:w="300" w:type="dxa"/>
            <w:vAlign w:val="bottom"/>
            <w:shd w:val="clear" w:color="auto" w:fill="DBEEF4"/>
          </w:tcPr>
          <w:p>
            <w:pPr>
              <w:spacing w:after="0"/>
              <w:rPr>
                <w:sz w:val="15"/>
                <w:szCs w:val="15"/>
                <w:color w:val="auto"/>
              </w:rPr>
            </w:pPr>
          </w:p>
        </w:tc>
        <w:tc>
          <w:tcPr>
            <w:tcW w:w="1040" w:type="dxa"/>
            <w:vAlign w:val="bottom"/>
            <w:shd w:val="clear" w:color="auto" w:fill="DBEEF4"/>
          </w:tcPr>
          <w:p>
            <w:pPr>
              <w:jc w:val="right"/>
              <w:spacing w:after="0"/>
              <w:rPr>
                <w:sz w:val="20"/>
                <w:szCs w:val="20"/>
                <w:color w:val="auto"/>
              </w:rPr>
            </w:pPr>
            <w:r>
              <w:rPr>
                <w:rFonts w:ascii="Arial" w:cs="Arial" w:eastAsia="Arial" w:hAnsi="Arial"/>
                <w:sz w:val="14"/>
                <w:szCs w:val="14"/>
                <w:color w:val="auto"/>
              </w:rPr>
              <w:t>3,299</w:t>
            </w:r>
          </w:p>
        </w:tc>
        <w:tc>
          <w:tcPr>
            <w:tcW w:w="260" w:type="dxa"/>
            <w:vAlign w:val="bottom"/>
            <w:shd w:val="clear" w:color="auto" w:fill="DBEEF4"/>
          </w:tcPr>
          <w:p>
            <w:pPr>
              <w:spacing w:after="0"/>
              <w:rPr>
                <w:sz w:val="15"/>
                <w:szCs w:val="15"/>
                <w:color w:val="auto"/>
              </w:rPr>
            </w:pPr>
          </w:p>
        </w:tc>
      </w:tr>
      <w:tr>
        <w:trPr>
          <w:trHeight w:val="176"/>
        </w:trPr>
        <w:tc>
          <w:tcPr>
            <w:tcW w:w="6000" w:type="dxa"/>
            <w:vAlign w:val="bottom"/>
          </w:tcPr>
          <w:p>
            <w:pPr>
              <w:ind w:left="160"/>
              <w:spacing w:after="0"/>
              <w:rPr>
                <w:sz w:val="20"/>
                <w:szCs w:val="20"/>
                <w:color w:val="auto"/>
              </w:rPr>
            </w:pPr>
            <w:r>
              <w:rPr>
                <w:rFonts w:ascii="Arial" w:cs="Arial" w:eastAsia="Arial" w:hAnsi="Arial"/>
                <w:sz w:val="14"/>
                <w:szCs w:val="14"/>
                <w:color w:val="auto"/>
              </w:rPr>
              <w:t>Administrative service expenses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1,583</w:t>
            </w:r>
          </w:p>
        </w:tc>
        <w:tc>
          <w:tcPr>
            <w:tcW w:w="260" w:type="dxa"/>
            <w:vAlign w:val="bottom"/>
          </w:tcPr>
          <w:p>
            <w:pPr>
              <w:spacing w:after="0"/>
              <w:rPr>
                <w:sz w:val="15"/>
                <w:szCs w:val="15"/>
                <w:color w:val="auto"/>
              </w:rPr>
            </w:pPr>
          </w:p>
        </w:tc>
      </w:tr>
      <w:tr>
        <w:trPr>
          <w:trHeight w:val="175"/>
        </w:trPr>
        <w:tc>
          <w:tcPr>
            <w:tcW w:w="6000" w:type="dxa"/>
            <w:vAlign w:val="bottom"/>
            <w:shd w:val="clear" w:color="auto" w:fill="DBEEF4"/>
          </w:tcPr>
          <w:p>
            <w:pPr>
              <w:ind w:left="160"/>
              <w:spacing w:after="0"/>
              <w:rPr>
                <w:sz w:val="20"/>
                <w:szCs w:val="20"/>
                <w:color w:val="auto"/>
              </w:rPr>
            </w:pPr>
            <w:r>
              <w:rPr>
                <w:rFonts w:ascii="Arial" w:cs="Arial" w:eastAsia="Arial" w:hAnsi="Arial"/>
                <w:sz w:val="14"/>
                <w:szCs w:val="14"/>
                <w:color w:val="auto"/>
              </w:rPr>
              <w:t>Professional fees</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1,327</w:t>
            </w: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2,090</w:t>
            </w:r>
          </w:p>
        </w:tc>
        <w:tc>
          <w:tcPr>
            <w:tcW w:w="42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4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1,553</w:t>
            </w:r>
          </w:p>
        </w:tc>
        <w:tc>
          <w:tcPr>
            <w:tcW w:w="260" w:type="dxa"/>
            <w:vAlign w:val="bottom"/>
            <w:shd w:val="clear" w:color="auto" w:fill="DBEEF4"/>
          </w:tcPr>
          <w:p>
            <w:pPr>
              <w:spacing w:after="0"/>
              <w:rPr>
                <w:sz w:val="15"/>
                <w:szCs w:val="15"/>
                <w:color w:val="auto"/>
              </w:rPr>
            </w:pPr>
          </w:p>
        </w:tc>
      </w:tr>
      <w:tr>
        <w:trPr>
          <w:trHeight w:val="175"/>
        </w:trPr>
        <w:tc>
          <w:tcPr>
            <w:tcW w:w="6000" w:type="dxa"/>
            <w:vAlign w:val="bottom"/>
          </w:tcPr>
          <w:p>
            <w:pPr>
              <w:ind w:left="160"/>
              <w:spacing w:after="0"/>
              <w:rPr>
                <w:sz w:val="20"/>
                <w:szCs w:val="20"/>
                <w:color w:val="auto"/>
              </w:rPr>
            </w:pPr>
            <w:r>
              <w:rPr>
                <w:rFonts w:ascii="Arial" w:cs="Arial" w:eastAsia="Arial" w:hAnsi="Arial"/>
                <w:sz w:val="14"/>
                <w:szCs w:val="14"/>
                <w:color w:val="auto"/>
              </w:rPr>
              <w:t>Other general and administrative expenses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1,348</w:t>
            </w:r>
          </w:p>
        </w:tc>
        <w:tc>
          <w:tcPr>
            <w:tcW w:w="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w:t>
            </w:r>
          </w:p>
        </w:tc>
        <w:tc>
          <w:tcPr>
            <w:tcW w:w="260" w:type="dxa"/>
            <w:vAlign w:val="bottom"/>
          </w:tcPr>
          <w:p>
            <w:pPr>
              <w:spacing w:after="0"/>
              <w:rPr>
                <w:sz w:val="15"/>
                <w:szCs w:val="15"/>
                <w:color w:val="auto"/>
              </w:rPr>
            </w:pPr>
          </w:p>
        </w:tc>
      </w:tr>
      <w:tr>
        <w:trPr>
          <w:trHeight w:val="169"/>
        </w:trPr>
        <w:tc>
          <w:tcPr>
            <w:tcW w:w="6000" w:type="dxa"/>
            <w:vAlign w:val="bottom"/>
            <w:tcBorders>
              <w:bottom w:val="single" w:sz="8" w:color="DBEEF4"/>
            </w:tcBorders>
            <w:shd w:val="clear" w:color="auto" w:fill="DBEEF4"/>
          </w:tcPr>
          <w:p>
            <w:pPr>
              <w:ind w:left="20"/>
              <w:spacing w:after="0"/>
              <w:rPr>
                <w:sz w:val="20"/>
                <w:szCs w:val="20"/>
                <w:color w:val="auto"/>
              </w:rPr>
            </w:pPr>
            <w:r>
              <w:rPr>
                <w:rFonts w:ascii="Arial" w:cs="Arial" w:eastAsia="Arial" w:hAnsi="Arial"/>
                <w:sz w:val="14"/>
                <w:szCs w:val="14"/>
                <w:color w:val="auto"/>
              </w:rPr>
              <w:t>Total expenses before base management and income incentive fee waivers</w:t>
            </w:r>
          </w:p>
        </w:tc>
        <w:tc>
          <w:tcPr>
            <w:tcW w:w="320" w:type="dxa"/>
            <w:vAlign w:val="bottom"/>
            <w:tcBorders>
              <w:bottom w:val="single" w:sz="8" w:color="auto"/>
            </w:tcBorders>
            <w:shd w:val="clear" w:color="auto" w:fill="DBEEF4"/>
          </w:tcPr>
          <w:p>
            <w:pPr>
              <w:spacing w:after="0"/>
              <w:rPr>
                <w:sz w:val="14"/>
                <w:szCs w:val="14"/>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64,993</w:t>
            </w:r>
          </w:p>
        </w:tc>
        <w:tc>
          <w:tcPr>
            <w:tcW w:w="160" w:type="dxa"/>
            <w:vAlign w:val="bottom"/>
            <w:tcBorders>
              <w:bottom w:val="single" w:sz="8" w:color="DBEEF4"/>
            </w:tcBorders>
            <w:shd w:val="clear" w:color="auto" w:fill="DBEEF4"/>
          </w:tcPr>
          <w:p>
            <w:pPr>
              <w:spacing w:after="0"/>
              <w:rPr>
                <w:sz w:val="14"/>
                <w:szCs w:val="14"/>
                <w:color w:val="auto"/>
              </w:rPr>
            </w:pPr>
          </w:p>
        </w:tc>
        <w:tc>
          <w:tcPr>
            <w:tcW w:w="260" w:type="dxa"/>
            <w:vAlign w:val="bottom"/>
            <w:tcBorders>
              <w:bottom w:val="single" w:sz="8" w:color="DBEEF4"/>
            </w:tcBorders>
            <w:shd w:val="clear" w:color="auto" w:fill="DBEEF4"/>
          </w:tcPr>
          <w:p>
            <w:pPr>
              <w:spacing w:after="0"/>
              <w:rPr>
                <w:sz w:val="14"/>
                <w:szCs w:val="14"/>
                <w:color w:val="auto"/>
              </w:rPr>
            </w:pPr>
          </w:p>
        </w:tc>
        <w:tc>
          <w:tcPr>
            <w:tcW w:w="320" w:type="dxa"/>
            <w:vAlign w:val="bottom"/>
            <w:tcBorders>
              <w:bottom w:val="single" w:sz="8" w:color="auto"/>
            </w:tcBorders>
            <w:shd w:val="clear" w:color="auto" w:fill="DBEEF4"/>
          </w:tcPr>
          <w:p>
            <w:pPr>
              <w:spacing w:after="0"/>
              <w:rPr>
                <w:sz w:val="14"/>
                <w:szCs w:val="14"/>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45,036</w:t>
            </w:r>
          </w:p>
        </w:tc>
        <w:tc>
          <w:tcPr>
            <w:tcW w:w="420" w:type="dxa"/>
            <w:vAlign w:val="bottom"/>
            <w:tcBorders>
              <w:bottom w:val="single" w:sz="8" w:color="DBEEF4"/>
            </w:tcBorders>
            <w:shd w:val="clear" w:color="auto" w:fill="DBEEF4"/>
          </w:tcPr>
          <w:p>
            <w:pPr>
              <w:spacing w:after="0"/>
              <w:rPr>
                <w:sz w:val="14"/>
                <w:szCs w:val="14"/>
                <w:color w:val="auto"/>
              </w:rPr>
            </w:pPr>
          </w:p>
        </w:tc>
        <w:tc>
          <w:tcPr>
            <w:tcW w:w="300" w:type="dxa"/>
            <w:vAlign w:val="bottom"/>
            <w:tcBorders>
              <w:bottom w:val="single" w:sz="8" w:color="auto"/>
            </w:tcBorders>
            <w:shd w:val="clear" w:color="auto" w:fill="DBEEF4"/>
          </w:tcPr>
          <w:p>
            <w:pPr>
              <w:spacing w:after="0"/>
              <w:rPr>
                <w:sz w:val="14"/>
                <w:szCs w:val="14"/>
                <w:color w:val="auto"/>
              </w:rPr>
            </w:pPr>
          </w:p>
        </w:tc>
        <w:tc>
          <w:tcPr>
            <w:tcW w:w="10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44,637</w:t>
            </w:r>
          </w:p>
        </w:tc>
        <w:tc>
          <w:tcPr>
            <w:tcW w:w="260" w:type="dxa"/>
            <w:vAlign w:val="bottom"/>
            <w:tcBorders>
              <w:bottom w:val="single" w:sz="8" w:color="DBEEF4"/>
            </w:tcBorders>
            <w:shd w:val="clear" w:color="auto" w:fill="DBEEF4"/>
          </w:tcPr>
          <w:p>
            <w:pPr>
              <w:spacing w:after="0"/>
              <w:rPr>
                <w:sz w:val="14"/>
                <w:szCs w:val="14"/>
                <w:color w:val="auto"/>
              </w:rPr>
            </w:pPr>
          </w:p>
        </w:tc>
      </w:tr>
      <w:tr>
        <w:trPr>
          <w:trHeight w:val="169"/>
        </w:trPr>
        <w:tc>
          <w:tcPr>
            <w:tcW w:w="6000" w:type="dxa"/>
            <w:vAlign w:val="bottom"/>
          </w:tcPr>
          <w:p>
            <w:pPr>
              <w:ind w:left="160"/>
              <w:spacing w:after="0"/>
              <w:rPr>
                <w:sz w:val="20"/>
                <w:szCs w:val="20"/>
                <w:color w:val="auto"/>
              </w:rPr>
            </w:pPr>
            <w:r>
              <w:rPr>
                <w:rFonts w:ascii="Arial" w:cs="Arial" w:eastAsia="Arial" w:hAnsi="Arial"/>
                <w:sz w:val="14"/>
                <w:szCs w:val="14"/>
                <w:color w:val="auto"/>
              </w:rPr>
              <w:t>Base management and income incentive fee waivers</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(176 )</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288"/>
              <w:spacing w:after="0"/>
              <w:rPr>
                <w:sz w:val="20"/>
                <w:szCs w:val="20"/>
                <w:color w:val="auto"/>
              </w:rPr>
            </w:pPr>
            <w:r>
              <w:rPr>
                <w:rFonts w:ascii="Arial" w:cs="Arial" w:eastAsia="Arial" w:hAnsi="Arial"/>
                <w:sz w:val="14"/>
                <w:szCs w:val="14"/>
                <w:color w:val="auto"/>
              </w:rPr>
              <w:t>(423 )</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9"/>
        </w:trPr>
        <w:tc>
          <w:tcPr>
            <w:tcW w:w="6000" w:type="dxa"/>
            <w:vAlign w:val="bottom"/>
            <w:tcBorders>
              <w:bottom w:val="single" w:sz="8" w:color="DBEEF4"/>
            </w:tcBorders>
            <w:shd w:val="clear" w:color="auto" w:fill="DBEEF4"/>
          </w:tcPr>
          <w:p>
            <w:pPr>
              <w:ind w:left="20"/>
              <w:spacing w:after="0"/>
              <w:rPr>
                <w:sz w:val="20"/>
                <w:szCs w:val="20"/>
                <w:color w:val="auto"/>
              </w:rPr>
            </w:pPr>
            <w:r>
              <w:rPr>
                <w:rFonts w:ascii="Arial" w:cs="Arial" w:eastAsia="Arial" w:hAnsi="Arial"/>
                <w:sz w:val="14"/>
                <w:szCs w:val="14"/>
                <w:color w:val="auto"/>
              </w:rPr>
              <w:t>Total expenses, net of base management and incentive fee waivers</w:t>
            </w:r>
          </w:p>
        </w:tc>
        <w:tc>
          <w:tcPr>
            <w:tcW w:w="320" w:type="dxa"/>
            <w:vAlign w:val="bottom"/>
            <w:tcBorders>
              <w:top w:val="single" w:sz="8" w:color="auto"/>
              <w:bottom w:val="single" w:sz="8" w:color="auto"/>
            </w:tcBorders>
            <w:shd w:val="clear" w:color="auto" w:fill="DBEEF4"/>
          </w:tcPr>
          <w:p>
            <w:pPr>
              <w:spacing w:after="0"/>
              <w:rPr>
                <w:sz w:val="14"/>
                <w:szCs w:val="14"/>
                <w:color w:val="auto"/>
              </w:rPr>
            </w:pPr>
          </w:p>
        </w:tc>
        <w:tc>
          <w:tcPr>
            <w:tcW w:w="1080" w:type="dxa"/>
            <w:vAlign w:val="bottom"/>
            <w:tcBorders>
              <w:top w:val="single" w:sz="8" w:color="auto"/>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64,817</w:t>
            </w:r>
          </w:p>
        </w:tc>
        <w:tc>
          <w:tcPr>
            <w:tcW w:w="160" w:type="dxa"/>
            <w:vAlign w:val="bottom"/>
            <w:tcBorders>
              <w:bottom w:val="single" w:sz="8" w:color="DBEEF4"/>
            </w:tcBorders>
            <w:shd w:val="clear" w:color="auto" w:fill="DBEEF4"/>
          </w:tcPr>
          <w:p>
            <w:pPr>
              <w:spacing w:after="0"/>
              <w:rPr>
                <w:sz w:val="14"/>
                <w:szCs w:val="14"/>
                <w:color w:val="auto"/>
              </w:rPr>
            </w:pPr>
          </w:p>
        </w:tc>
        <w:tc>
          <w:tcPr>
            <w:tcW w:w="260" w:type="dxa"/>
            <w:vAlign w:val="bottom"/>
            <w:tcBorders>
              <w:bottom w:val="single" w:sz="8" w:color="DBEEF4"/>
            </w:tcBorders>
            <w:shd w:val="clear" w:color="auto" w:fill="DBEEF4"/>
          </w:tcPr>
          <w:p>
            <w:pPr>
              <w:spacing w:after="0"/>
              <w:rPr>
                <w:sz w:val="14"/>
                <w:szCs w:val="14"/>
                <w:color w:val="auto"/>
              </w:rPr>
            </w:pPr>
          </w:p>
        </w:tc>
        <w:tc>
          <w:tcPr>
            <w:tcW w:w="320" w:type="dxa"/>
            <w:vAlign w:val="bottom"/>
            <w:tcBorders>
              <w:top w:val="single" w:sz="8" w:color="auto"/>
              <w:bottom w:val="single" w:sz="8" w:color="auto"/>
            </w:tcBorders>
            <w:shd w:val="clear" w:color="auto" w:fill="DBEEF4"/>
          </w:tcPr>
          <w:p>
            <w:pPr>
              <w:spacing w:after="0"/>
              <w:rPr>
                <w:sz w:val="14"/>
                <w:szCs w:val="14"/>
                <w:color w:val="auto"/>
              </w:rPr>
            </w:pPr>
          </w:p>
        </w:tc>
        <w:tc>
          <w:tcPr>
            <w:tcW w:w="1080" w:type="dxa"/>
            <w:vAlign w:val="bottom"/>
            <w:tcBorders>
              <w:top w:val="single" w:sz="8" w:color="auto"/>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44,613</w:t>
            </w:r>
          </w:p>
        </w:tc>
        <w:tc>
          <w:tcPr>
            <w:tcW w:w="420" w:type="dxa"/>
            <w:vAlign w:val="bottom"/>
            <w:tcBorders>
              <w:bottom w:val="single" w:sz="8" w:color="DBEEF4"/>
            </w:tcBorders>
            <w:shd w:val="clear" w:color="auto" w:fill="DBEEF4"/>
          </w:tcPr>
          <w:p>
            <w:pPr>
              <w:spacing w:after="0"/>
              <w:rPr>
                <w:sz w:val="14"/>
                <w:szCs w:val="14"/>
                <w:color w:val="auto"/>
              </w:rPr>
            </w:pPr>
          </w:p>
        </w:tc>
        <w:tc>
          <w:tcPr>
            <w:tcW w:w="300" w:type="dxa"/>
            <w:vAlign w:val="bottom"/>
            <w:tcBorders>
              <w:top w:val="single" w:sz="8" w:color="auto"/>
              <w:bottom w:val="single" w:sz="8" w:color="auto"/>
            </w:tcBorders>
            <w:shd w:val="clear" w:color="auto" w:fill="DBEEF4"/>
          </w:tcPr>
          <w:p>
            <w:pPr>
              <w:spacing w:after="0"/>
              <w:rPr>
                <w:sz w:val="14"/>
                <w:szCs w:val="14"/>
                <w:color w:val="auto"/>
              </w:rPr>
            </w:pPr>
          </w:p>
        </w:tc>
        <w:tc>
          <w:tcPr>
            <w:tcW w:w="1040" w:type="dxa"/>
            <w:vAlign w:val="bottom"/>
            <w:tcBorders>
              <w:top w:val="single" w:sz="8" w:color="auto"/>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44,637</w:t>
            </w:r>
          </w:p>
        </w:tc>
        <w:tc>
          <w:tcPr>
            <w:tcW w:w="260" w:type="dxa"/>
            <w:vAlign w:val="bottom"/>
            <w:tcBorders>
              <w:bottom w:val="single" w:sz="8" w:color="DBEEF4"/>
            </w:tcBorders>
            <w:shd w:val="clear" w:color="auto" w:fill="DBEEF4"/>
          </w:tcPr>
          <w:p>
            <w:pPr>
              <w:spacing w:after="0"/>
              <w:rPr>
                <w:sz w:val="14"/>
                <w:szCs w:val="14"/>
                <w:color w:val="auto"/>
              </w:rPr>
            </w:pPr>
          </w:p>
        </w:tc>
      </w:tr>
      <w:tr>
        <w:trPr>
          <w:trHeight w:val="169"/>
        </w:trPr>
        <w:tc>
          <w:tcPr>
            <w:tcW w:w="6000" w:type="dxa"/>
            <w:vAlign w:val="bottom"/>
          </w:tcPr>
          <w:p>
            <w:pPr>
              <w:ind w:left="20"/>
              <w:spacing w:after="0"/>
              <w:rPr>
                <w:sz w:val="20"/>
                <w:szCs w:val="20"/>
                <w:color w:val="auto"/>
              </w:rPr>
            </w:pPr>
            <w:r>
              <w:rPr>
                <w:rFonts w:ascii="Arial" w:cs="Arial" w:eastAsia="Arial" w:hAnsi="Arial"/>
                <w:sz w:val="14"/>
                <w:szCs w:val="14"/>
                <w:color w:val="auto"/>
              </w:rPr>
              <w:t>Net investment income before income taxes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25,629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40,510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32,469</w:t>
            </w:r>
          </w:p>
        </w:tc>
        <w:tc>
          <w:tcPr>
            <w:tcW w:w="260" w:type="dxa"/>
            <w:vAlign w:val="bottom"/>
          </w:tcPr>
          <w:p>
            <w:pPr>
              <w:spacing w:after="0"/>
              <w:rPr>
                <w:sz w:val="14"/>
                <w:szCs w:val="14"/>
                <w:color w:val="auto"/>
              </w:rPr>
            </w:pPr>
          </w:p>
        </w:tc>
      </w:tr>
      <w:tr>
        <w:trPr>
          <w:trHeight w:val="175"/>
        </w:trPr>
        <w:tc>
          <w:tcPr>
            <w:tcW w:w="6000" w:type="dxa"/>
            <w:vAlign w:val="bottom"/>
            <w:tcBorders>
              <w:bottom w:val="single" w:sz="8" w:color="DBEEF4"/>
            </w:tcBorders>
            <w:shd w:val="clear" w:color="auto" w:fill="DBEEF4"/>
          </w:tcPr>
          <w:p>
            <w:pPr>
              <w:ind w:left="160"/>
              <w:spacing w:after="0"/>
              <w:rPr>
                <w:sz w:val="20"/>
                <w:szCs w:val="20"/>
                <w:color w:val="auto"/>
              </w:rPr>
            </w:pPr>
            <w:r>
              <w:rPr>
                <w:rFonts w:ascii="Arial" w:cs="Arial" w:eastAsia="Arial" w:hAnsi="Arial"/>
                <w:sz w:val="14"/>
                <w:szCs w:val="14"/>
                <w:color w:val="auto"/>
              </w:rPr>
              <w:t>Income tax provision (benefit)</w:t>
            </w:r>
          </w:p>
        </w:tc>
        <w:tc>
          <w:tcPr>
            <w:tcW w:w="320" w:type="dxa"/>
            <w:vAlign w:val="bottom"/>
            <w:tcBorders>
              <w:bottom w:val="single" w:sz="8" w:color="auto"/>
            </w:tcBorders>
            <w:shd w:val="clear" w:color="auto" w:fill="DBEEF4"/>
          </w:tcPr>
          <w:p>
            <w:pPr>
              <w:spacing w:after="0"/>
              <w:rPr>
                <w:sz w:val="15"/>
                <w:szCs w:val="15"/>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509</w:t>
            </w:r>
          </w:p>
        </w:tc>
        <w:tc>
          <w:tcPr>
            <w:tcW w:w="160" w:type="dxa"/>
            <w:vAlign w:val="bottom"/>
            <w:tcBorders>
              <w:bottom w:val="single" w:sz="8" w:color="DBEEF4"/>
            </w:tcBorders>
            <w:shd w:val="clear" w:color="auto" w:fill="DBEEF4"/>
          </w:tcPr>
          <w:p>
            <w:pPr>
              <w:spacing w:after="0"/>
              <w:rPr>
                <w:sz w:val="15"/>
                <w:szCs w:val="15"/>
                <w:color w:val="auto"/>
              </w:rPr>
            </w:pPr>
          </w:p>
        </w:tc>
        <w:tc>
          <w:tcPr>
            <w:tcW w:w="260" w:type="dxa"/>
            <w:vAlign w:val="bottom"/>
            <w:tcBorders>
              <w:bottom w:val="single" w:sz="8" w:color="DBEEF4"/>
            </w:tcBorders>
            <w:shd w:val="clear" w:color="auto" w:fill="DBEEF4"/>
          </w:tcPr>
          <w:p>
            <w:pPr>
              <w:spacing w:after="0"/>
              <w:rPr>
                <w:sz w:val="15"/>
                <w:szCs w:val="15"/>
                <w:color w:val="auto"/>
              </w:rPr>
            </w:pPr>
          </w:p>
        </w:tc>
        <w:tc>
          <w:tcPr>
            <w:tcW w:w="320" w:type="dxa"/>
            <w:vAlign w:val="bottom"/>
            <w:tcBorders>
              <w:bottom w:val="single" w:sz="8" w:color="auto"/>
            </w:tcBorders>
            <w:shd w:val="clear" w:color="auto" w:fill="DBEEF4"/>
          </w:tcPr>
          <w:p>
            <w:pPr>
              <w:spacing w:after="0"/>
              <w:rPr>
                <w:sz w:val="15"/>
                <w:szCs w:val="15"/>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862</w:t>
            </w:r>
          </w:p>
        </w:tc>
        <w:tc>
          <w:tcPr>
            <w:tcW w:w="42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10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500</w:t>
            </w:r>
          </w:p>
        </w:tc>
        <w:tc>
          <w:tcPr>
            <w:tcW w:w="260" w:type="dxa"/>
            <w:vAlign w:val="bottom"/>
            <w:tcBorders>
              <w:bottom w:val="single" w:sz="8" w:color="DBEEF4"/>
            </w:tcBorders>
            <w:shd w:val="clear" w:color="auto" w:fill="DBEEF4"/>
          </w:tcPr>
          <w:p>
            <w:pPr>
              <w:spacing w:after="0"/>
              <w:rPr>
                <w:sz w:val="15"/>
                <w:szCs w:val="15"/>
                <w:color w:val="auto"/>
              </w:rPr>
            </w:pPr>
          </w:p>
        </w:tc>
      </w:tr>
      <w:tr>
        <w:trPr>
          <w:trHeight w:val="169"/>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25,120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39,648</w:t>
            </w: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31,969</w:t>
            </w:r>
          </w:p>
        </w:tc>
        <w:tc>
          <w:tcPr>
            <w:tcW w:w="260" w:type="dxa"/>
            <w:vAlign w:val="bottom"/>
          </w:tcPr>
          <w:p>
            <w:pPr>
              <w:spacing w:after="0"/>
              <w:rPr>
                <w:sz w:val="14"/>
                <w:szCs w:val="14"/>
                <w:color w:val="auto"/>
              </w:rPr>
            </w:pPr>
          </w:p>
        </w:tc>
      </w:tr>
      <w:tr>
        <w:trPr>
          <w:trHeight w:val="169"/>
        </w:trPr>
        <w:tc>
          <w:tcPr>
            <w:tcW w:w="6000" w:type="dxa"/>
            <w:vAlign w:val="bottom"/>
            <w:shd w:val="clear" w:color="auto" w:fill="DBEEF4"/>
          </w:tcPr>
          <w:p>
            <w:pPr>
              <w:ind w:left="20"/>
              <w:spacing w:after="0"/>
              <w:rPr>
                <w:sz w:val="20"/>
                <w:szCs w:val="20"/>
                <w:color w:val="auto"/>
              </w:rPr>
            </w:pPr>
            <w:r>
              <w:rPr>
                <w:rFonts w:ascii="Arial" w:cs="Arial" w:eastAsia="Arial" w:hAnsi="Arial"/>
                <w:sz w:val="14"/>
                <w:szCs w:val="14"/>
                <w:b w:val="1"/>
                <w:bCs w:val="1"/>
                <w:color w:val="auto"/>
              </w:rPr>
              <w:t>Net realized and unrealized gains (losses) on investments:</w:t>
            </w:r>
          </w:p>
        </w:tc>
        <w:tc>
          <w:tcPr>
            <w:tcW w:w="320" w:type="dxa"/>
            <w:vAlign w:val="bottom"/>
            <w:shd w:val="clear" w:color="auto" w:fill="DBEEF4"/>
          </w:tcPr>
          <w:p>
            <w:pPr>
              <w:spacing w:after="0"/>
              <w:rPr>
                <w:sz w:val="14"/>
                <w:szCs w:val="14"/>
                <w:color w:val="auto"/>
              </w:rPr>
            </w:pPr>
          </w:p>
        </w:tc>
        <w:tc>
          <w:tcPr>
            <w:tcW w:w="1080" w:type="dxa"/>
            <w:vAlign w:val="bottom"/>
            <w:shd w:val="clear" w:color="auto" w:fill="DBEEF4"/>
          </w:tcPr>
          <w:p>
            <w:pPr>
              <w:spacing w:after="0"/>
              <w:rPr>
                <w:sz w:val="14"/>
                <w:szCs w:val="14"/>
                <w:color w:val="auto"/>
              </w:rPr>
            </w:pPr>
          </w:p>
        </w:tc>
        <w:tc>
          <w:tcPr>
            <w:tcW w:w="160" w:type="dxa"/>
            <w:vAlign w:val="bottom"/>
            <w:shd w:val="clear" w:color="auto" w:fill="DBEEF4"/>
          </w:tcPr>
          <w:p>
            <w:pPr>
              <w:spacing w:after="0"/>
              <w:rPr>
                <w:sz w:val="14"/>
                <w:szCs w:val="14"/>
                <w:color w:val="auto"/>
              </w:rPr>
            </w:pPr>
          </w:p>
        </w:tc>
        <w:tc>
          <w:tcPr>
            <w:tcW w:w="260" w:type="dxa"/>
            <w:vAlign w:val="bottom"/>
            <w:shd w:val="clear" w:color="auto" w:fill="DBEEF4"/>
          </w:tcPr>
          <w:p>
            <w:pPr>
              <w:spacing w:after="0"/>
              <w:rPr>
                <w:sz w:val="14"/>
                <w:szCs w:val="14"/>
                <w:color w:val="auto"/>
              </w:rPr>
            </w:pPr>
          </w:p>
        </w:tc>
        <w:tc>
          <w:tcPr>
            <w:tcW w:w="320" w:type="dxa"/>
            <w:vAlign w:val="bottom"/>
            <w:shd w:val="clear" w:color="auto" w:fill="DBEEF4"/>
          </w:tcPr>
          <w:p>
            <w:pPr>
              <w:spacing w:after="0"/>
              <w:rPr>
                <w:sz w:val="14"/>
                <w:szCs w:val="14"/>
                <w:color w:val="auto"/>
              </w:rPr>
            </w:pPr>
          </w:p>
        </w:tc>
        <w:tc>
          <w:tcPr>
            <w:tcW w:w="1080" w:type="dxa"/>
            <w:vAlign w:val="bottom"/>
            <w:shd w:val="clear" w:color="auto" w:fill="DBEEF4"/>
          </w:tcPr>
          <w:p>
            <w:pPr>
              <w:spacing w:after="0"/>
              <w:rPr>
                <w:sz w:val="14"/>
                <w:szCs w:val="14"/>
                <w:color w:val="auto"/>
              </w:rPr>
            </w:pPr>
          </w:p>
        </w:tc>
        <w:tc>
          <w:tcPr>
            <w:tcW w:w="42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1040" w:type="dxa"/>
            <w:vAlign w:val="bottom"/>
            <w:shd w:val="clear" w:color="auto" w:fill="DBEEF4"/>
          </w:tcPr>
          <w:p>
            <w:pPr>
              <w:spacing w:after="0"/>
              <w:rPr>
                <w:sz w:val="14"/>
                <w:szCs w:val="14"/>
                <w:color w:val="auto"/>
              </w:rPr>
            </w:pPr>
          </w:p>
        </w:tc>
        <w:tc>
          <w:tcPr>
            <w:tcW w:w="260" w:type="dxa"/>
            <w:vAlign w:val="bottom"/>
            <w:shd w:val="clear" w:color="auto" w:fill="DBEEF4"/>
          </w:tcPr>
          <w:p>
            <w:pPr>
              <w:spacing w:after="0"/>
              <w:rPr>
                <w:sz w:val="14"/>
                <w:szCs w:val="14"/>
                <w:color w:val="auto"/>
              </w:rPr>
            </w:pPr>
          </w:p>
        </w:tc>
      </w:tr>
      <w:tr>
        <w:trPr>
          <w:trHeight w:val="176"/>
        </w:trPr>
        <w:tc>
          <w:tcPr>
            <w:tcW w:w="6000" w:type="dxa"/>
            <w:vAlign w:val="bottom"/>
          </w:tcPr>
          <w:p>
            <w:pPr>
              <w:ind w:left="160"/>
              <w:spacing w:after="0"/>
              <w:rPr>
                <w:sz w:val="20"/>
                <w:szCs w:val="20"/>
                <w:color w:val="auto"/>
              </w:rPr>
            </w:pPr>
            <w:r>
              <w:rPr>
                <w:rFonts w:ascii="Arial" w:cs="Arial" w:eastAsia="Arial" w:hAnsi="Arial"/>
                <w:sz w:val="14"/>
                <w:szCs w:val="14"/>
                <w:color w:val="auto"/>
              </w:rPr>
              <w:t>Net realized gains (losses):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6000" w:type="dxa"/>
            <w:vAlign w:val="bottom"/>
            <w:shd w:val="clear" w:color="auto" w:fill="DBEEF4"/>
          </w:tcPr>
          <w:p>
            <w:pPr>
              <w:ind w:left="300"/>
              <w:spacing w:after="0"/>
              <w:rPr>
                <w:sz w:val="20"/>
                <w:szCs w:val="20"/>
                <w:color w:val="auto"/>
              </w:rPr>
            </w:pPr>
            <w:r>
              <w:rPr>
                <w:rFonts w:ascii="Arial" w:cs="Arial" w:eastAsia="Arial" w:hAnsi="Arial"/>
                <w:sz w:val="14"/>
                <w:szCs w:val="14"/>
                <w:color w:val="auto"/>
              </w:rPr>
              <w:t>Control investments</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20,521</w:t>
            </w: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500" w:type="dxa"/>
            <w:vAlign w:val="bottom"/>
            <w:gridSpan w:val="2"/>
            <w:shd w:val="clear" w:color="auto" w:fill="DBEEF4"/>
          </w:tcPr>
          <w:p>
            <w:pPr>
              <w:jc w:val="right"/>
              <w:ind w:right="3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BEEF4"/>
          </w:tcPr>
          <w:p>
            <w:pPr>
              <w:spacing w:after="0"/>
              <w:rPr>
                <w:sz w:val="15"/>
                <w:szCs w:val="15"/>
                <w:color w:val="auto"/>
              </w:rPr>
            </w:pPr>
          </w:p>
        </w:tc>
        <w:tc>
          <w:tcPr>
            <w:tcW w:w="1300" w:type="dxa"/>
            <w:vAlign w:val="bottom"/>
            <w:gridSpan w:val="2"/>
            <w:shd w:val="clear" w:color="auto" w:fill="DBEEF4"/>
          </w:tcPr>
          <w:p>
            <w:pPr>
              <w:jc w:val="right"/>
              <w:ind w:right="200"/>
              <w:spacing w:after="0"/>
              <w:rPr>
                <w:sz w:val="20"/>
                <w:szCs w:val="20"/>
                <w:color w:val="auto"/>
              </w:rPr>
            </w:pPr>
            <w:r>
              <w:rPr>
                <w:rFonts w:ascii="Arial" w:cs="Arial" w:eastAsia="Arial" w:hAnsi="Arial"/>
                <w:sz w:val="14"/>
                <w:szCs w:val="14"/>
                <w:color w:val="auto"/>
              </w:rPr>
              <w:t>(1,268 )</w:t>
            </w:r>
          </w:p>
        </w:tc>
      </w:tr>
      <w:tr>
        <w:trPr>
          <w:trHeight w:val="175"/>
        </w:trPr>
        <w:tc>
          <w:tcPr>
            <w:tcW w:w="6000" w:type="dxa"/>
            <w:vAlign w:val="bottom"/>
          </w:tcPr>
          <w:p>
            <w:pPr>
              <w:ind w:left="300"/>
              <w:spacing w:after="0"/>
              <w:rPr>
                <w:sz w:val="20"/>
                <w:szCs w:val="20"/>
                <w:color w:val="auto"/>
              </w:rPr>
            </w:pPr>
            <w:r>
              <w:rPr>
                <w:rFonts w:ascii="Arial" w:cs="Arial" w:eastAsia="Arial" w:hAnsi="Arial"/>
                <w:sz w:val="14"/>
                <w:szCs w:val="14"/>
                <w:color w:val="auto"/>
              </w:rPr>
              <w:t>Affiliate investments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24,655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(64 )</w:t>
            </w:r>
          </w:p>
        </w:tc>
      </w:tr>
      <w:tr>
        <w:trPr>
          <w:trHeight w:val="175"/>
        </w:trPr>
        <w:tc>
          <w:tcPr>
            <w:tcW w:w="6000" w:type="dxa"/>
            <w:vAlign w:val="bottom"/>
            <w:shd w:val="clear" w:color="auto" w:fill="DBEEF4"/>
          </w:tcPr>
          <w:p>
            <w:pPr>
              <w:ind w:left="300"/>
              <w:spacing w:after="0"/>
              <w:rPr>
                <w:sz w:val="20"/>
                <w:szCs w:val="20"/>
                <w:color w:val="auto"/>
              </w:rPr>
            </w:pPr>
            <w:r>
              <w:rPr>
                <w:rFonts w:ascii="Arial" w:cs="Arial" w:eastAsia="Arial" w:hAnsi="Arial"/>
                <w:sz w:val="14"/>
                <w:szCs w:val="14"/>
                <w:color w:val="auto"/>
              </w:rPr>
              <w:t>Non-control/non-affiliate investments</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35,163</w:t>
            </w: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500" w:type="dxa"/>
            <w:vAlign w:val="bottom"/>
            <w:gridSpan w:val="2"/>
            <w:shd w:val="clear" w:color="auto" w:fill="DBEEF4"/>
          </w:tcPr>
          <w:p>
            <w:pPr>
              <w:jc w:val="right"/>
              <w:ind w:right="288"/>
              <w:spacing w:after="0"/>
              <w:rPr>
                <w:sz w:val="20"/>
                <w:szCs w:val="20"/>
                <w:color w:val="auto"/>
              </w:rPr>
            </w:pPr>
            <w:r>
              <w:rPr>
                <w:rFonts w:ascii="Arial" w:cs="Arial" w:eastAsia="Arial" w:hAnsi="Arial"/>
                <w:sz w:val="14"/>
                <w:szCs w:val="14"/>
                <w:color w:val="auto"/>
              </w:rPr>
              <w:t>(25,623 )</w:t>
            </w:r>
          </w:p>
        </w:tc>
        <w:tc>
          <w:tcPr>
            <w:tcW w:w="300" w:type="dxa"/>
            <w:vAlign w:val="bottom"/>
            <w:shd w:val="clear" w:color="auto" w:fill="DBEEF4"/>
          </w:tcPr>
          <w:p>
            <w:pPr>
              <w:spacing w:after="0"/>
              <w:rPr>
                <w:sz w:val="15"/>
                <w:szCs w:val="15"/>
                <w:color w:val="auto"/>
              </w:rPr>
            </w:pPr>
          </w:p>
        </w:tc>
        <w:tc>
          <w:tcPr>
            <w:tcW w:w="104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161</w:t>
            </w:r>
          </w:p>
        </w:tc>
        <w:tc>
          <w:tcPr>
            <w:tcW w:w="260" w:type="dxa"/>
            <w:vAlign w:val="bottom"/>
            <w:shd w:val="clear" w:color="auto" w:fill="DBEEF4"/>
          </w:tcPr>
          <w:p>
            <w:pPr>
              <w:spacing w:after="0"/>
              <w:rPr>
                <w:sz w:val="15"/>
                <w:szCs w:val="15"/>
                <w:color w:val="auto"/>
              </w:rPr>
            </w:pPr>
          </w:p>
        </w:tc>
      </w:tr>
      <w:tr>
        <w:trPr>
          <w:trHeight w:val="20"/>
        </w:trPr>
        <w:tc>
          <w:tcPr>
            <w:tcW w:w="6000" w:type="dxa"/>
            <w:vAlign w:val="bottom"/>
            <w:shd w:val="clear" w:color="auto" w:fill="DBEEF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DBEEF4"/>
          </w:tcPr>
          <w:p>
            <w:pPr>
              <w:spacing w:after="0" w:line="20" w:lineRule="exact"/>
              <w:rPr>
                <w:sz w:val="1"/>
                <w:szCs w:val="1"/>
                <w:color w:val="auto"/>
              </w:rPr>
            </w:pPr>
          </w:p>
        </w:tc>
        <w:tc>
          <w:tcPr>
            <w:tcW w:w="260" w:type="dxa"/>
            <w:vAlign w:val="bottom"/>
            <w:shd w:val="clear" w:color="auto" w:fill="DBEEF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DBEEF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DBEEF4"/>
          </w:tcPr>
          <w:p>
            <w:pPr>
              <w:spacing w:after="0" w:line="20" w:lineRule="exact"/>
              <w:rPr>
                <w:sz w:val="1"/>
                <w:szCs w:val="1"/>
                <w:color w:val="auto"/>
              </w:rPr>
            </w:pPr>
          </w:p>
        </w:tc>
      </w:tr>
      <w:tr>
        <w:trPr>
          <w:trHeight w:val="169"/>
        </w:trPr>
        <w:tc>
          <w:tcPr>
            <w:tcW w:w="6000" w:type="dxa"/>
            <w:vAlign w:val="bottom"/>
          </w:tcPr>
          <w:p>
            <w:pPr>
              <w:ind w:left="160"/>
              <w:spacing w:after="0"/>
              <w:rPr>
                <w:sz w:val="20"/>
                <w:szCs w:val="20"/>
                <w:color w:val="auto"/>
              </w:rPr>
            </w:pPr>
            <w:r>
              <w:rPr>
                <w:rFonts w:ascii="Arial" w:cs="Arial" w:eastAsia="Arial" w:hAnsi="Arial"/>
                <w:sz w:val="14"/>
                <w:szCs w:val="14"/>
                <w:color w:val="auto"/>
              </w:rPr>
              <w:t>Total net realized gain (loss) on investments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55,808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288"/>
              <w:spacing w:after="0"/>
              <w:rPr>
                <w:sz w:val="20"/>
                <w:szCs w:val="20"/>
                <w:color w:val="auto"/>
              </w:rPr>
            </w:pPr>
            <w:r>
              <w:rPr>
                <w:rFonts w:ascii="Arial" w:cs="Arial" w:eastAsia="Arial" w:hAnsi="Arial"/>
                <w:sz w:val="14"/>
                <w:szCs w:val="14"/>
                <w:color w:val="auto"/>
              </w:rPr>
              <w:t>(968 )</w:t>
            </w:r>
          </w:p>
        </w:tc>
        <w:tc>
          <w:tcPr>
            <w:tcW w:w="3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(1,171 )</w:t>
            </w:r>
          </w:p>
        </w:tc>
      </w:tr>
      <w:tr>
        <w:trPr>
          <w:trHeight w:val="175"/>
        </w:trPr>
        <w:tc>
          <w:tcPr>
            <w:tcW w:w="6000" w:type="dxa"/>
            <w:vAlign w:val="bottom"/>
            <w:shd w:val="clear" w:color="auto" w:fill="DBEEF4"/>
          </w:tcPr>
          <w:p>
            <w:pPr>
              <w:ind w:left="160"/>
              <w:spacing w:after="0"/>
              <w:rPr>
                <w:sz w:val="20"/>
                <w:szCs w:val="20"/>
                <w:color w:val="auto"/>
              </w:rPr>
            </w:pPr>
            <w:r>
              <w:rPr>
                <w:rFonts w:ascii="Arial" w:cs="Arial" w:eastAsia="Arial" w:hAnsi="Arial"/>
                <w:sz w:val="14"/>
                <w:szCs w:val="14"/>
                <w:color w:val="auto"/>
              </w:rPr>
              <w:t>Income tax (provision) benefit from realized gains on investments</w:t>
            </w:r>
          </w:p>
        </w:tc>
        <w:tc>
          <w:tcPr>
            <w:tcW w:w="320" w:type="dxa"/>
            <w:vAlign w:val="bottom"/>
            <w:shd w:val="clear" w:color="auto" w:fill="DBEEF4"/>
          </w:tcPr>
          <w:p>
            <w:pPr>
              <w:spacing w:after="0"/>
              <w:rPr>
                <w:sz w:val="15"/>
                <w:szCs w:val="15"/>
                <w:color w:val="auto"/>
              </w:rPr>
            </w:pPr>
          </w:p>
        </w:tc>
        <w:tc>
          <w:tcPr>
            <w:tcW w:w="1240" w:type="dxa"/>
            <w:vAlign w:val="bottom"/>
            <w:gridSpan w:val="2"/>
            <w:shd w:val="clear" w:color="auto" w:fill="DBEEF4"/>
          </w:tcPr>
          <w:p>
            <w:pPr>
              <w:jc w:val="right"/>
              <w:ind w:right="100"/>
              <w:spacing w:after="0"/>
              <w:rPr>
                <w:sz w:val="20"/>
                <w:szCs w:val="20"/>
                <w:color w:val="auto"/>
              </w:rPr>
            </w:pPr>
            <w:r>
              <w:rPr>
                <w:rFonts w:ascii="Arial" w:cs="Arial" w:eastAsia="Arial" w:hAnsi="Arial"/>
                <w:sz w:val="14"/>
                <w:szCs w:val="14"/>
                <w:color w:val="auto"/>
              </w:rPr>
              <w:t>(2,057 )</w:t>
            </w: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500" w:type="dxa"/>
            <w:vAlign w:val="bottom"/>
            <w:gridSpan w:val="2"/>
            <w:shd w:val="clear" w:color="auto" w:fill="DBEEF4"/>
          </w:tcPr>
          <w:p>
            <w:pPr>
              <w:jc w:val="right"/>
              <w:ind w:right="288"/>
              <w:spacing w:after="0"/>
              <w:rPr>
                <w:sz w:val="20"/>
                <w:szCs w:val="20"/>
                <w:color w:val="auto"/>
              </w:rPr>
            </w:pPr>
            <w:r>
              <w:rPr>
                <w:rFonts w:ascii="Arial" w:cs="Arial" w:eastAsia="Arial" w:hAnsi="Arial"/>
                <w:sz w:val="14"/>
                <w:szCs w:val="14"/>
                <w:color w:val="auto"/>
              </w:rPr>
              <w:t>(577 )</w:t>
            </w:r>
          </w:p>
        </w:tc>
        <w:tc>
          <w:tcPr>
            <w:tcW w:w="300" w:type="dxa"/>
            <w:vAlign w:val="bottom"/>
            <w:shd w:val="clear" w:color="auto" w:fill="DBEEF4"/>
          </w:tcPr>
          <w:p>
            <w:pPr>
              <w:spacing w:after="0"/>
              <w:rPr>
                <w:sz w:val="15"/>
                <w:szCs w:val="15"/>
                <w:color w:val="auto"/>
              </w:rPr>
            </w:pPr>
          </w:p>
        </w:tc>
        <w:tc>
          <w:tcPr>
            <w:tcW w:w="1300" w:type="dxa"/>
            <w:vAlign w:val="bottom"/>
            <w:gridSpan w:val="2"/>
            <w:shd w:val="clear" w:color="auto" w:fill="DBEEF4"/>
          </w:tcPr>
          <w:p>
            <w:pPr>
              <w:jc w:val="right"/>
              <w:ind w:right="200"/>
              <w:spacing w:after="0"/>
              <w:rPr>
                <w:sz w:val="20"/>
                <w:szCs w:val="20"/>
                <w:color w:val="auto"/>
              </w:rPr>
            </w:pPr>
            <w:r>
              <w:rPr>
                <w:rFonts w:ascii="Arial" w:cs="Arial" w:eastAsia="Arial" w:hAnsi="Arial"/>
                <w:sz w:val="14"/>
                <w:szCs w:val="14"/>
                <w:color w:val="auto"/>
              </w:rPr>
              <w:t>(121 )</w:t>
            </w:r>
          </w:p>
        </w:tc>
      </w:tr>
      <w:tr>
        <w:trPr>
          <w:trHeight w:val="175"/>
        </w:trPr>
        <w:tc>
          <w:tcPr>
            <w:tcW w:w="6000" w:type="dxa"/>
            <w:vAlign w:val="bottom"/>
          </w:tcPr>
          <w:p>
            <w:pPr>
              <w:ind w:left="160"/>
              <w:spacing w:after="0"/>
              <w:rPr>
                <w:sz w:val="20"/>
                <w:szCs w:val="20"/>
                <w:color w:val="auto"/>
              </w:rPr>
            </w:pPr>
            <w:r>
              <w:rPr>
                <w:rFonts w:ascii="Arial" w:cs="Arial" w:eastAsia="Arial" w:hAnsi="Arial"/>
                <w:sz w:val="14"/>
                <w:szCs w:val="14"/>
                <w:color w:val="auto"/>
              </w:rPr>
              <w:t>Net change in unrealized appreciation (depreciation):</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6000" w:type="dxa"/>
            <w:vAlign w:val="bottom"/>
            <w:shd w:val="clear" w:color="auto" w:fill="DBEEF4"/>
          </w:tcPr>
          <w:p>
            <w:pPr>
              <w:ind w:left="300"/>
              <w:spacing w:after="0"/>
              <w:rPr>
                <w:sz w:val="20"/>
                <w:szCs w:val="20"/>
                <w:color w:val="auto"/>
              </w:rPr>
            </w:pPr>
            <w:r>
              <w:rPr>
                <w:rFonts w:ascii="Arial" w:cs="Arial" w:eastAsia="Arial" w:hAnsi="Arial"/>
                <w:sz w:val="14"/>
                <w:szCs w:val="14"/>
                <w:color w:val="auto"/>
              </w:rPr>
              <w:t>Control investments</w:t>
            </w: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34</w:t>
            </w:r>
          </w:p>
        </w:tc>
        <w:tc>
          <w:tcPr>
            <w:tcW w:w="160" w:type="dxa"/>
            <w:vAlign w:val="bottom"/>
            <w:shd w:val="clear" w:color="auto" w:fill="DBEEF4"/>
          </w:tcPr>
          <w:p>
            <w:pPr>
              <w:spacing w:after="0"/>
              <w:rPr>
                <w:sz w:val="15"/>
                <w:szCs w:val="15"/>
                <w:color w:val="auto"/>
              </w:rPr>
            </w:pPr>
          </w:p>
        </w:tc>
        <w:tc>
          <w:tcPr>
            <w:tcW w:w="26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1080" w:type="dxa"/>
            <w:vAlign w:val="bottom"/>
            <w:shd w:val="clear" w:color="auto" w:fill="DBEEF4"/>
          </w:tcPr>
          <w:p>
            <w:pPr>
              <w:jc w:val="right"/>
              <w:spacing w:after="0"/>
              <w:rPr>
                <w:sz w:val="20"/>
                <w:szCs w:val="20"/>
                <w:color w:val="auto"/>
              </w:rPr>
            </w:pPr>
            <w:r>
              <w:rPr>
                <w:rFonts w:ascii="Arial" w:cs="Arial" w:eastAsia="Arial" w:hAnsi="Arial"/>
                <w:sz w:val="14"/>
                <w:szCs w:val="14"/>
                <w:color w:val="auto"/>
              </w:rPr>
              <w:t>1,182</w:t>
            </w:r>
          </w:p>
        </w:tc>
        <w:tc>
          <w:tcPr>
            <w:tcW w:w="42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300" w:type="dxa"/>
            <w:vAlign w:val="bottom"/>
            <w:gridSpan w:val="2"/>
            <w:shd w:val="clear" w:color="auto" w:fill="DBEEF4"/>
          </w:tcPr>
          <w:p>
            <w:pPr>
              <w:jc w:val="right"/>
              <w:ind w:right="200"/>
              <w:spacing w:after="0"/>
              <w:rPr>
                <w:sz w:val="20"/>
                <w:szCs w:val="20"/>
                <w:color w:val="auto"/>
              </w:rPr>
            </w:pPr>
            <w:r>
              <w:rPr>
                <w:rFonts w:ascii="Arial" w:cs="Arial" w:eastAsia="Arial" w:hAnsi="Arial"/>
                <w:sz w:val="14"/>
                <w:szCs w:val="14"/>
                <w:color w:val="auto"/>
              </w:rPr>
              <w:t>(2,021 )</w:t>
            </w:r>
          </w:p>
        </w:tc>
      </w:tr>
      <w:tr>
        <w:trPr>
          <w:trHeight w:val="175"/>
        </w:trPr>
        <w:tc>
          <w:tcPr>
            <w:tcW w:w="6000" w:type="dxa"/>
            <w:vAlign w:val="bottom"/>
          </w:tcPr>
          <w:p>
            <w:pPr>
              <w:ind w:left="300"/>
              <w:spacing w:after="0"/>
              <w:rPr>
                <w:sz w:val="20"/>
                <w:szCs w:val="20"/>
                <w:color w:val="auto"/>
              </w:rPr>
            </w:pPr>
            <w:r>
              <w:rPr>
                <w:rFonts w:ascii="Arial" w:cs="Arial" w:eastAsia="Arial" w:hAnsi="Arial"/>
                <w:sz w:val="14"/>
                <w:szCs w:val="14"/>
                <w:color w:val="auto"/>
              </w:rPr>
              <w:t>Affiliate investments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32,207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288"/>
              <w:spacing w:after="0"/>
              <w:rPr>
                <w:sz w:val="20"/>
                <w:szCs w:val="20"/>
                <w:color w:val="auto"/>
              </w:rPr>
            </w:pPr>
            <w:r>
              <w:rPr>
                <w:rFonts w:ascii="Arial" w:cs="Arial" w:eastAsia="Arial" w:hAnsi="Arial"/>
                <w:sz w:val="14"/>
                <w:szCs w:val="14"/>
                <w:color w:val="auto"/>
              </w:rPr>
              <w:t>(15,669 )</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13,100</w:t>
            </w:r>
          </w:p>
        </w:tc>
        <w:tc>
          <w:tcPr>
            <w:tcW w:w="260" w:type="dxa"/>
            <w:vAlign w:val="bottom"/>
          </w:tcPr>
          <w:p>
            <w:pPr>
              <w:spacing w:after="0"/>
              <w:rPr>
                <w:sz w:val="15"/>
                <w:szCs w:val="15"/>
                <w:color w:val="auto"/>
              </w:rPr>
            </w:pPr>
          </w:p>
        </w:tc>
      </w:tr>
      <w:tr>
        <w:trPr>
          <w:trHeight w:val="175"/>
        </w:trPr>
        <w:tc>
          <w:tcPr>
            <w:tcW w:w="6000" w:type="dxa"/>
            <w:vAlign w:val="bottom"/>
            <w:tcBorders>
              <w:bottom w:val="single" w:sz="8" w:color="DBEEF4"/>
            </w:tcBorders>
            <w:shd w:val="clear" w:color="auto" w:fill="DBEEF4"/>
          </w:tcPr>
          <w:p>
            <w:pPr>
              <w:ind w:left="300"/>
              <w:spacing w:after="0"/>
              <w:rPr>
                <w:sz w:val="20"/>
                <w:szCs w:val="20"/>
                <w:color w:val="auto"/>
              </w:rPr>
            </w:pPr>
            <w:r>
              <w:rPr>
                <w:rFonts w:ascii="Arial" w:cs="Arial" w:eastAsia="Arial" w:hAnsi="Arial"/>
                <w:sz w:val="14"/>
                <w:szCs w:val="14"/>
                <w:color w:val="auto"/>
              </w:rPr>
              <w:t>Non-control/non-affiliate investments</w:t>
            </w:r>
          </w:p>
        </w:tc>
        <w:tc>
          <w:tcPr>
            <w:tcW w:w="320" w:type="dxa"/>
            <w:vAlign w:val="bottom"/>
            <w:tcBorders>
              <w:bottom w:val="single" w:sz="8" w:color="auto"/>
            </w:tcBorders>
            <w:shd w:val="clear" w:color="auto" w:fill="DBEEF4"/>
          </w:tcPr>
          <w:p>
            <w:pPr>
              <w:spacing w:after="0"/>
              <w:rPr>
                <w:sz w:val="15"/>
                <w:szCs w:val="15"/>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9,255</w:t>
            </w:r>
          </w:p>
        </w:tc>
        <w:tc>
          <w:tcPr>
            <w:tcW w:w="160" w:type="dxa"/>
            <w:vAlign w:val="bottom"/>
            <w:tcBorders>
              <w:bottom w:val="single" w:sz="8" w:color="DBEEF4"/>
            </w:tcBorders>
            <w:shd w:val="clear" w:color="auto" w:fill="DBEEF4"/>
          </w:tcPr>
          <w:p>
            <w:pPr>
              <w:spacing w:after="0"/>
              <w:rPr>
                <w:sz w:val="15"/>
                <w:szCs w:val="15"/>
                <w:color w:val="auto"/>
              </w:rPr>
            </w:pPr>
          </w:p>
        </w:tc>
        <w:tc>
          <w:tcPr>
            <w:tcW w:w="260" w:type="dxa"/>
            <w:vAlign w:val="bottom"/>
            <w:tcBorders>
              <w:bottom w:val="single" w:sz="8" w:color="DBEEF4"/>
            </w:tcBorders>
            <w:shd w:val="clear" w:color="auto" w:fill="DBEEF4"/>
          </w:tcPr>
          <w:p>
            <w:pPr>
              <w:spacing w:after="0"/>
              <w:rPr>
                <w:sz w:val="15"/>
                <w:szCs w:val="15"/>
                <w:color w:val="auto"/>
              </w:rPr>
            </w:pPr>
          </w:p>
        </w:tc>
        <w:tc>
          <w:tcPr>
            <w:tcW w:w="320" w:type="dxa"/>
            <w:vAlign w:val="bottom"/>
            <w:tcBorders>
              <w:bottom w:val="single" w:sz="8" w:color="auto"/>
            </w:tcBorders>
            <w:shd w:val="clear" w:color="auto" w:fill="DBEEF4"/>
          </w:tcPr>
          <w:p>
            <w:pPr>
              <w:spacing w:after="0"/>
              <w:rPr>
                <w:sz w:val="15"/>
                <w:szCs w:val="15"/>
                <w:color w:val="auto"/>
              </w:rPr>
            </w:pP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7,909</w:t>
            </w:r>
          </w:p>
        </w:tc>
        <w:tc>
          <w:tcPr>
            <w:tcW w:w="42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10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7,109</w:t>
            </w:r>
          </w:p>
        </w:tc>
        <w:tc>
          <w:tcPr>
            <w:tcW w:w="260" w:type="dxa"/>
            <w:vAlign w:val="bottom"/>
            <w:tcBorders>
              <w:bottom w:val="single" w:sz="8" w:color="DBEEF4"/>
            </w:tcBorders>
            <w:shd w:val="clear" w:color="auto" w:fill="DBEEF4"/>
          </w:tcPr>
          <w:p>
            <w:pPr>
              <w:spacing w:after="0"/>
              <w:rPr>
                <w:sz w:val="15"/>
                <w:szCs w:val="15"/>
                <w:color w:val="auto"/>
              </w:rPr>
            </w:pPr>
          </w:p>
        </w:tc>
      </w:tr>
      <w:tr>
        <w:trPr>
          <w:trHeight w:val="169"/>
        </w:trPr>
        <w:tc>
          <w:tcPr>
            <w:tcW w:w="6000" w:type="dxa"/>
            <w:vAlign w:val="bottom"/>
          </w:tcPr>
          <w:p>
            <w:pPr>
              <w:ind w:left="160"/>
              <w:spacing w:after="0"/>
              <w:rPr>
                <w:sz w:val="20"/>
                <w:szCs w:val="20"/>
                <w:color w:val="auto"/>
              </w:rPr>
            </w:pPr>
            <w:r>
              <w:rPr>
                <w:rFonts w:ascii="Arial" w:cs="Arial" w:eastAsia="Arial" w:hAnsi="Arial"/>
                <w:sz w:val="14"/>
                <w:szCs w:val="14"/>
                <w:color w:val="auto"/>
              </w:rPr>
              <w:t>Total net change in unrealized appreciation (depreciation) on investments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41,496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288"/>
              <w:spacing w:after="0"/>
              <w:rPr>
                <w:sz w:val="20"/>
                <w:szCs w:val="20"/>
                <w:color w:val="auto"/>
              </w:rPr>
            </w:pPr>
            <w:r>
              <w:rPr>
                <w:rFonts w:ascii="Arial" w:cs="Arial" w:eastAsia="Arial" w:hAnsi="Arial"/>
                <w:sz w:val="14"/>
                <w:szCs w:val="14"/>
                <w:color w:val="auto"/>
              </w:rPr>
              <w:t>(6,578 )</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18,188</w:t>
            </w:r>
          </w:p>
        </w:tc>
        <w:tc>
          <w:tcPr>
            <w:tcW w:w="260" w:type="dxa"/>
            <w:vAlign w:val="bottom"/>
          </w:tcPr>
          <w:p>
            <w:pPr>
              <w:spacing w:after="0"/>
              <w:rPr>
                <w:sz w:val="14"/>
                <w:szCs w:val="14"/>
                <w:color w:val="auto"/>
              </w:rPr>
            </w:pPr>
          </w:p>
        </w:tc>
      </w:tr>
      <w:tr>
        <w:trPr>
          <w:trHeight w:val="169"/>
        </w:trPr>
        <w:tc>
          <w:tcPr>
            <w:tcW w:w="6000" w:type="dxa"/>
            <w:vAlign w:val="bottom"/>
            <w:shd w:val="clear" w:color="auto" w:fill="DBEEF4"/>
          </w:tcPr>
          <w:p>
            <w:pPr>
              <w:ind w:left="20"/>
              <w:spacing w:after="0"/>
              <w:rPr>
                <w:sz w:val="20"/>
                <w:szCs w:val="20"/>
                <w:color w:val="auto"/>
              </w:rPr>
            </w:pPr>
            <w:r>
              <w:rPr>
                <w:rFonts w:ascii="Arial" w:cs="Arial" w:eastAsia="Arial" w:hAnsi="Arial"/>
                <w:sz w:val="14"/>
                <w:szCs w:val="14"/>
                <w:b w:val="1"/>
                <w:bCs w:val="1"/>
                <w:color w:val="auto"/>
              </w:rPr>
              <w:t>Net gain (loss) on investments</w:t>
            </w:r>
          </w:p>
        </w:tc>
        <w:tc>
          <w:tcPr>
            <w:tcW w:w="320" w:type="dxa"/>
            <w:vAlign w:val="bottom"/>
            <w:tcBorders>
              <w:top w:val="single" w:sz="8" w:color="auto"/>
            </w:tcBorders>
            <w:shd w:val="clear" w:color="auto" w:fill="DBEEF4"/>
          </w:tcPr>
          <w:p>
            <w:pPr>
              <w:spacing w:after="0"/>
              <w:rPr>
                <w:sz w:val="14"/>
                <w:szCs w:val="14"/>
                <w:color w:val="auto"/>
              </w:rPr>
            </w:pPr>
          </w:p>
        </w:tc>
        <w:tc>
          <w:tcPr>
            <w:tcW w:w="1080" w:type="dxa"/>
            <w:vAlign w:val="bottom"/>
            <w:tcBorders>
              <w:top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95,247</w:t>
            </w:r>
          </w:p>
        </w:tc>
        <w:tc>
          <w:tcPr>
            <w:tcW w:w="160" w:type="dxa"/>
            <w:vAlign w:val="bottom"/>
            <w:shd w:val="clear" w:color="auto" w:fill="DBEEF4"/>
          </w:tcPr>
          <w:p>
            <w:pPr>
              <w:spacing w:after="0"/>
              <w:rPr>
                <w:sz w:val="14"/>
                <w:szCs w:val="14"/>
                <w:color w:val="auto"/>
              </w:rPr>
            </w:pPr>
          </w:p>
        </w:tc>
        <w:tc>
          <w:tcPr>
            <w:tcW w:w="260" w:type="dxa"/>
            <w:vAlign w:val="bottom"/>
            <w:shd w:val="clear" w:color="auto" w:fill="DBEEF4"/>
          </w:tcPr>
          <w:p>
            <w:pPr>
              <w:spacing w:after="0"/>
              <w:rPr>
                <w:sz w:val="14"/>
                <w:szCs w:val="14"/>
                <w:color w:val="auto"/>
              </w:rPr>
            </w:pPr>
          </w:p>
        </w:tc>
        <w:tc>
          <w:tcPr>
            <w:tcW w:w="320" w:type="dxa"/>
            <w:vAlign w:val="bottom"/>
            <w:tcBorders>
              <w:top w:val="single" w:sz="8" w:color="auto"/>
            </w:tcBorders>
            <w:shd w:val="clear" w:color="auto" w:fill="DBEEF4"/>
          </w:tcPr>
          <w:p>
            <w:pPr>
              <w:spacing w:after="0"/>
              <w:rPr>
                <w:sz w:val="14"/>
                <w:szCs w:val="14"/>
                <w:color w:val="auto"/>
              </w:rPr>
            </w:pPr>
          </w:p>
        </w:tc>
        <w:tc>
          <w:tcPr>
            <w:tcW w:w="1080" w:type="dxa"/>
            <w:vAlign w:val="bottom"/>
            <w:tcBorders>
              <w:top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(8,123</w:t>
            </w:r>
          </w:p>
        </w:tc>
        <w:tc>
          <w:tcPr>
            <w:tcW w:w="420" w:type="dxa"/>
            <w:vAlign w:val="bottom"/>
            <w:shd w:val="clear" w:color="auto" w:fill="DBEEF4"/>
          </w:tcPr>
          <w:p>
            <w:pPr>
              <w:jc w:val="right"/>
              <w:ind w:right="28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tcBorders>
            <w:shd w:val="clear" w:color="auto" w:fill="DBEEF4"/>
          </w:tcPr>
          <w:p>
            <w:pPr>
              <w:spacing w:after="0"/>
              <w:rPr>
                <w:sz w:val="14"/>
                <w:szCs w:val="14"/>
                <w:color w:val="auto"/>
              </w:rPr>
            </w:pPr>
          </w:p>
        </w:tc>
        <w:tc>
          <w:tcPr>
            <w:tcW w:w="1040" w:type="dxa"/>
            <w:vAlign w:val="bottom"/>
            <w:tcBorders>
              <w:top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16,896</w:t>
            </w:r>
          </w:p>
        </w:tc>
        <w:tc>
          <w:tcPr>
            <w:tcW w:w="260" w:type="dxa"/>
            <w:vAlign w:val="bottom"/>
            <w:shd w:val="clear" w:color="auto" w:fill="DBEEF4"/>
          </w:tcPr>
          <w:p>
            <w:pPr>
              <w:spacing w:after="0"/>
              <w:rPr>
                <w:sz w:val="14"/>
                <w:szCs w:val="14"/>
                <w:color w:val="auto"/>
              </w:rPr>
            </w:pPr>
          </w:p>
        </w:tc>
      </w:tr>
      <w:tr>
        <w:trPr>
          <w:trHeight w:val="175"/>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Realized losses on extinguishment of debt</w:t>
            </w:r>
          </w:p>
        </w:tc>
        <w:tc>
          <w:tcPr>
            <w:tcW w:w="3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(4,263 )</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288"/>
              <w:spacing w:after="0"/>
              <w:rPr>
                <w:sz w:val="20"/>
                <w:szCs w:val="20"/>
                <w:color w:val="auto"/>
              </w:rPr>
            </w:pPr>
            <w:r>
              <w:rPr>
                <w:rFonts w:ascii="Arial" w:cs="Arial" w:eastAsia="Arial" w:hAnsi="Arial"/>
                <w:sz w:val="14"/>
                <w:szCs w:val="14"/>
                <w:color w:val="auto"/>
              </w:rPr>
              <w:t>(299 )</w:t>
            </w: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(399 )</w:t>
            </w:r>
          </w:p>
        </w:tc>
      </w:tr>
      <w:tr>
        <w:trPr>
          <w:trHeight w:val="209"/>
        </w:trPr>
        <w:tc>
          <w:tcPr>
            <w:tcW w:w="6000" w:type="dxa"/>
            <w:vAlign w:val="bottom"/>
            <w:tcBorders>
              <w:bottom w:val="single" w:sz="8" w:color="DBEEF4"/>
            </w:tcBorders>
            <w:shd w:val="clear" w:color="auto" w:fill="DBEEF4"/>
          </w:tcPr>
          <w:p>
            <w:pPr>
              <w:ind w:left="20"/>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320" w:type="dxa"/>
            <w:vAlign w:val="bottom"/>
            <w:tcBorders>
              <w:top w:val="single" w:sz="8" w:color="auto"/>
              <w:bottom w:val="single" w:sz="8" w:color="auto"/>
            </w:tcBorders>
            <w:shd w:val="clear" w:color="auto" w:fill="DBEEF4"/>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116,104</w:t>
            </w:r>
          </w:p>
        </w:tc>
        <w:tc>
          <w:tcPr>
            <w:tcW w:w="160" w:type="dxa"/>
            <w:vAlign w:val="bottom"/>
            <w:tcBorders>
              <w:bottom w:val="single" w:sz="8" w:color="DBEEF4"/>
            </w:tcBorders>
            <w:shd w:val="clear" w:color="auto" w:fill="DBEEF4"/>
          </w:tcPr>
          <w:p>
            <w:pPr>
              <w:spacing w:after="0"/>
              <w:rPr>
                <w:sz w:val="18"/>
                <w:szCs w:val="18"/>
                <w:color w:val="auto"/>
              </w:rPr>
            </w:pPr>
          </w:p>
        </w:tc>
        <w:tc>
          <w:tcPr>
            <w:tcW w:w="260" w:type="dxa"/>
            <w:vAlign w:val="bottom"/>
            <w:tcBorders>
              <w:bottom w:val="single" w:sz="8" w:color="DBEEF4"/>
            </w:tcBorders>
            <w:shd w:val="clear" w:color="auto" w:fill="DBEEF4"/>
          </w:tcPr>
          <w:p>
            <w:pPr>
              <w:spacing w:after="0"/>
              <w:rPr>
                <w:sz w:val="18"/>
                <w:szCs w:val="18"/>
                <w:color w:val="auto"/>
              </w:rPr>
            </w:pPr>
          </w:p>
        </w:tc>
        <w:tc>
          <w:tcPr>
            <w:tcW w:w="320" w:type="dxa"/>
            <w:vAlign w:val="bottom"/>
            <w:tcBorders>
              <w:top w:val="single" w:sz="8" w:color="auto"/>
              <w:bottom w:val="single" w:sz="8" w:color="auto"/>
            </w:tcBorders>
            <w:shd w:val="clear" w:color="auto" w:fill="DBEEF4"/>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31,226</w:t>
            </w:r>
          </w:p>
        </w:tc>
        <w:tc>
          <w:tcPr>
            <w:tcW w:w="420" w:type="dxa"/>
            <w:vAlign w:val="bottom"/>
            <w:tcBorders>
              <w:bottom w:val="single" w:sz="8" w:color="DBEEF4"/>
            </w:tcBorders>
            <w:shd w:val="clear" w:color="auto" w:fill="DBEEF4"/>
          </w:tcPr>
          <w:p>
            <w:pPr>
              <w:spacing w:after="0"/>
              <w:rPr>
                <w:sz w:val="18"/>
                <w:szCs w:val="18"/>
                <w:color w:val="auto"/>
              </w:rPr>
            </w:pPr>
          </w:p>
        </w:tc>
        <w:tc>
          <w:tcPr>
            <w:tcW w:w="300" w:type="dxa"/>
            <w:vAlign w:val="bottom"/>
            <w:tcBorders>
              <w:top w:val="single" w:sz="8" w:color="auto"/>
              <w:bottom w:val="single" w:sz="8" w:color="auto"/>
            </w:tcBorders>
            <w:shd w:val="clear" w:color="auto" w:fill="DBEEF4"/>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48,466</w:t>
            </w:r>
          </w:p>
        </w:tc>
        <w:tc>
          <w:tcPr>
            <w:tcW w:w="260" w:type="dxa"/>
            <w:vAlign w:val="bottom"/>
            <w:tcBorders>
              <w:bottom w:val="single" w:sz="8" w:color="DBEEF4"/>
            </w:tcBorders>
            <w:shd w:val="clear" w:color="auto" w:fill="DBEEF4"/>
          </w:tcPr>
          <w:p>
            <w:pPr>
              <w:spacing w:after="0"/>
              <w:rPr>
                <w:sz w:val="18"/>
                <w:szCs w:val="18"/>
                <w:color w:val="auto"/>
              </w:rPr>
            </w:pPr>
          </w:p>
        </w:tc>
      </w:tr>
      <w:tr>
        <w:trPr>
          <w:trHeight w:val="156"/>
        </w:trPr>
        <w:tc>
          <w:tcPr>
            <w:tcW w:w="60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Per common share data:</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5"/>
        </w:trPr>
        <w:tc>
          <w:tcPr>
            <w:tcW w:w="6000" w:type="dxa"/>
            <w:vAlign w:val="bottom"/>
            <w:tcBorders>
              <w:bottom w:val="single" w:sz="8" w:color="DBEEF4"/>
            </w:tcBorders>
            <w:shd w:val="clear" w:color="auto" w:fill="DBEEF4"/>
          </w:tcPr>
          <w:p>
            <w:pPr>
              <w:ind w:left="20"/>
              <w:spacing w:after="0"/>
              <w:rPr>
                <w:sz w:val="20"/>
                <w:szCs w:val="20"/>
                <w:color w:val="auto"/>
              </w:rPr>
            </w:pPr>
            <w:r>
              <w:rPr>
                <w:rFonts w:ascii="Arial" w:cs="Arial" w:eastAsia="Arial" w:hAnsi="Arial"/>
                <w:sz w:val="14"/>
                <w:szCs w:val="14"/>
                <w:color w:val="auto"/>
              </w:rPr>
              <w:t>Net investment income per share-basic and diluted</w:t>
            </w:r>
          </w:p>
        </w:tc>
        <w:tc>
          <w:tcPr>
            <w:tcW w:w="320" w:type="dxa"/>
            <w:vAlign w:val="bottom"/>
            <w:tcBorders>
              <w:bottom w:val="single" w:sz="8" w:color="auto"/>
            </w:tcBorders>
            <w:shd w:val="clear" w:color="auto" w:fill="DBEEF4"/>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Borders>
              <w:bottom w:val="single" w:sz="8" w:color="DBEEF4"/>
            </w:tcBorders>
            <w:shd w:val="clear" w:color="auto" w:fill="DBEEF4"/>
          </w:tcPr>
          <w:p>
            <w:pPr>
              <w:spacing w:after="0"/>
              <w:rPr>
                <w:sz w:val="18"/>
                <w:szCs w:val="18"/>
                <w:color w:val="auto"/>
              </w:rPr>
            </w:pPr>
          </w:p>
        </w:tc>
        <w:tc>
          <w:tcPr>
            <w:tcW w:w="260" w:type="dxa"/>
            <w:vAlign w:val="bottom"/>
            <w:tcBorders>
              <w:bottom w:val="single" w:sz="8" w:color="DBEEF4"/>
            </w:tcBorders>
            <w:shd w:val="clear" w:color="auto" w:fill="DBEEF4"/>
          </w:tcPr>
          <w:p>
            <w:pPr>
              <w:spacing w:after="0"/>
              <w:rPr>
                <w:sz w:val="18"/>
                <w:szCs w:val="18"/>
                <w:color w:val="auto"/>
              </w:rPr>
            </w:pPr>
          </w:p>
        </w:tc>
        <w:tc>
          <w:tcPr>
            <w:tcW w:w="320" w:type="dxa"/>
            <w:vAlign w:val="bottom"/>
            <w:tcBorders>
              <w:bottom w:val="single" w:sz="8" w:color="auto"/>
            </w:tcBorders>
            <w:shd w:val="clear" w:color="auto" w:fill="DBEEF4"/>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1.62</w:t>
            </w:r>
          </w:p>
        </w:tc>
        <w:tc>
          <w:tcPr>
            <w:tcW w:w="420" w:type="dxa"/>
            <w:vAlign w:val="bottom"/>
            <w:tcBorders>
              <w:bottom w:val="single" w:sz="8" w:color="DBEEF4"/>
            </w:tcBorders>
            <w:shd w:val="clear" w:color="auto" w:fill="DBEEF4"/>
          </w:tcPr>
          <w:p>
            <w:pPr>
              <w:spacing w:after="0"/>
              <w:rPr>
                <w:sz w:val="18"/>
                <w:szCs w:val="18"/>
                <w:color w:val="auto"/>
              </w:rPr>
            </w:pPr>
          </w:p>
        </w:tc>
        <w:tc>
          <w:tcPr>
            <w:tcW w:w="300" w:type="dxa"/>
            <w:vAlign w:val="bottom"/>
            <w:tcBorders>
              <w:bottom w:val="single" w:sz="8" w:color="auto"/>
            </w:tcBorders>
            <w:shd w:val="clear" w:color="auto" w:fill="DBEEF4"/>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14"/>
                <w:szCs w:val="14"/>
                <w:color w:val="auto"/>
              </w:rPr>
              <w:t>1.31</w:t>
            </w:r>
          </w:p>
        </w:tc>
        <w:tc>
          <w:tcPr>
            <w:tcW w:w="260" w:type="dxa"/>
            <w:vAlign w:val="bottom"/>
            <w:tcBorders>
              <w:bottom w:val="single" w:sz="8" w:color="DBEEF4"/>
            </w:tcBorders>
            <w:shd w:val="clear" w:color="auto" w:fill="DBEEF4"/>
          </w:tcPr>
          <w:p>
            <w:pPr>
              <w:spacing w:after="0"/>
              <w:rPr>
                <w:sz w:val="18"/>
                <w:szCs w:val="18"/>
                <w:color w:val="auto"/>
              </w:rPr>
            </w:pPr>
          </w:p>
        </w:tc>
      </w:tr>
      <w:tr>
        <w:trPr>
          <w:trHeight w:val="156"/>
        </w:trPr>
        <w:tc>
          <w:tcPr>
            <w:tcW w:w="6000" w:type="dxa"/>
            <w:vAlign w:val="bottom"/>
          </w:tcPr>
          <w:p>
            <w:pPr>
              <w:ind w:left="20"/>
              <w:spacing w:after="0" w:line="156" w:lineRule="exact"/>
              <w:rPr>
                <w:sz w:val="20"/>
                <w:szCs w:val="20"/>
                <w:color w:val="auto"/>
              </w:rPr>
            </w:pPr>
            <w:r>
              <w:rPr>
                <w:rFonts w:ascii="Arial" w:cs="Arial" w:eastAsia="Arial" w:hAnsi="Arial"/>
                <w:sz w:val="14"/>
                <w:szCs w:val="14"/>
                <w:color w:val="auto"/>
              </w:rPr>
              <w:t>Net increase in net assets resulting from operations per share — basic and diluted</w:t>
            </w:r>
          </w:p>
        </w:tc>
        <w:tc>
          <w:tcPr>
            <w:tcW w:w="320" w:type="dxa"/>
            <w:vAlign w:val="bottom"/>
            <w:tcBorders>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4.75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1.28</w:t>
            </w:r>
          </w:p>
        </w:tc>
        <w:tc>
          <w:tcPr>
            <w:tcW w:w="42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1.98</w:t>
            </w:r>
          </w:p>
        </w:tc>
        <w:tc>
          <w:tcPr>
            <w:tcW w:w="260" w:type="dxa"/>
            <w:vAlign w:val="bottom"/>
          </w:tcPr>
          <w:p>
            <w:pPr>
              <w:spacing w:after="0"/>
              <w:rPr>
                <w:sz w:val="13"/>
                <w:szCs w:val="13"/>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6000" w:type="dxa"/>
            <w:vAlign w:val="bottom"/>
            <w:tcBorders>
              <w:bottom w:val="single" w:sz="8" w:color="DBEEF4"/>
            </w:tcBorders>
            <w:shd w:val="clear" w:color="auto" w:fill="DBEEF4"/>
          </w:tcPr>
          <w:p>
            <w:pPr>
              <w:ind w:left="20"/>
              <w:spacing w:after="0" w:line="156" w:lineRule="exact"/>
              <w:rPr>
                <w:sz w:val="20"/>
                <w:szCs w:val="20"/>
                <w:color w:val="auto"/>
              </w:rPr>
            </w:pPr>
            <w:r>
              <w:rPr>
                <w:rFonts w:ascii="Arial" w:cs="Arial" w:eastAsia="Arial" w:hAnsi="Arial"/>
                <w:sz w:val="14"/>
                <w:szCs w:val="14"/>
                <w:color w:val="auto"/>
              </w:rPr>
              <w:t>Dividends declared per share</w:t>
            </w:r>
          </w:p>
        </w:tc>
        <w:tc>
          <w:tcPr>
            <w:tcW w:w="320" w:type="dxa"/>
            <w:vAlign w:val="bottom"/>
            <w:tcBorders>
              <w:top w:val="single" w:sz="8" w:color="auto"/>
              <w:bottom w:val="single" w:sz="8" w:color="auto"/>
            </w:tcBorders>
            <w:shd w:val="clear" w:color="auto" w:fill="DBEEF4"/>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DBEEF4"/>
          </w:tcPr>
          <w:p>
            <w:pPr>
              <w:jc w:val="right"/>
              <w:spacing w:after="0" w:line="156" w:lineRule="exact"/>
              <w:rPr>
                <w:sz w:val="20"/>
                <w:szCs w:val="20"/>
                <w:color w:val="auto"/>
              </w:rPr>
            </w:pPr>
            <w:r>
              <w:rPr>
                <w:rFonts w:ascii="Arial" w:cs="Arial" w:eastAsia="Arial" w:hAnsi="Arial"/>
                <w:sz w:val="14"/>
                <w:szCs w:val="14"/>
                <w:color w:val="auto"/>
              </w:rPr>
              <w:t>1.60</w:t>
            </w:r>
          </w:p>
        </w:tc>
        <w:tc>
          <w:tcPr>
            <w:tcW w:w="160" w:type="dxa"/>
            <w:vAlign w:val="bottom"/>
            <w:tcBorders>
              <w:bottom w:val="single" w:sz="8" w:color="DBEEF4"/>
            </w:tcBorders>
            <w:shd w:val="clear" w:color="auto" w:fill="DBEEF4"/>
          </w:tcPr>
          <w:p>
            <w:pPr>
              <w:spacing w:after="0"/>
              <w:rPr>
                <w:sz w:val="17"/>
                <w:szCs w:val="17"/>
                <w:color w:val="auto"/>
              </w:rPr>
            </w:pPr>
          </w:p>
        </w:tc>
        <w:tc>
          <w:tcPr>
            <w:tcW w:w="260" w:type="dxa"/>
            <w:vAlign w:val="bottom"/>
            <w:tcBorders>
              <w:bottom w:val="single" w:sz="8" w:color="DBEEF4"/>
            </w:tcBorders>
            <w:shd w:val="clear" w:color="auto" w:fill="DBEEF4"/>
          </w:tcPr>
          <w:p>
            <w:pPr>
              <w:spacing w:after="0"/>
              <w:rPr>
                <w:sz w:val="17"/>
                <w:szCs w:val="17"/>
                <w:color w:val="auto"/>
              </w:rPr>
            </w:pPr>
          </w:p>
        </w:tc>
        <w:tc>
          <w:tcPr>
            <w:tcW w:w="320" w:type="dxa"/>
            <w:vAlign w:val="bottom"/>
            <w:tcBorders>
              <w:top w:val="single" w:sz="8" w:color="auto"/>
              <w:bottom w:val="single" w:sz="8" w:color="auto"/>
            </w:tcBorders>
            <w:shd w:val="clear" w:color="auto" w:fill="DBEEF4"/>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DBEEF4"/>
          </w:tcPr>
          <w:p>
            <w:pPr>
              <w:jc w:val="right"/>
              <w:spacing w:after="0" w:line="156" w:lineRule="exact"/>
              <w:rPr>
                <w:sz w:val="20"/>
                <w:szCs w:val="20"/>
                <w:color w:val="auto"/>
              </w:rPr>
            </w:pPr>
            <w:r>
              <w:rPr>
                <w:rFonts w:ascii="Arial" w:cs="Arial" w:eastAsia="Arial" w:hAnsi="Arial"/>
                <w:sz w:val="14"/>
                <w:szCs w:val="14"/>
                <w:color w:val="auto"/>
              </w:rPr>
              <w:t>1.33</w:t>
            </w:r>
          </w:p>
        </w:tc>
        <w:tc>
          <w:tcPr>
            <w:tcW w:w="420" w:type="dxa"/>
            <w:vAlign w:val="bottom"/>
            <w:tcBorders>
              <w:bottom w:val="single" w:sz="8" w:color="DBEEF4"/>
            </w:tcBorders>
            <w:shd w:val="clear" w:color="auto" w:fill="DBEEF4"/>
          </w:tcPr>
          <w:p>
            <w:pPr>
              <w:spacing w:after="0"/>
              <w:rPr>
                <w:sz w:val="17"/>
                <w:szCs w:val="17"/>
                <w:color w:val="auto"/>
              </w:rPr>
            </w:pPr>
          </w:p>
        </w:tc>
        <w:tc>
          <w:tcPr>
            <w:tcW w:w="300" w:type="dxa"/>
            <w:vAlign w:val="bottom"/>
            <w:tcBorders>
              <w:top w:val="single" w:sz="8" w:color="auto"/>
              <w:bottom w:val="single" w:sz="8" w:color="auto"/>
            </w:tcBorders>
            <w:shd w:val="clear" w:color="auto" w:fill="DBEEF4"/>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DBEEF4"/>
          </w:tcPr>
          <w:p>
            <w:pPr>
              <w:jc w:val="right"/>
              <w:spacing w:after="0" w:line="156" w:lineRule="exact"/>
              <w:rPr>
                <w:sz w:val="20"/>
                <w:szCs w:val="20"/>
                <w:color w:val="auto"/>
              </w:rPr>
            </w:pPr>
            <w:r>
              <w:rPr>
                <w:rFonts w:ascii="Arial" w:cs="Arial" w:eastAsia="Arial" w:hAnsi="Arial"/>
                <w:sz w:val="14"/>
                <w:szCs w:val="14"/>
                <w:color w:val="auto"/>
              </w:rPr>
              <w:t>1.60</w:t>
            </w:r>
          </w:p>
        </w:tc>
        <w:tc>
          <w:tcPr>
            <w:tcW w:w="260" w:type="dxa"/>
            <w:vAlign w:val="bottom"/>
            <w:tcBorders>
              <w:bottom w:val="single" w:sz="8" w:color="DBEEF4"/>
            </w:tcBorders>
            <w:shd w:val="clear" w:color="auto" w:fill="DBEEF4"/>
          </w:tcPr>
          <w:p>
            <w:pPr>
              <w:spacing w:after="0"/>
              <w:rPr>
                <w:sz w:val="17"/>
                <w:szCs w:val="17"/>
                <w:color w:val="auto"/>
              </w:rPr>
            </w:pPr>
          </w:p>
        </w:tc>
      </w:tr>
      <w:tr>
        <w:trPr>
          <w:trHeight w:val="156"/>
        </w:trPr>
        <w:tc>
          <w:tcPr>
            <w:tcW w:w="6000" w:type="dxa"/>
            <w:vAlign w:val="bottom"/>
          </w:tcPr>
          <w:p>
            <w:pPr>
              <w:ind w:left="20"/>
              <w:spacing w:after="0" w:line="156" w:lineRule="exact"/>
              <w:rPr>
                <w:sz w:val="20"/>
                <w:szCs w:val="20"/>
                <w:color w:val="auto"/>
              </w:rPr>
            </w:pPr>
            <w:r>
              <w:rPr>
                <w:rFonts w:ascii="Arial" w:cs="Arial" w:eastAsia="Arial" w:hAnsi="Arial"/>
                <w:sz w:val="14"/>
                <w:szCs w:val="14"/>
                <w:color w:val="auto"/>
              </w:rPr>
              <w:t>Weighted average number of shares outstanding — basic and diluted</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24,437,400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24,442,431</w:t>
            </w:r>
          </w:p>
        </w:tc>
        <w:tc>
          <w:tcPr>
            <w:tcW w:w="4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24,463,119</w:t>
            </w:r>
          </w:p>
        </w:tc>
        <w:tc>
          <w:tcPr>
            <w:tcW w:w="260" w:type="dxa"/>
            <w:vAlign w:val="bottom"/>
          </w:tcPr>
          <w:p>
            <w:pPr>
              <w:spacing w:after="0"/>
              <w:rPr>
                <w:sz w:val="13"/>
                <w:szCs w:val="13"/>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-5491480</wp:posOffset>
            </wp:positionV>
            <wp:extent cx="51435" cy="1168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-5491480</wp:posOffset>
            </wp:positionV>
            <wp:extent cx="51435" cy="1168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-5491480</wp:posOffset>
            </wp:positionV>
            <wp:extent cx="43180" cy="1168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11684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-4359910</wp:posOffset>
            </wp:positionV>
            <wp:extent cx="51435" cy="1168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-4359910</wp:posOffset>
            </wp:positionV>
            <wp:extent cx="51435" cy="1168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-4359910</wp:posOffset>
            </wp:positionV>
            <wp:extent cx="43180" cy="1168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11684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-4128135</wp:posOffset>
            </wp:positionV>
            <wp:extent cx="51435" cy="1257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-4128135</wp:posOffset>
            </wp:positionV>
            <wp:extent cx="51435" cy="1257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-4128135</wp:posOffset>
            </wp:positionV>
            <wp:extent cx="43180" cy="1257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12573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-2988310</wp:posOffset>
            </wp:positionV>
            <wp:extent cx="51435" cy="1257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-2988310</wp:posOffset>
            </wp:positionV>
            <wp:extent cx="51435" cy="1257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-2988310</wp:posOffset>
            </wp:positionV>
            <wp:extent cx="43180" cy="1257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12573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-2748280</wp:posOffset>
            </wp:positionV>
            <wp:extent cx="51435" cy="1168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-2748280</wp:posOffset>
            </wp:positionV>
            <wp:extent cx="51435" cy="1168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-2748280</wp:posOffset>
            </wp:positionV>
            <wp:extent cx="43180" cy="1168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11684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-2516505</wp:posOffset>
            </wp:positionV>
            <wp:extent cx="51435" cy="1257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-2516505</wp:posOffset>
            </wp:positionV>
            <wp:extent cx="51435" cy="1257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-2516505</wp:posOffset>
            </wp:positionV>
            <wp:extent cx="43180" cy="1257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12573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-1830705</wp:posOffset>
            </wp:positionV>
            <wp:extent cx="51435" cy="1168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-1830705</wp:posOffset>
            </wp:positionV>
            <wp:extent cx="51435" cy="1168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-1830705</wp:posOffset>
            </wp:positionV>
            <wp:extent cx="43180" cy="1168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11684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-1153795</wp:posOffset>
            </wp:positionV>
            <wp:extent cx="51435" cy="1257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-1153795</wp:posOffset>
            </wp:positionV>
            <wp:extent cx="51435" cy="1257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-1153795</wp:posOffset>
            </wp:positionV>
            <wp:extent cx="43180" cy="1257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12573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-685165</wp:posOffset>
            </wp:positionV>
            <wp:extent cx="232283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322830" cy="13716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-436245</wp:posOffset>
            </wp:positionV>
            <wp:extent cx="232283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322830" cy="16256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-161925</wp:posOffset>
            </wp:positionV>
            <wp:extent cx="2322830" cy="162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22830" cy="1625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Net Assets</w:t>
      </w: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1320" w:type="dxa"/>
            <w:vAlign w:val="bottom"/>
            <w:gridSpan w:val="2"/>
          </w:tcPr>
          <w:p>
            <w:pPr>
              <w:jc w:val="right"/>
              <w:ind w:right="520"/>
              <w:spacing w:after="0" w:line="160" w:lineRule="exact"/>
              <w:rPr>
                <w:sz w:val="20"/>
                <w:szCs w:val="20"/>
                <w:color w:val="auto"/>
              </w:rPr>
            </w:pPr>
            <w:r>
              <w:rPr>
                <w:rFonts w:ascii="Arial" w:cs="Arial" w:eastAsia="Arial" w:hAnsi="Arial"/>
                <w:sz w:val="14"/>
                <w:szCs w:val="14"/>
                <w:b w:val="1"/>
                <w:bCs w:val="1"/>
                <w:color w:val="auto"/>
              </w:rPr>
              <w:t>Number of</w:t>
            </w:r>
          </w:p>
        </w:tc>
        <w:tc>
          <w:tcPr>
            <w:tcW w:w="840" w:type="dxa"/>
            <w:vAlign w:val="bottom"/>
          </w:tcPr>
          <w:p>
            <w:pPr>
              <w:jc w:val="right"/>
              <w:ind w:right="48"/>
              <w:spacing w:after="0" w:line="160" w:lineRule="exact"/>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center"/>
              <w:ind w:right="420"/>
              <w:spacing w:after="0" w:line="160"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5"/>
              </w:rPr>
              <w:t>distributable</w:t>
            </w:r>
          </w:p>
        </w:tc>
        <w:tc>
          <w:tcPr>
            <w:tcW w:w="200" w:type="dxa"/>
            <w:vAlign w:val="bottom"/>
          </w:tcPr>
          <w:p>
            <w:pPr>
              <w:spacing w:after="0"/>
              <w:rPr>
                <w:sz w:val="13"/>
                <w:szCs w:val="13"/>
                <w:color w:val="auto"/>
              </w:rPr>
            </w:pPr>
          </w:p>
        </w:tc>
        <w:tc>
          <w:tcPr>
            <w:tcW w:w="106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earnings</w:t>
            </w:r>
          </w:p>
        </w:tc>
        <w:tc>
          <w:tcPr>
            <w:tcW w:w="200" w:type="dxa"/>
            <w:vAlign w:val="bottom"/>
          </w:tcPr>
          <w:p>
            <w:pPr>
              <w:spacing w:after="0"/>
              <w:rPr>
                <w:sz w:val="16"/>
                <w:szCs w:val="16"/>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69"/>
        </w:trPr>
        <w:tc>
          <w:tcPr>
            <w:tcW w:w="4360" w:type="dxa"/>
            <w:vAlign w:val="bottom"/>
          </w:tcPr>
          <w:p>
            <w:pPr>
              <w:ind w:left="120"/>
              <w:spacing w:after="0"/>
              <w:rPr>
                <w:sz w:val="20"/>
                <w:szCs w:val="20"/>
                <w:color w:val="auto"/>
              </w:rPr>
            </w:pPr>
            <w:r>
              <w:rPr>
                <w:rFonts w:ascii="Arial" w:cs="Arial" w:eastAsia="Arial" w:hAnsi="Arial"/>
                <w:sz w:val="14"/>
                <w:szCs w:val="14"/>
                <w:b w:val="1"/>
                <w:bCs w:val="1"/>
                <w:color w:val="auto"/>
              </w:rPr>
              <w:t>Balances at December 31, 2018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24,463,119</w:t>
            </w:r>
          </w:p>
        </w:tc>
        <w:tc>
          <w:tcPr>
            <w:tcW w:w="380" w:type="dxa"/>
            <w:vAlign w:val="bottom"/>
          </w:tcPr>
          <w:p>
            <w:pPr>
              <w:spacing w:after="0"/>
              <w:rPr>
                <w:sz w:val="14"/>
                <w:szCs w:val="14"/>
                <w:color w:val="auto"/>
              </w:rPr>
            </w:pPr>
          </w:p>
        </w:tc>
        <w:tc>
          <w:tcPr>
            <w:tcW w:w="84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380" w:type="dxa"/>
            <w:vAlign w:val="bottom"/>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366,688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36,273</w:t>
            </w:r>
          </w:p>
        </w:tc>
        <w:tc>
          <w:tcPr>
            <w:tcW w:w="240" w:type="dxa"/>
            <w:vAlign w:val="bottom"/>
          </w:tcPr>
          <w:p>
            <w:pPr>
              <w:spacing w:after="0"/>
              <w:rPr>
                <w:sz w:val="14"/>
                <w:szCs w:val="14"/>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402,985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investment income</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31,969</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31,969</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120"/>
              <w:spacing w:after="0"/>
              <w:rPr>
                <w:sz w:val="20"/>
                <w:szCs w:val="20"/>
                <w:color w:val="auto"/>
              </w:rPr>
            </w:pPr>
            <w:r>
              <w:rPr>
                <w:rFonts w:ascii="Arial" w:cs="Arial" w:eastAsia="Arial" w:hAnsi="Arial"/>
                <w:sz w:val="14"/>
                <w:szCs w:val="14"/>
                <w:color w:val="auto"/>
              </w:rPr>
              <w:t>Net realized gain (loss) on investments, net of taxes</w:t>
            </w: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(788 )</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(788 )</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appreciation (depreciation) on investments</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17,684</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tcPr>
          <w:p>
            <w:pPr>
              <w:ind w:left="120"/>
              <w:spacing w:after="0"/>
              <w:rPr>
                <w:sz w:val="20"/>
                <w:szCs w:val="20"/>
                <w:color w:val="auto"/>
              </w:rPr>
            </w:pPr>
            <w:r>
              <w:rPr>
                <w:rFonts w:ascii="Arial" w:cs="Arial" w:eastAsia="Arial" w:hAnsi="Arial"/>
                <w:sz w:val="14"/>
                <w:szCs w:val="14"/>
                <w:color w:val="auto"/>
              </w:rPr>
              <w:t>Realized losses on extinguishment of debt</w:t>
            </w: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(399 )</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(399 )</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declared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(39,141 )</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(39,141 )</w:t>
            </w:r>
          </w:p>
        </w:tc>
        <w:tc>
          <w:tcPr>
            <w:tcW w:w="0" w:type="dxa"/>
            <w:vAlign w:val="bottom"/>
          </w:tcPr>
          <w:p>
            <w:pPr>
              <w:spacing w:after="0"/>
              <w:rPr>
                <w:sz w:val="1"/>
                <w:szCs w:val="1"/>
                <w:color w:val="auto"/>
              </w:rPr>
            </w:pPr>
          </w:p>
        </w:tc>
      </w:tr>
      <w:tr>
        <w:trPr>
          <w:trHeight w:val="143"/>
        </w:trPr>
        <w:tc>
          <w:tcPr>
            <w:tcW w:w="4360" w:type="dxa"/>
            <w:vAlign w:val="bottom"/>
          </w:tcPr>
          <w:p>
            <w:pPr>
              <w:ind w:left="120"/>
              <w:spacing w:after="0" w:line="143" w:lineRule="exact"/>
              <w:rPr>
                <w:sz w:val="20"/>
                <w:szCs w:val="20"/>
                <w:color w:val="auto"/>
              </w:rPr>
            </w:pPr>
            <w:r>
              <w:rPr>
                <w:rFonts w:ascii="Arial" w:cs="Arial" w:eastAsia="Arial" w:hAnsi="Arial"/>
                <w:sz w:val="14"/>
                <w:szCs w:val="14"/>
                <w:color w:val="auto"/>
              </w:rPr>
              <w:t>Tax reclassification of stockholders’ equity in accordance with</w:t>
            </w: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6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(627 )</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627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360" w:type="dxa"/>
            <w:vAlign w:val="bottom"/>
          </w:tcPr>
          <w:p>
            <w:pPr>
              <w:ind w:left="120"/>
              <w:spacing w:after="0"/>
              <w:rPr>
                <w:sz w:val="20"/>
                <w:szCs w:val="20"/>
                <w:color w:val="auto"/>
              </w:rPr>
            </w:pPr>
            <w:r>
              <w:rPr>
                <w:rFonts w:ascii="Arial" w:cs="Arial" w:eastAsia="Arial" w:hAnsi="Arial"/>
                <w:sz w:val="14"/>
                <w:szCs w:val="14"/>
                <w:color w:val="auto"/>
              </w:rPr>
              <w:t>generally accepted accounting principles</w:t>
            </w:r>
          </w:p>
        </w:tc>
        <w:tc>
          <w:tcPr>
            <w:tcW w:w="132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Balances at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24,463,119</w:t>
            </w:r>
          </w:p>
        </w:tc>
        <w:tc>
          <w:tcPr>
            <w:tcW w:w="38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366,061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46,225</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412,310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360" w:type="dxa"/>
            <w:vAlign w:val="bottom"/>
          </w:tcPr>
          <w:p>
            <w:pPr>
              <w:ind w:left="120"/>
              <w:spacing w:after="0" w:line="143" w:lineRule="exact"/>
              <w:rPr>
                <w:sz w:val="20"/>
                <w:szCs w:val="20"/>
                <w:color w:val="auto"/>
              </w:rPr>
            </w:pPr>
            <w:r>
              <w:rPr>
                <w:rFonts w:ascii="Arial" w:cs="Arial" w:eastAsia="Arial" w:hAnsi="Arial"/>
                <w:sz w:val="14"/>
                <w:szCs w:val="14"/>
                <w:color w:val="auto"/>
              </w:rPr>
              <w:t>Repurchases of common stock under Stock Repurchase Program</w:t>
            </w: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 xml:space="preserve">(0 ) </w:t>
            </w:r>
            <w:r>
              <w:rPr>
                <w:rFonts w:ascii="Arial" w:cs="Arial" w:eastAsia="Arial" w:hAnsi="Arial"/>
                <w:sz w:val="19"/>
                <w:szCs w:val="19"/>
                <w:color w:val="auto"/>
                <w:vertAlign w:val="superscript"/>
              </w:rPr>
              <w:t>*</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60" w:type="dxa"/>
            <w:vAlign w:val="bottom"/>
          </w:tcPr>
          <w:p>
            <w:pPr>
              <w:ind w:left="120"/>
              <w:spacing w:after="0"/>
              <w:rPr>
                <w:sz w:val="20"/>
                <w:szCs w:val="20"/>
                <w:color w:val="auto"/>
              </w:rPr>
            </w:pPr>
            <w:r>
              <w:rPr>
                <w:rFonts w:ascii="Arial" w:cs="Arial" w:eastAsia="Arial" w:hAnsi="Arial"/>
                <w:sz w:val="14"/>
                <w:szCs w:val="14"/>
                <w:color w:val="auto"/>
              </w:rPr>
              <w:t>(Note 8)</w:t>
            </w:r>
          </w:p>
        </w:tc>
        <w:tc>
          <w:tcPr>
            <w:tcW w:w="1320" w:type="dxa"/>
            <w:vAlign w:val="bottom"/>
            <w:gridSpan w:val="2"/>
          </w:tcPr>
          <w:p>
            <w:pPr>
              <w:jc w:val="right"/>
              <w:ind w:right="320"/>
              <w:spacing w:after="0"/>
              <w:rPr>
                <w:sz w:val="20"/>
                <w:szCs w:val="20"/>
                <w:color w:val="auto"/>
              </w:rPr>
            </w:pPr>
            <w:r>
              <w:rPr>
                <w:rFonts w:ascii="Arial" w:cs="Arial" w:eastAsia="Arial" w:hAnsi="Arial"/>
                <w:sz w:val="14"/>
                <w:szCs w:val="14"/>
                <w:color w:val="auto"/>
              </w:rPr>
              <w:t>(25,719 )</w:t>
            </w:r>
          </w:p>
        </w:tc>
        <w:tc>
          <w:tcPr>
            <w:tcW w:w="8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(268 )</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(268 )</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investment income</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39,648</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39,648</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120"/>
              <w:spacing w:after="0"/>
              <w:rPr>
                <w:sz w:val="20"/>
                <w:szCs w:val="20"/>
                <w:color w:val="auto"/>
              </w:rPr>
            </w:pPr>
            <w:r>
              <w:rPr>
                <w:rFonts w:ascii="Arial" w:cs="Arial" w:eastAsia="Arial" w:hAnsi="Arial"/>
                <w:sz w:val="14"/>
                <w:szCs w:val="14"/>
                <w:color w:val="auto"/>
              </w:rPr>
              <w:t>Net realized gain (loss) on investments, net of taxes</w:t>
            </w: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(1,545 )</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(1,545 )</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appreciation (depreciation) on investments</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(6,578 )</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(6,578 )</w:t>
            </w:r>
          </w:p>
        </w:tc>
        <w:tc>
          <w:tcPr>
            <w:tcW w:w="0" w:type="dxa"/>
            <w:vAlign w:val="bottom"/>
          </w:tcPr>
          <w:p>
            <w:pPr>
              <w:spacing w:after="0"/>
              <w:rPr>
                <w:sz w:val="1"/>
                <w:szCs w:val="1"/>
                <w:color w:val="auto"/>
              </w:rPr>
            </w:pPr>
          </w:p>
        </w:tc>
      </w:tr>
      <w:tr>
        <w:trPr>
          <w:trHeight w:val="176"/>
        </w:trPr>
        <w:tc>
          <w:tcPr>
            <w:tcW w:w="4360" w:type="dxa"/>
            <w:vAlign w:val="bottom"/>
          </w:tcPr>
          <w:p>
            <w:pPr>
              <w:ind w:left="120"/>
              <w:spacing w:after="0"/>
              <w:rPr>
                <w:sz w:val="20"/>
                <w:szCs w:val="20"/>
                <w:color w:val="auto"/>
              </w:rPr>
            </w:pPr>
            <w:r>
              <w:rPr>
                <w:rFonts w:ascii="Arial" w:cs="Arial" w:eastAsia="Arial" w:hAnsi="Arial"/>
                <w:sz w:val="14"/>
                <w:szCs w:val="14"/>
                <w:color w:val="auto"/>
              </w:rPr>
              <w:t>Realized losses on extinguishment of debt</w:t>
            </w: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(299 )</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(299 )</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declared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(32,508 )</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(32,508 )</w:t>
            </w:r>
          </w:p>
        </w:tc>
        <w:tc>
          <w:tcPr>
            <w:tcW w:w="0" w:type="dxa"/>
            <w:vAlign w:val="bottom"/>
          </w:tcPr>
          <w:p>
            <w:pPr>
              <w:spacing w:after="0"/>
              <w:rPr>
                <w:sz w:val="1"/>
                <w:szCs w:val="1"/>
                <w:color w:val="auto"/>
              </w:rPr>
            </w:pPr>
          </w:p>
        </w:tc>
      </w:tr>
      <w:tr>
        <w:trPr>
          <w:trHeight w:val="143"/>
        </w:trPr>
        <w:tc>
          <w:tcPr>
            <w:tcW w:w="4360" w:type="dxa"/>
            <w:vAlign w:val="bottom"/>
          </w:tcPr>
          <w:p>
            <w:pPr>
              <w:ind w:left="120"/>
              <w:spacing w:after="0" w:line="143" w:lineRule="exact"/>
              <w:rPr>
                <w:sz w:val="20"/>
                <w:szCs w:val="20"/>
                <w:color w:val="auto"/>
              </w:rPr>
            </w:pPr>
            <w:r>
              <w:rPr>
                <w:rFonts w:ascii="Arial" w:cs="Arial" w:eastAsia="Arial" w:hAnsi="Arial"/>
                <w:sz w:val="14"/>
                <w:szCs w:val="14"/>
                <w:color w:val="auto"/>
              </w:rPr>
              <w:t>Tax reclassification of stockholders’ equity in accordance with</w:t>
            </w: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6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(1,811 )</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360" w:type="dxa"/>
            <w:vAlign w:val="bottom"/>
          </w:tcPr>
          <w:p>
            <w:pPr>
              <w:ind w:left="120"/>
              <w:spacing w:after="0"/>
              <w:rPr>
                <w:sz w:val="20"/>
                <w:szCs w:val="20"/>
                <w:color w:val="auto"/>
              </w:rPr>
            </w:pPr>
            <w:r>
              <w:rPr>
                <w:rFonts w:ascii="Arial" w:cs="Arial" w:eastAsia="Arial" w:hAnsi="Arial"/>
                <w:sz w:val="14"/>
                <w:szCs w:val="14"/>
                <w:color w:val="auto"/>
              </w:rPr>
              <w:t>generally accepted accounting principles</w:t>
            </w:r>
          </w:p>
        </w:tc>
        <w:tc>
          <w:tcPr>
            <w:tcW w:w="132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Balances at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24,437,400</w:t>
            </w:r>
          </w:p>
        </w:tc>
        <w:tc>
          <w:tcPr>
            <w:tcW w:w="38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363,982</w:t>
            </w:r>
          </w:p>
        </w:tc>
        <w:tc>
          <w:tcPr>
            <w:tcW w:w="8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46,754</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410,760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120"/>
              <w:spacing w:after="0"/>
              <w:rPr>
                <w:sz w:val="20"/>
                <w:szCs w:val="20"/>
                <w:color w:val="auto"/>
              </w:rPr>
            </w:pPr>
            <w:r>
              <w:rPr>
                <w:rFonts w:ascii="Arial" w:cs="Arial" w:eastAsia="Arial" w:hAnsi="Arial"/>
                <w:sz w:val="14"/>
                <w:szCs w:val="14"/>
                <w:color w:val="auto"/>
              </w:rPr>
              <w:t>Net investment income</w:t>
            </w: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25,120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realized gain (loss) on investments, net of taxes</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53,751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53,751</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120"/>
              <w:spacing w:after="0"/>
              <w:rPr>
                <w:sz w:val="20"/>
                <w:szCs w:val="20"/>
                <w:color w:val="auto"/>
              </w:rPr>
            </w:pPr>
            <w:r>
              <w:rPr>
                <w:rFonts w:ascii="Arial" w:cs="Arial" w:eastAsia="Arial" w:hAnsi="Arial"/>
                <w:sz w:val="14"/>
                <w:szCs w:val="14"/>
                <w:color w:val="auto"/>
              </w:rPr>
              <w:t>Net unrealized appreciation (depreciation) on investments</w:t>
            </w: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41,496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41,496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Realized losses on extinguishment of debt</w:t>
            </w: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(4,263 )</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(4,263 )</w:t>
            </w:r>
          </w:p>
        </w:tc>
        <w:tc>
          <w:tcPr>
            <w:tcW w:w="0" w:type="dxa"/>
            <w:vAlign w:val="bottom"/>
          </w:tcPr>
          <w:p>
            <w:pPr>
              <w:spacing w:after="0"/>
              <w:rPr>
                <w:sz w:val="1"/>
                <w:szCs w:val="1"/>
                <w:color w:val="auto"/>
              </w:rPr>
            </w:pPr>
          </w:p>
        </w:tc>
      </w:tr>
      <w:tr>
        <w:trPr>
          <w:trHeight w:val="175"/>
        </w:trPr>
        <w:tc>
          <w:tcPr>
            <w:tcW w:w="436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(39,100 )</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(39,100 )</w:t>
            </w:r>
          </w:p>
        </w:tc>
        <w:tc>
          <w:tcPr>
            <w:tcW w:w="0" w:type="dxa"/>
            <w:vAlign w:val="bottom"/>
          </w:tcPr>
          <w:p>
            <w:pPr>
              <w:spacing w:after="0"/>
              <w:rPr>
                <w:sz w:val="1"/>
                <w:szCs w:val="1"/>
                <w:color w:val="auto"/>
              </w:rPr>
            </w:pPr>
          </w:p>
        </w:tc>
      </w:tr>
      <w:tr>
        <w:trPr>
          <w:trHeight w:val="143"/>
        </w:trPr>
        <w:tc>
          <w:tcPr>
            <w:tcW w:w="436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Tax reclassification of stockholders’ equity in accordance with</w:t>
            </w:r>
          </w:p>
        </w:tc>
        <w:tc>
          <w:tcPr>
            <w:tcW w:w="13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(2,175 )</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generally accepted accounting principles</w:t>
            </w:r>
          </w:p>
        </w:tc>
        <w:tc>
          <w:tcPr>
            <w:tcW w:w="1320" w:type="dxa"/>
            <w:vAlign w:val="bottom"/>
            <w:gridSpan w:val="2"/>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60" w:type="dxa"/>
            <w:vAlign w:val="bottom"/>
            <w:tcBorders>
              <w:top w:val="single" w:sz="8" w:color="CCEEFF"/>
            </w:tcBorders>
          </w:tcPr>
          <w:p>
            <w:pPr>
              <w:ind w:left="120"/>
              <w:spacing w:after="0"/>
              <w:rPr>
                <w:sz w:val="20"/>
                <w:szCs w:val="20"/>
                <w:color w:val="auto"/>
              </w:rPr>
            </w:pPr>
            <w:r>
              <w:rPr>
                <w:rFonts w:ascii="Arial" w:cs="Arial" w:eastAsia="Arial" w:hAnsi="Arial"/>
                <w:sz w:val="14"/>
                <w:szCs w:val="14"/>
                <w:b w:val="1"/>
                <w:bCs w:val="1"/>
                <w:color w:val="auto"/>
              </w:rPr>
              <w:t>Balances at December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24,437,400</w:t>
            </w:r>
          </w:p>
        </w:tc>
        <w:tc>
          <w:tcPr>
            <w:tcW w:w="380" w:type="dxa"/>
            <w:vAlign w:val="bottom"/>
            <w:tcBorders>
              <w:top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380" w:type="dxa"/>
            <w:vAlign w:val="bottom"/>
            <w:tcBorders>
              <w:top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361,807</w:t>
            </w: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125,933</w:t>
            </w: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487,764</w:t>
            </w: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-142240</wp:posOffset>
            </wp:positionV>
            <wp:extent cx="51435" cy="2540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25400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-142240</wp:posOffset>
            </wp:positionV>
            <wp:extent cx="51435" cy="2540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25400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-142240</wp:posOffset>
            </wp:positionV>
            <wp:extent cx="51435" cy="2540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25400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-142240</wp:posOffset>
            </wp:positionV>
            <wp:extent cx="68580" cy="2540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25400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-142240</wp:posOffset>
            </wp:positionV>
            <wp:extent cx="43180" cy="2540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2540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*amount is greater than zero but less than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Years Ended December 31,</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r>
      <w:tr>
        <w:trPr>
          <w:trHeight w:val="169"/>
        </w:trPr>
        <w:tc>
          <w:tcPr>
            <w:tcW w:w="6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r>
      <w:tr>
        <w:trPr>
          <w:trHeight w:val="175"/>
        </w:trPr>
        <w:tc>
          <w:tcPr>
            <w:tcW w:w="6740" w:type="dxa"/>
            <w:vAlign w:val="bottom"/>
          </w:tcPr>
          <w:p>
            <w:pPr>
              <w:ind w:left="200"/>
              <w:spacing w:after="0"/>
              <w:rPr>
                <w:sz w:val="20"/>
                <w:szCs w:val="20"/>
                <w:color w:val="auto"/>
              </w:rPr>
            </w:pPr>
            <w:r>
              <w:rPr>
                <w:rFonts w:ascii="Arial" w:cs="Arial" w:eastAsia="Arial" w:hAnsi="Arial"/>
                <w:sz w:val="14"/>
                <w:szCs w:val="14"/>
                <w:color w:val="auto"/>
              </w:rPr>
              <w:t>Net increase (decrease)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116,104</w:t>
            </w:r>
          </w:p>
        </w:tc>
        <w:tc>
          <w:tcPr>
            <w:tcW w:w="3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31,226</w:t>
            </w:r>
          </w:p>
        </w:tc>
        <w:tc>
          <w:tcPr>
            <w:tcW w:w="26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48,466</w:t>
            </w:r>
          </w:p>
        </w:tc>
        <w:tc>
          <w:tcPr>
            <w:tcW w:w="280" w:type="dxa"/>
            <w:vAlign w:val="bottom"/>
          </w:tcPr>
          <w:p>
            <w:pPr>
              <w:spacing w:after="0"/>
              <w:rPr>
                <w:sz w:val="15"/>
                <w:szCs w:val="15"/>
                <w:color w:val="auto"/>
              </w:rPr>
            </w:pPr>
          </w:p>
        </w:tc>
      </w:tr>
      <w:tr>
        <w:trPr>
          <w:trHeight w:val="143"/>
        </w:trPr>
        <w:tc>
          <w:tcPr>
            <w:tcW w:w="6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6"/>
              </w:rPr>
              <w:t>Adjustments to reconcile net increase (decrease) in net assets resulting from operations to net cash provided by</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81"/>
        </w:trPr>
        <w:tc>
          <w:tcPr>
            <w:tcW w:w="6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(used for) operating activities: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r>
      <w:tr>
        <w:trPr>
          <w:trHeight w:val="176"/>
        </w:trPr>
        <w:tc>
          <w:tcPr>
            <w:tcW w:w="6740" w:type="dxa"/>
            <w:vAlign w:val="bottom"/>
          </w:tcPr>
          <w:p>
            <w:pPr>
              <w:ind w:left="38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8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(41,496 )</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6,578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(18,188 )</w:t>
            </w: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realized (gain) loss on investments</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(55,808 )</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1,171</w:t>
            </w:r>
          </w:p>
        </w:tc>
        <w:tc>
          <w:tcPr>
            <w:tcW w:w="280" w:type="dxa"/>
            <w:vAlign w:val="bottom"/>
            <w:shd w:val="clear" w:color="auto" w:fill="CFF0FC"/>
          </w:tcPr>
          <w:p>
            <w:pPr>
              <w:spacing w:after="0"/>
              <w:rPr>
                <w:sz w:val="15"/>
                <w:szCs w:val="15"/>
                <w:color w:val="auto"/>
              </w:rPr>
            </w:pPr>
          </w:p>
        </w:tc>
      </w:tr>
      <w:tr>
        <w:trPr>
          <w:trHeight w:val="176"/>
        </w:trPr>
        <w:tc>
          <w:tcPr>
            <w:tcW w:w="6740" w:type="dxa"/>
            <w:vAlign w:val="bottom"/>
          </w:tcPr>
          <w:p>
            <w:pPr>
              <w:ind w:left="380"/>
              <w:spacing w:after="0"/>
              <w:rPr>
                <w:sz w:val="20"/>
                <w:szCs w:val="20"/>
                <w:color w:val="auto"/>
              </w:rPr>
            </w:pPr>
            <w:r>
              <w:rPr>
                <w:rFonts w:ascii="Arial" w:cs="Arial" w:eastAsia="Arial" w:hAnsi="Arial"/>
                <w:sz w:val="14"/>
                <w:szCs w:val="14"/>
                <w:color w:val="auto"/>
              </w:rPr>
              <w:t>Interest and dividend income paid-in-kind</w:t>
            </w:r>
          </w:p>
        </w:tc>
        <w:tc>
          <w:tcPr>
            <w:tcW w:w="28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(4,399 )</w:t>
            </w:r>
          </w:p>
        </w:tc>
        <w:tc>
          <w:tcPr>
            <w:tcW w:w="2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(4,660 )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(9,100 )</w:t>
            </w: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Accretion of original issue discount</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(755 )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(297 )</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(72 )</w:t>
            </w:r>
          </w:p>
        </w:tc>
      </w:tr>
      <w:tr>
        <w:trPr>
          <w:trHeight w:val="176"/>
        </w:trPr>
        <w:tc>
          <w:tcPr>
            <w:tcW w:w="6740" w:type="dxa"/>
            <w:vAlign w:val="bottom"/>
          </w:tcPr>
          <w:p>
            <w:pPr>
              <w:ind w:left="380"/>
              <w:spacing w:after="0"/>
              <w:rPr>
                <w:sz w:val="20"/>
                <w:szCs w:val="20"/>
                <w:color w:val="auto"/>
              </w:rPr>
            </w:pPr>
            <w:r>
              <w:rPr>
                <w:rFonts w:ascii="Arial" w:cs="Arial" w:eastAsia="Arial" w:hAnsi="Arial"/>
                <w:sz w:val="14"/>
                <w:szCs w:val="14"/>
                <w:color w:val="auto"/>
              </w:rPr>
              <w:t>Accretion of loan origination fees</w:t>
            </w:r>
          </w:p>
        </w:tc>
        <w:tc>
          <w:tcPr>
            <w:tcW w:w="28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(2,512 )</w:t>
            </w:r>
          </w:p>
        </w:tc>
        <w:tc>
          <w:tcPr>
            <w:tcW w:w="2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(1,344 )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(1,023 )</w:t>
            </w: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 of investments</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(346,737 )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(189,996 )</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(219,173 )</w:t>
            </w: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sales and repayments of investments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472,782</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210,774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120,600</w:t>
            </w:r>
          </w:p>
        </w:tc>
        <w:tc>
          <w:tcPr>
            <w:tcW w:w="280" w:type="dxa"/>
            <w:vAlign w:val="bottom"/>
          </w:tcPr>
          <w:p>
            <w:pPr>
              <w:spacing w:after="0"/>
              <w:rPr>
                <w:sz w:val="15"/>
                <w:szCs w:val="15"/>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loan origination fees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2,670</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1,848</w:t>
            </w:r>
          </w:p>
        </w:tc>
        <w:tc>
          <w:tcPr>
            <w:tcW w:w="280" w:type="dxa"/>
            <w:vAlign w:val="bottom"/>
            <w:shd w:val="clear" w:color="auto" w:fill="CFF0FC"/>
          </w:tcPr>
          <w:p>
            <w:pPr>
              <w:spacing w:after="0"/>
              <w:rPr>
                <w:sz w:val="15"/>
                <w:szCs w:val="15"/>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Realized losses on extinguishment of debt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4,263</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w:t>
            </w:r>
          </w:p>
        </w:tc>
        <w:tc>
          <w:tcPr>
            <w:tcW w:w="280" w:type="dxa"/>
            <w:vAlign w:val="bottom"/>
          </w:tcPr>
          <w:p>
            <w:pPr>
              <w:spacing w:after="0"/>
              <w:rPr>
                <w:sz w:val="15"/>
                <w:szCs w:val="15"/>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financing costs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2,215</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2,271</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1,852</w:t>
            </w:r>
          </w:p>
        </w:tc>
        <w:tc>
          <w:tcPr>
            <w:tcW w:w="280" w:type="dxa"/>
            <w:vAlign w:val="bottom"/>
            <w:shd w:val="clear" w:color="auto" w:fill="CFF0FC"/>
          </w:tcPr>
          <w:p>
            <w:pPr>
              <w:spacing w:after="0"/>
              <w:rPr>
                <w:sz w:val="15"/>
                <w:szCs w:val="15"/>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6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Interest receivable</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(683 )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(1,217 )</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1,197</w:t>
            </w:r>
          </w:p>
        </w:tc>
        <w:tc>
          <w:tcPr>
            <w:tcW w:w="280" w:type="dxa"/>
            <w:vAlign w:val="bottom"/>
            <w:shd w:val="clear" w:color="auto" w:fill="CFF0FC"/>
          </w:tcPr>
          <w:p>
            <w:pPr>
              <w:spacing w:after="0"/>
              <w:rPr>
                <w:sz w:val="15"/>
                <w:szCs w:val="15"/>
                <w:color w:val="auto"/>
              </w:rPr>
            </w:pPr>
          </w:p>
        </w:tc>
      </w:tr>
      <w:tr>
        <w:trPr>
          <w:trHeight w:val="176"/>
        </w:trPr>
        <w:tc>
          <w:tcPr>
            <w:tcW w:w="6740" w:type="dxa"/>
            <w:vAlign w:val="bottom"/>
          </w:tcPr>
          <w:p>
            <w:pPr>
              <w:ind w:left="56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602</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w:t>
            </w:r>
          </w:p>
        </w:tc>
        <w:tc>
          <w:tcPr>
            <w:tcW w:w="280" w:type="dxa"/>
            <w:vAlign w:val="bottom"/>
          </w:tcPr>
          <w:p>
            <w:pPr>
              <w:spacing w:after="0"/>
              <w:rPr>
                <w:sz w:val="15"/>
                <w:szCs w:val="15"/>
                <w:color w:val="auto"/>
              </w:rPr>
            </w:pPr>
          </w:p>
        </w:tc>
      </w:tr>
      <w:tr>
        <w:trPr>
          <w:trHeight w:val="175"/>
        </w:trPr>
        <w:tc>
          <w:tcPr>
            <w:tcW w:w="6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interest and fees payable</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1,168</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(5 )</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w:t>
            </w:r>
          </w:p>
        </w:tc>
        <w:tc>
          <w:tcPr>
            <w:tcW w:w="280" w:type="dxa"/>
            <w:vAlign w:val="bottom"/>
            <w:shd w:val="clear" w:color="auto" w:fill="CFF0FC"/>
          </w:tcPr>
          <w:p>
            <w:pPr>
              <w:spacing w:after="0"/>
              <w:rPr>
                <w:sz w:val="15"/>
                <w:szCs w:val="15"/>
                <w:color w:val="auto"/>
              </w:rPr>
            </w:pPr>
          </w:p>
        </w:tc>
      </w:tr>
      <w:tr>
        <w:trPr>
          <w:trHeight w:val="176"/>
        </w:trPr>
        <w:tc>
          <w:tcPr>
            <w:tcW w:w="6740" w:type="dxa"/>
            <w:vAlign w:val="bottom"/>
          </w:tcPr>
          <w:p>
            <w:pPr>
              <w:ind w:left="560"/>
              <w:spacing w:after="0"/>
              <w:rPr>
                <w:sz w:val="20"/>
                <w:szCs w:val="20"/>
                <w:color w:val="auto"/>
              </w:rPr>
            </w:pPr>
            <w:r>
              <w:rPr>
                <w:rFonts w:ascii="Arial" w:cs="Arial" w:eastAsia="Arial" w:hAnsi="Arial"/>
                <w:sz w:val="14"/>
                <w:szCs w:val="14"/>
                <w:color w:val="auto"/>
              </w:rPr>
              <w:t>Base management fee payable, net of base management fee waiver – due to affiliate</w:t>
            </w:r>
          </w:p>
        </w:tc>
        <w:tc>
          <w:tcPr>
            <w:tcW w:w="28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(109 )</w:t>
            </w:r>
          </w:p>
        </w:tc>
        <w:tc>
          <w:tcPr>
            <w:tcW w:w="2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(90 )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407</w:t>
            </w:r>
          </w:p>
        </w:tc>
        <w:tc>
          <w:tcPr>
            <w:tcW w:w="280" w:type="dxa"/>
            <w:vAlign w:val="bottom"/>
          </w:tcPr>
          <w:p>
            <w:pPr>
              <w:spacing w:after="0"/>
              <w:rPr>
                <w:sz w:val="15"/>
                <w:szCs w:val="15"/>
                <w:color w:val="auto"/>
              </w:rPr>
            </w:pPr>
          </w:p>
        </w:tc>
      </w:tr>
      <w:tr>
        <w:trPr>
          <w:trHeight w:val="175"/>
        </w:trPr>
        <w:tc>
          <w:tcPr>
            <w:tcW w:w="6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Income incentive fee payable – due to affiliate</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(1,288 )</w:t>
            </w:r>
          </w:p>
        </w:tc>
      </w:tr>
      <w:tr>
        <w:trPr>
          <w:trHeight w:val="176"/>
        </w:trPr>
        <w:tc>
          <w:tcPr>
            <w:tcW w:w="6740" w:type="dxa"/>
            <w:vAlign w:val="bottom"/>
          </w:tcPr>
          <w:p>
            <w:pPr>
              <w:ind w:left="560"/>
              <w:spacing w:after="0"/>
              <w:rPr>
                <w:sz w:val="20"/>
                <w:szCs w:val="20"/>
                <w:color w:val="auto"/>
              </w:rPr>
            </w:pPr>
            <w:r>
              <w:rPr>
                <w:rFonts w:ascii="Arial" w:cs="Arial" w:eastAsia="Arial" w:hAnsi="Arial"/>
                <w:sz w:val="14"/>
                <w:szCs w:val="14"/>
                <w:color w:val="auto"/>
              </w:rPr>
              <w:t>Capital gains incentive fee (reversal) – due to (from) affiliate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18,196</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(1,684 )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Pr>
          <w:p>
            <w:pPr>
              <w:spacing w:after="0"/>
              <w:rPr>
                <w:sz w:val="15"/>
                <w:szCs w:val="15"/>
                <w:color w:val="auto"/>
              </w:rPr>
            </w:pPr>
          </w:p>
        </w:tc>
      </w:tr>
      <w:tr>
        <w:trPr>
          <w:trHeight w:val="176"/>
        </w:trPr>
        <w:tc>
          <w:tcPr>
            <w:tcW w:w="6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Administration fee payable and other – due to affiliate</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80" w:type="dxa"/>
            <w:vAlign w:val="bottom"/>
            <w:shd w:val="clear" w:color="auto" w:fill="CFF0FC"/>
          </w:tcPr>
          <w:p>
            <w:pPr>
              <w:spacing w:after="0"/>
              <w:rPr>
                <w:sz w:val="15"/>
                <w:szCs w:val="15"/>
                <w:color w:val="auto"/>
              </w:rPr>
            </w:pPr>
          </w:p>
        </w:tc>
      </w:tr>
      <w:tr>
        <w:trPr>
          <w:trHeight w:val="175"/>
        </w:trPr>
        <w:tc>
          <w:tcPr>
            <w:tcW w:w="6740" w:type="dxa"/>
            <w:vAlign w:val="bottom"/>
          </w:tcPr>
          <w:p>
            <w:pPr>
              <w:ind w:left="560"/>
              <w:spacing w:after="0"/>
              <w:rPr>
                <w:sz w:val="20"/>
                <w:szCs w:val="20"/>
                <w:color w:val="auto"/>
              </w:rPr>
            </w:pPr>
            <w:r>
              <w:rPr>
                <w:rFonts w:ascii="Arial" w:cs="Arial" w:eastAsia="Arial" w:hAnsi="Arial"/>
                <w:sz w:val="14"/>
                <w:szCs w:val="14"/>
                <w:color w:val="auto"/>
              </w:rPr>
              <w:t>Taxes payable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2,135</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(272 )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(256 )</w:t>
            </w:r>
          </w:p>
        </w:tc>
      </w:tr>
      <w:tr>
        <w:trPr>
          <w:trHeight w:val="176"/>
        </w:trPr>
        <w:tc>
          <w:tcPr>
            <w:tcW w:w="6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Accounts payable and other liabilities</w:t>
            </w: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w:t>
            </w:r>
          </w:p>
        </w:tc>
        <w:tc>
          <w:tcPr>
            <w:tcW w:w="3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w:t>
            </w:r>
          </w:p>
        </w:tc>
        <w:tc>
          <w:tcPr>
            <w:tcW w:w="280" w:type="dxa"/>
            <w:vAlign w:val="bottom"/>
            <w:tcBorders>
              <w:bottom w:val="single" w:sz="8" w:color="CFF0FC"/>
            </w:tcBorders>
            <w:shd w:val="clear" w:color="auto" w:fill="CFF0FC"/>
          </w:tcPr>
          <w:p>
            <w:pPr>
              <w:spacing w:after="0"/>
              <w:rPr>
                <w:sz w:val="15"/>
                <w:szCs w:val="15"/>
                <w:color w:val="auto"/>
              </w:rPr>
            </w:pPr>
          </w:p>
        </w:tc>
      </w:tr>
      <w:tr>
        <w:trPr>
          <w:trHeight w:val="169"/>
        </w:trPr>
        <w:tc>
          <w:tcPr>
            <w:tcW w:w="6740" w:type="dxa"/>
            <w:vAlign w:val="bottom"/>
          </w:tcPr>
          <w:p>
            <w:pPr>
              <w:ind w:left="740"/>
              <w:spacing w:after="0"/>
              <w:rPr>
                <w:sz w:val="20"/>
                <w:szCs w:val="20"/>
                <w:color w:val="auto"/>
              </w:rPr>
            </w:pPr>
            <w:r>
              <w:rPr>
                <w:rFonts w:ascii="Arial" w:cs="Arial" w:eastAsia="Arial" w:hAnsi="Arial"/>
                <w:sz w:val="14"/>
                <w:szCs w:val="14"/>
                <w:b w:val="1"/>
                <w:bCs w:val="1"/>
                <w:color w:val="auto"/>
              </w:rPr>
              <w:t>Net cash provided by (used for) operating activities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167,901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55,962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(68,728 )</w:t>
            </w:r>
          </w:p>
        </w:tc>
      </w:tr>
      <w:tr>
        <w:trPr>
          <w:trHeight w:val="169"/>
        </w:trPr>
        <w:tc>
          <w:tcPr>
            <w:tcW w:w="6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Proceeds received from SBA debentures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23,500</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6,000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7,500</w:t>
            </w:r>
          </w:p>
        </w:tc>
        <w:tc>
          <w:tcPr>
            <w:tcW w:w="280" w:type="dxa"/>
            <w:vAlign w:val="bottom"/>
          </w:tcPr>
          <w:p>
            <w:pPr>
              <w:spacing w:after="0"/>
              <w:rPr>
                <w:sz w:val="15"/>
                <w:szCs w:val="15"/>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Repayments of SBA debentures</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(63,500 )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(16,500 )</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(41,000 )</w:t>
            </w: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Proceeds received from issuance of Notes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125,000</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125,000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132,250</w:t>
            </w:r>
          </w:p>
        </w:tc>
        <w:tc>
          <w:tcPr>
            <w:tcW w:w="280" w:type="dxa"/>
            <w:vAlign w:val="bottom"/>
          </w:tcPr>
          <w:p>
            <w:pPr>
              <w:spacing w:after="0"/>
              <w:rPr>
                <w:sz w:val="15"/>
                <w:szCs w:val="15"/>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Notes</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(182,250 )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Proceeds received from (repayments of) borrowings under Credit Facility, net</w:t>
            </w:r>
          </w:p>
        </w:tc>
        <w:tc>
          <w:tcPr>
            <w:tcW w:w="280" w:type="dxa"/>
            <w:vAlign w:val="bottom"/>
          </w:tcPr>
          <w:p>
            <w:pPr>
              <w:spacing w:after="0"/>
              <w:rPr>
                <w:sz w:val="15"/>
                <w:szCs w:val="15"/>
                <w:color w:val="auto"/>
              </w:rPr>
            </w:pPr>
          </w:p>
        </w:tc>
        <w:tc>
          <w:tcPr>
            <w:tcW w:w="12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(25,000 )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(11,500 )</w:t>
            </w: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received from (repayments of) Secured Borrowings, net</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17,637</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Payment of deferred financing costs</w:t>
            </w:r>
          </w:p>
        </w:tc>
        <w:tc>
          <w:tcPr>
            <w:tcW w:w="28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(4,079 )</w:t>
            </w:r>
          </w:p>
        </w:tc>
        <w:tc>
          <w:tcPr>
            <w:tcW w:w="2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(3,390 )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(6,384 )</w:t>
            </w: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Dividends paid to stockholders, including expenses</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(39,100 )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(32,508 )</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(39,141 )</w:t>
            </w: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Repurchases of common stock under Stock Repurchase Program</w:t>
            </w:r>
          </w:p>
        </w:tc>
        <w:tc>
          <w:tcPr>
            <w:tcW w:w="280" w:type="dxa"/>
            <w:vAlign w:val="bottom"/>
          </w:tcPr>
          <w:p>
            <w:pPr>
              <w:spacing w:after="0"/>
              <w:rPr>
                <w:sz w:val="15"/>
                <w:szCs w:val="15"/>
                <w:color w:val="auto"/>
              </w:rPr>
            </w:pPr>
          </w:p>
        </w:tc>
        <w:tc>
          <w:tcPr>
            <w:tcW w:w="12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(268 )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69"/>
        </w:trPr>
        <w:tc>
          <w:tcPr>
            <w:tcW w:w="6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Net cash provided by (used for) financing activities</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(122,792</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53,334</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41,725</w:t>
            </w:r>
          </w:p>
        </w:tc>
        <w:tc>
          <w:tcPr>
            <w:tcW w:w="280" w:type="dxa"/>
            <w:vAlign w:val="bottom"/>
            <w:tcBorders>
              <w:bottom w:val="single" w:sz="8" w:color="CFF0FC"/>
            </w:tcBorders>
            <w:shd w:val="clear" w:color="auto" w:fill="CFF0FC"/>
          </w:tcPr>
          <w:p>
            <w:pPr>
              <w:spacing w:after="0"/>
              <w:rPr>
                <w:sz w:val="14"/>
                <w:szCs w:val="14"/>
                <w:color w:val="auto"/>
              </w:rPr>
            </w:pPr>
          </w:p>
        </w:tc>
      </w:tr>
      <w:tr>
        <w:trPr>
          <w:trHeight w:val="169"/>
        </w:trPr>
        <w:tc>
          <w:tcPr>
            <w:tcW w:w="6740" w:type="dxa"/>
            <w:vAlign w:val="bottom"/>
          </w:tcPr>
          <w:p>
            <w:pPr>
              <w:ind w:left="7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45,109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109,296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(27,003 )</w:t>
            </w:r>
          </w:p>
        </w:tc>
      </w:tr>
      <w:tr>
        <w:trPr>
          <w:trHeight w:val="175"/>
        </w:trPr>
        <w:tc>
          <w:tcPr>
            <w:tcW w:w="6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r>
      <w:tr>
        <w:trPr>
          <w:trHeight w:val="176"/>
        </w:trPr>
        <w:tc>
          <w:tcPr>
            <w:tcW w:w="6740" w:type="dxa"/>
            <w:vAlign w:val="bottom"/>
          </w:tcPr>
          <w:p>
            <w:pPr>
              <w:ind w:left="380"/>
              <w:spacing w:after="0"/>
              <w:rPr>
                <w:sz w:val="20"/>
                <w:szCs w:val="20"/>
                <w:color w:val="auto"/>
              </w:rPr>
            </w:pPr>
            <w:r>
              <w:rPr>
                <w:rFonts w:ascii="Arial" w:cs="Arial" w:eastAsia="Arial" w:hAnsi="Arial"/>
                <w:sz w:val="14"/>
                <w:szCs w:val="14"/>
                <w:color w:val="auto"/>
              </w:rPr>
              <w:t>Beginning of period</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124,308</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15,012</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42,015</w:t>
            </w:r>
          </w:p>
        </w:tc>
        <w:tc>
          <w:tcPr>
            <w:tcW w:w="280" w:type="dxa"/>
            <w:vAlign w:val="bottom"/>
          </w:tcPr>
          <w:p>
            <w:pPr>
              <w:spacing w:after="0"/>
              <w:rPr>
                <w:sz w:val="15"/>
                <w:szCs w:val="15"/>
                <w:color w:val="auto"/>
              </w:rPr>
            </w:pPr>
          </w:p>
        </w:tc>
      </w:tr>
      <w:tr>
        <w:trPr>
          <w:trHeight w:val="209"/>
        </w:trPr>
        <w:tc>
          <w:tcPr>
            <w:tcW w:w="6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End of period</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169,417</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124,308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15,012</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156"/>
        </w:trPr>
        <w:tc>
          <w:tcPr>
            <w:tcW w:w="67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payments for interest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15,781</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17,412</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14,527</w:t>
            </w:r>
          </w:p>
        </w:tc>
        <w:tc>
          <w:tcPr>
            <w:tcW w:w="280" w:type="dxa"/>
            <w:vAlign w:val="bottom"/>
            <w:shd w:val="clear" w:color="auto" w:fill="CFF0FC"/>
          </w:tcPr>
          <w:p>
            <w:pPr>
              <w:spacing w:after="0"/>
              <w:rPr>
                <w:sz w:val="15"/>
                <w:szCs w:val="15"/>
                <w:color w:val="auto"/>
              </w:rPr>
            </w:pPr>
          </w:p>
        </w:tc>
      </w:tr>
      <w:tr>
        <w:trPr>
          <w:trHeight w:val="182"/>
        </w:trPr>
        <w:tc>
          <w:tcPr>
            <w:tcW w:w="6740" w:type="dxa"/>
            <w:vAlign w:val="bottom"/>
          </w:tcPr>
          <w:p>
            <w:pPr>
              <w:ind w:left="380"/>
              <w:spacing w:after="0"/>
              <w:rPr>
                <w:sz w:val="20"/>
                <w:szCs w:val="20"/>
                <w:color w:val="auto"/>
              </w:rPr>
            </w:pPr>
            <w:r>
              <w:rPr>
                <w:rFonts w:ascii="Arial" w:cs="Arial" w:eastAsia="Arial" w:hAnsi="Arial"/>
                <w:sz w:val="14"/>
                <w:szCs w:val="14"/>
                <w:color w:val="auto"/>
              </w:rPr>
              <w:t>Cash payments for taxes, net of tax refunds received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431</w:t>
            </w:r>
          </w:p>
        </w:tc>
        <w:tc>
          <w:tcPr>
            <w:tcW w:w="3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1,711</w:t>
            </w:r>
          </w:p>
        </w:tc>
        <w:tc>
          <w:tcPr>
            <w:tcW w:w="26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877</w:t>
            </w:r>
          </w:p>
        </w:tc>
        <w:tc>
          <w:tcPr>
            <w:tcW w:w="2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-2186940</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-2186940</wp:posOffset>
            </wp:positionV>
            <wp:extent cx="431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-2186940</wp:posOffset>
            </wp:positionV>
            <wp:extent cx="431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-823595</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-823595</wp:posOffset>
            </wp:positionV>
            <wp:extent cx="4318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-823595</wp:posOffset>
            </wp:positionV>
            <wp:extent cx="431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-363855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-346710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-363855</wp:posOffset>
            </wp:positionV>
            <wp:extent cx="431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-346710</wp:posOffset>
            </wp:positionV>
            <wp:extent cx="431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-363855</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-346710</wp:posOffset>
            </wp:positionV>
            <wp:extent cx="43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jc w:val="center"/>
        <w:spacing w:after="0" w:line="234" w:lineRule="auto"/>
        <w:rPr>
          <w:sz w:val="20"/>
          <w:szCs w:val="20"/>
          <w:color w:val="auto"/>
        </w:rPr>
      </w:pPr>
      <w:r>
        <w:rPr>
          <w:rFonts w:ascii="Arial" w:cs="Arial" w:eastAsia="Arial" w:hAnsi="Arial"/>
          <w:sz w:val="18"/>
          <w:szCs w:val="18"/>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b w:val="1"/>
                <w:bCs w:val="1"/>
                <w:color w:val="auto"/>
              </w:rPr>
              <w:t>Portfolio Company (a)(b)</w:t>
            </w:r>
          </w:p>
        </w:tc>
        <w:tc>
          <w:tcPr>
            <w:tcW w:w="1840" w:type="dxa"/>
            <w:vAlign w:val="bottom"/>
          </w:tcPr>
          <w:p>
            <w:pPr>
              <w:spacing w:after="0"/>
              <w:rPr>
                <w:sz w:val="9"/>
                <w:szCs w:val="9"/>
                <w:color w:val="auto"/>
              </w:rPr>
            </w:pPr>
          </w:p>
        </w:tc>
        <w:tc>
          <w:tcPr>
            <w:tcW w:w="1380" w:type="dxa"/>
            <w:vAlign w:val="bottom"/>
          </w:tcPr>
          <w:p>
            <w:pPr>
              <w:ind w:left="340"/>
              <w:spacing w:after="0"/>
              <w:rPr>
                <w:sz w:val="20"/>
                <w:szCs w:val="20"/>
                <w:color w:val="auto"/>
              </w:rPr>
            </w:pPr>
            <w:r>
              <w:rPr>
                <w:rFonts w:ascii="Arial" w:cs="Arial" w:eastAsia="Arial" w:hAnsi="Arial"/>
                <w:sz w:val="9"/>
                <w:szCs w:val="9"/>
                <w:b w:val="1"/>
                <w:bCs w:val="1"/>
                <w:color w:val="auto"/>
              </w:rPr>
              <w:t>Variable Index</w:t>
            </w:r>
          </w:p>
        </w:tc>
        <w:tc>
          <w:tcPr>
            <w:tcW w:w="920" w:type="dxa"/>
            <w:vAlign w:val="bottom"/>
          </w:tcPr>
          <w:p>
            <w:pPr>
              <w:ind w:left="180"/>
              <w:spacing w:after="0"/>
              <w:rPr>
                <w:sz w:val="20"/>
                <w:szCs w:val="20"/>
                <w:color w:val="auto"/>
              </w:rPr>
            </w:pPr>
            <w:r>
              <w:rPr>
                <w:rFonts w:ascii="Arial" w:cs="Arial" w:eastAsia="Arial" w:hAnsi="Arial"/>
                <w:sz w:val="9"/>
                <w:szCs w:val="9"/>
                <w:b w:val="1"/>
                <w:bCs w:val="1"/>
                <w:color w:val="auto"/>
              </w:rPr>
              <w:t>Rate (e)</w:t>
            </w:r>
          </w:p>
        </w:tc>
        <w:tc>
          <w:tcPr>
            <w:tcW w:w="820" w:type="dxa"/>
            <w:vAlign w:val="bottom"/>
          </w:tcPr>
          <w:p>
            <w:pPr>
              <w:ind w:left="200"/>
              <w:spacing w:after="0"/>
              <w:rPr>
                <w:sz w:val="20"/>
                <w:szCs w:val="20"/>
                <w:color w:val="auto"/>
              </w:rPr>
            </w:pPr>
            <w:r>
              <w:rPr>
                <w:rFonts w:ascii="Arial" w:cs="Arial" w:eastAsia="Arial" w:hAnsi="Arial"/>
                <w:sz w:val="9"/>
                <w:szCs w:val="9"/>
                <w:b w:val="1"/>
                <w:bCs w:val="1"/>
                <w:color w:val="auto"/>
              </w:rPr>
              <w:t>Investment</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b w:val="1"/>
                <w:bCs w:val="1"/>
                <w:color w:val="auto"/>
                <w:w w:val="99"/>
              </w:rPr>
              <w:t>Principal</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175"/>
              <w:spacing w:after="0"/>
              <w:rPr>
                <w:sz w:val="20"/>
                <w:szCs w:val="20"/>
                <w:color w:val="auto"/>
              </w:rPr>
            </w:pPr>
            <w:r>
              <w:rPr>
                <w:rFonts w:ascii="Arial" w:cs="Arial" w:eastAsia="Arial" w:hAnsi="Arial"/>
                <w:sz w:val="9"/>
                <w:szCs w:val="9"/>
                <w:b w:val="1"/>
                <w:bCs w:val="1"/>
                <w:color w:val="auto"/>
              </w:rPr>
              <w:t>Fair</w:t>
            </w:r>
          </w:p>
        </w:tc>
        <w:tc>
          <w:tcPr>
            <w:tcW w:w="40" w:type="dxa"/>
            <w:vAlign w:val="bottom"/>
          </w:tcPr>
          <w:p>
            <w:pPr>
              <w:spacing w:after="0"/>
              <w:rPr>
                <w:sz w:val="9"/>
                <w:szCs w:val="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w w:val="99"/>
              </w:rPr>
              <w:t>Percent of</w:t>
            </w:r>
          </w:p>
        </w:tc>
      </w:tr>
      <w:tr>
        <w:trPr>
          <w:trHeight w:val="117"/>
        </w:trPr>
        <w:tc>
          <w:tcPr>
            <w:tcW w:w="2520" w:type="dxa"/>
            <w:vAlign w:val="bottom"/>
            <w:gridSpan w:val="3"/>
          </w:tcPr>
          <w:p>
            <w:pPr>
              <w:ind w:left="20"/>
              <w:spacing w:after="0"/>
              <w:rPr>
                <w:sz w:val="20"/>
                <w:szCs w:val="20"/>
                <w:color w:val="auto"/>
              </w:rPr>
            </w:pPr>
            <w:r>
              <w:rPr>
                <w:rFonts w:ascii="Arial" w:cs="Arial" w:eastAsia="Arial" w:hAnsi="Arial"/>
                <w:sz w:val="9"/>
                <w:szCs w:val="9"/>
                <w:b w:val="1"/>
                <w:bCs w:val="1"/>
                <w:color w:val="auto"/>
              </w:rPr>
              <w:t>Investment Type (c)</w:t>
            </w:r>
          </w:p>
        </w:tc>
        <w:tc>
          <w:tcPr>
            <w:tcW w:w="1840" w:type="dxa"/>
            <w:vAlign w:val="bottom"/>
          </w:tcPr>
          <w:p>
            <w:pPr>
              <w:ind w:left="140"/>
              <w:spacing w:after="0"/>
              <w:rPr>
                <w:sz w:val="20"/>
                <w:szCs w:val="20"/>
                <w:color w:val="auto"/>
              </w:rPr>
            </w:pPr>
            <w:r>
              <w:rPr>
                <w:rFonts w:ascii="Arial" w:cs="Arial" w:eastAsia="Arial" w:hAnsi="Arial"/>
                <w:sz w:val="9"/>
                <w:szCs w:val="9"/>
                <w:b w:val="1"/>
                <w:bCs w:val="1"/>
                <w:color w:val="auto"/>
              </w:rPr>
              <w:t>Industry</w:t>
            </w:r>
          </w:p>
        </w:tc>
        <w:tc>
          <w:tcPr>
            <w:tcW w:w="1380" w:type="dxa"/>
            <w:vAlign w:val="bottom"/>
          </w:tcPr>
          <w:p>
            <w:pPr>
              <w:ind w:left="340"/>
              <w:spacing w:after="0"/>
              <w:rPr>
                <w:sz w:val="20"/>
                <w:szCs w:val="20"/>
                <w:color w:val="auto"/>
              </w:rPr>
            </w:pPr>
            <w:r>
              <w:rPr>
                <w:rFonts w:ascii="Arial" w:cs="Arial" w:eastAsia="Arial" w:hAnsi="Arial"/>
                <w:sz w:val="9"/>
                <w:szCs w:val="9"/>
                <w:b w:val="1"/>
                <w:bCs w:val="1"/>
                <w:color w:val="auto"/>
              </w:rPr>
              <w:t>Spread / Floor (d)</w:t>
            </w:r>
          </w:p>
        </w:tc>
        <w:tc>
          <w:tcPr>
            <w:tcW w:w="920" w:type="dxa"/>
            <w:vAlign w:val="bottom"/>
          </w:tcPr>
          <w:p>
            <w:pPr>
              <w:ind w:left="180"/>
              <w:spacing w:after="0"/>
              <w:rPr>
                <w:sz w:val="20"/>
                <w:szCs w:val="20"/>
                <w:color w:val="auto"/>
              </w:rPr>
            </w:pPr>
            <w:r>
              <w:rPr>
                <w:rFonts w:ascii="Arial" w:cs="Arial" w:eastAsia="Arial" w:hAnsi="Arial"/>
                <w:sz w:val="9"/>
                <w:szCs w:val="9"/>
                <w:b w:val="1"/>
                <w:bCs w:val="1"/>
                <w:color w:val="auto"/>
              </w:rPr>
              <w:t>Cash/PIK</w:t>
            </w:r>
          </w:p>
        </w:tc>
        <w:tc>
          <w:tcPr>
            <w:tcW w:w="820" w:type="dxa"/>
            <w:vAlign w:val="bottom"/>
          </w:tcPr>
          <w:p>
            <w:pPr>
              <w:ind w:left="200"/>
              <w:spacing w:after="0"/>
              <w:rPr>
                <w:sz w:val="20"/>
                <w:szCs w:val="20"/>
                <w:color w:val="auto"/>
              </w:rPr>
            </w:pPr>
            <w:r>
              <w:rPr>
                <w:rFonts w:ascii="Arial" w:cs="Arial" w:eastAsia="Arial" w:hAnsi="Arial"/>
                <w:sz w:val="9"/>
                <w:szCs w:val="9"/>
                <w:b w:val="1"/>
                <w:bCs w:val="1"/>
                <w:color w:val="auto"/>
              </w:rPr>
              <w:t>Date (f)</w:t>
            </w:r>
          </w:p>
        </w:tc>
        <w:tc>
          <w:tcPr>
            <w:tcW w:w="760" w:type="dxa"/>
            <w:vAlign w:val="bottom"/>
          </w:tcPr>
          <w:p>
            <w:pPr>
              <w:ind w:left="160"/>
              <w:spacing w:after="0"/>
              <w:rPr>
                <w:sz w:val="20"/>
                <w:szCs w:val="20"/>
                <w:color w:val="auto"/>
              </w:rPr>
            </w:pPr>
            <w:r>
              <w:rPr>
                <w:rFonts w:ascii="Arial" w:cs="Arial" w:eastAsia="Arial" w:hAnsi="Arial"/>
                <w:sz w:val="9"/>
                <w:szCs w:val="9"/>
                <w:b w:val="1"/>
                <w:bCs w:val="1"/>
                <w:color w:val="auto"/>
              </w:rPr>
              <w:t>Maturity</w:t>
            </w:r>
          </w:p>
        </w:tc>
        <w:tc>
          <w:tcPr>
            <w:tcW w:w="280" w:type="dxa"/>
            <w:vAlign w:val="bottom"/>
          </w:tcPr>
          <w:p>
            <w:pPr>
              <w:spacing w:after="0"/>
              <w:rPr>
                <w:sz w:val="10"/>
                <w:szCs w:val="10"/>
                <w:color w:val="auto"/>
              </w:rPr>
            </w:pPr>
          </w:p>
        </w:tc>
        <w:tc>
          <w:tcPr>
            <w:tcW w:w="540" w:type="dxa"/>
            <w:vAlign w:val="bottom"/>
          </w:tcPr>
          <w:p>
            <w:pPr>
              <w:jc w:val="right"/>
              <w:ind w:right="115"/>
              <w:spacing w:after="0"/>
              <w:rPr>
                <w:sz w:val="20"/>
                <w:szCs w:val="20"/>
                <w:color w:val="auto"/>
              </w:rPr>
            </w:pPr>
            <w:r>
              <w:rPr>
                <w:rFonts w:ascii="Arial" w:cs="Arial" w:eastAsia="Arial" w:hAnsi="Arial"/>
                <w:sz w:val="9"/>
                <w:szCs w:val="9"/>
                <w:b w:val="1"/>
                <w:bCs w:val="1"/>
                <w:color w:val="auto"/>
              </w:rPr>
              <w:t>Amount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175"/>
              <w:spacing w:after="0"/>
              <w:rPr>
                <w:sz w:val="20"/>
                <w:szCs w:val="20"/>
                <w:color w:val="auto"/>
              </w:rPr>
            </w:pPr>
            <w:r>
              <w:rPr>
                <w:rFonts w:ascii="Arial" w:cs="Arial" w:eastAsia="Arial" w:hAnsi="Arial"/>
                <w:sz w:val="9"/>
                <w:szCs w:val="9"/>
                <w:b w:val="1"/>
                <w:bCs w:val="1"/>
                <w:color w:val="auto"/>
              </w:rPr>
              <w:t>Cost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Arial" w:cs="Arial" w:eastAsia="Arial" w:hAnsi="Arial"/>
                <w:sz w:val="9"/>
                <w:szCs w:val="9"/>
                <w:b w:val="1"/>
                <w:bCs w:val="1"/>
                <w:color w:val="auto"/>
                <w:w w:val="94"/>
              </w:rPr>
              <w:t>Value (g)</w:t>
            </w:r>
          </w:p>
        </w:tc>
        <w:tc>
          <w:tcPr>
            <w:tcW w:w="40" w:type="dxa"/>
            <w:vAlign w:val="bottom"/>
          </w:tcPr>
          <w:p>
            <w:pPr>
              <w:spacing w:after="0"/>
              <w:rPr>
                <w:sz w:val="10"/>
                <w:szCs w:val="1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w w:val="94"/>
              </w:rPr>
              <w:t>Net Assets</w:t>
            </w:r>
          </w:p>
        </w:tc>
      </w:tr>
      <w:tr>
        <w:trPr>
          <w:trHeight w:val="102"/>
        </w:trPr>
        <w:tc>
          <w:tcPr>
            <w:tcW w:w="9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84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4"/>
        </w:trPr>
        <w:tc>
          <w:tcPr>
            <w:tcW w:w="920" w:type="dxa"/>
            <w:vAlign w:val="bottom"/>
            <w:tcBorders>
              <w:left w:val="single" w:sz="8" w:color="CFF0FC"/>
              <w:bottom w:val="single" w:sz="8" w:color="auto"/>
            </w:tcBorders>
            <w:shd w:val="clear" w:color="auto" w:fill="CFF0FC"/>
          </w:tcPr>
          <w:p>
            <w:pPr>
              <w:ind w:left="20"/>
              <w:spacing w:after="0" w:line="95" w:lineRule="exact"/>
              <w:rPr>
                <w:sz w:val="20"/>
                <w:szCs w:val="20"/>
                <w:color w:val="auto"/>
              </w:rPr>
            </w:pPr>
            <w:r>
              <w:rPr>
                <w:rFonts w:ascii="Arial" w:cs="Arial" w:eastAsia="Arial" w:hAnsi="Arial"/>
                <w:sz w:val="9"/>
                <w:szCs w:val="9"/>
                <w:b w:val="1"/>
                <w:bCs w:val="1"/>
                <w:color w:val="auto"/>
                <w:w w:val="89"/>
              </w:rPr>
              <w:t>Control Investments (t)</w:t>
            </w:r>
          </w:p>
        </w:tc>
        <w:tc>
          <w:tcPr>
            <w:tcW w:w="1600" w:type="dxa"/>
            <w:vAlign w:val="bottom"/>
            <w:tcBorders>
              <w:bottom w:val="single" w:sz="8" w:color="CFF0FC"/>
            </w:tcBorders>
            <w:gridSpan w:val="2"/>
            <w:shd w:val="clear" w:color="auto" w:fill="CFF0FC"/>
          </w:tcPr>
          <w:p>
            <w:pPr>
              <w:spacing w:after="0"/>
              <w:rPr>
                <w:sz w:val="8"/>
                <w:szCs w:val="8"/>
                <w:color w:val="auto"/>
              </w:rPr>
            </w:pPr>
          </w:p>
        </w:tc>
        <w:tc>
          <w:tcPr>
            <w:tcW w:w="1840" w:type="dxa"/>
            <w:vAlign w:val="bottom"/>
            <w:tcBorders>
              <w:bottom w:val="single" w:sz="8" w:color="CFF0FC"/>
            </w:tcBorders>
            <w:shd w:val="clear" w:color="auto" w:fill="CFF0FC"/>
          </w:tcPr>
          <w:p>
            <w:pPr>
              <w:spacing w:after="0"/>
              <w:rPr>
                <w:sz w:val="8"/>
                <w:szCs w:val="8"/>
                <w:color w:val="auto"/>
              </w:rPr>
            </w:pPr>
          </w:p>
        </w:tc>
        <w:tc>
          <w:tcPr>
            <w:tcW w:w="1380" w:type="dxa"/>
            <w:vAlign w:val="bottom"/>
            <w:tcBorders>
              <w:bottom w:val="single" w:sz="8" w:color="CFF0FC"/>
            </w:tcBorders>
            <w:shd w:val="clear" w:color="auto" w:fill="CFF0FC"/>
          </w:tcPr>
          <w:p>
            <w:pPr>
              <w:spacing w:after="0"/>
              <w:rPr>
                <w:sz w:val="8"/>
                <w:szCs w:val="8"/>
                <w:color w:val="auto"/>
              </w:rPr>
            </w:pPr>
          </w:p>
        </w:tc>
        <w:tc>
          <w:tcPr>
            <w:tcW w:w="92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shd w:val="clear" w:color="auto" w:fill="CFF0FC"/>
          </w:tcPr>
          <w:p>
            <w:pPr>
              <w:spacing w:after="0"/>
              <w:rPr>
                <w:sz w:val="8"/>
                <w:szCs w:val="8"/>
                <w:color w:val="auto"/>
              </w:rPr>
            </w:pPr>
          </w:p>
        </w:tc>
        <w:tc>
          <w:tcPr>
            <w:tcW w:w="760" w:type="dxa"/>
            <w:vAlign w:val="bottom"/>
            <w:tcBorders>
              <w:bottom w:val="single" w:sz="8" w:color="CFF0FC"/>
            </w:tcBorders>
            <w:shd w:val="clear" w:color="auto" w:fill="CFF0FC"/>
          </w:tcPr>
          <w:p>
            <w:pPr>
              <w:spacing w:after="0"/>
              <w:rPr>
                <w:sz w:val="8"/>
                <w:szCs w:val="8"/>
                <w:color w:val="auto"/>
              </w:rPr>
            </w:pPr>
          </w:p>
        </w:tc>
        <w:tc>
          <w:tcPr>
            <w:tcW w:w="280" w:type="dxa"/>
            <w:vAlign w:val="bottom"/>
            <w:tcBorders>
              <w:bottom w:val="single" w:sz="8" w:color="CFF0FC"/>
            </w:tcBorders>
            <w:shd w:val="clear" w:color="auto" w:fill="CFF0FC"/>
          </w:tcPr>
          <w:p>
            <w:pPr>
              <w:spacing w:after="0"/>
              <w:rPr>
                <w:sz w:val="8"/>
                <w:szCs w:val="8"/>
                <w:color w:val="auto"/>
              </w:rPr>
            </w:pPr>
          </w:p>
        </w:tc>
        <w:tc>
          <w:tcPr>
            <w:tcW w:w="54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8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520" w:type="dxa"/>
            <w:vAlign w:val="bottom"/>
            <w:tcBorders>
              <w:bottom w:val="single" w:sz="8" w:color="CFF0FC"/>
            </w:tcBorders>
            <w:shd w:val="clear" w:color="auto" w:fill="CFF0FC"/>
          </w:tcPr>
          <w:p>
            <w:pPr>
              <w:spacing w:after="0"/>
              <w:rPr>
                <w:sz w:val="8"/>
                <w:szCs w:val="8"/>
                <w:color w:val="auto"/>
              </w:rPr>
            </w:pPr>
          </w:p>
        </w:tc>
        <w:tc>
          <w:tcPr>
            <w:tcW w:w="40" w:type="dxa"/>
            <w:vAlign w:val="bottom"/>
            <w:tcBorders>
              <w:bottom w:val="single" w:sz="8" w:color="CFF0FC"/>
            </w:tcBorders>
            <w:shd w:val="clear" w:color="auto" w:fill="CFF0FC"/>
          </w:tcPr>
          <w:p>
            <w:pPr>
              <w:spacing w:after="0"/>
              <w:rPr>
                <w:sz w:val="8"/>
                <w:szCs w:val="8"/>
                <w:color w:val="auto"/>
              </w:rPr>
            </w:pPr>
          </w:p>
        </w:tc>
        <w:tc>
          <w:tcPr>
            <w:tcW w:w="52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r>
      <w:tr>
        <w:trPr>
          <w:trHeight w:val="102"/>
        </w:trPr>
        <w:tc>
          <w:tcPr>
            <w:tcW w:w="2520" w:type="dxa"/>
            <w:vAlign w:val="bottom"/>
            <w:gridSpan w:val="3"/>
          </w:tcPr>
          <w:p>
            <w:pPr>
              <w:ind w:left="20"/>
              <w:spacing w:after="0" w:line="102" w:lineRule="exact"/>
              <w:rPr>
                <w:sz w:val="20"/>
                <w:szCs w:val="20"/>
                <w:color w:val="auto"/>
              </w:rPr>
            </w:pPr>
            <w:r>
              <w:rPr>
                <w:rFonts w:ascii="Arial" w:cs="Arial" w:eastAsia="Arial" w:hAnsi="Arial"/>
                <w:sz w:val="9"/>
                <w:szCs w:val="9"/>
                <w:i w:val="1"/>
                <w:iCs w:val="1"/>
                <w:color w:val="auto"/>
              </w:rPr>
              <w:t>Hilco Plastics Holdings, LLC (dba Hilco Technologies) (n)</w:t>
            </w:r>
          </w:p>
        </w:tc>
        <w:tc>
          <w:tcPr>
            <w:tcW w:w="1840" w:type="dxa"/>
            <w:vAlign w:val="bottom"/>
          </w:tcPr>
          <w:p>
            <w:pPr>
              <w:ind w:left="140"/>
              <w:spacing w:after="0" w:line="102" w:lineRule="exact"/>
              <w:rPr>
                <w:sz w:val="20"/>
                <w:szCs w:val="20"/>
                <w:color w:val="auto"/>
              </w:rPr>
            </w:pPr>
            <w:r>
              <w:rPr>
                <w:rFonts w:ascii="Arial" w:cs="Arial" w:eastAsia="Arial" w:hAnsi="Arial"/>
                <w:sz w:val="9"/>
                <w:szCs w:val="9"/>
                <w:color w:val="auto"/>
              </w:rPr>
              <w:t>Component Manufacturing</w:t>
            </w: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(Units N/A)</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4/6/2021</w:t>
            </w: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60" w:type="dxa"/>
            <w:vAlign w:val="bottom"/>
            <w:gridSpan w:val="3"/>
            <w:shd w:val="clear" w:color="auto" w:fill="CFF0FC"/>
          </w:tcPr>
          <w:p>
            <w:pPr>
              <w:jc w:val="right"/>
              <w:ind w:right="35"/>
              <w:spacing w:after="0"/>
              <w:rPr>
                <w:sz w:val="20"/>
                <w:szCs w:val="20"/>
                <w:color w:val="auto"/>
              </w:rPr>
            </w:pPr>
            <w:r>
              <w:rPr>
                <w:rFonts w:ascii="Arial" w:cs="Arial" w:eastAsia="Arial" w:hAnsi="Arial"/>
                <w:sz w:val="9"/>
                <w:szCs w:val="9"/>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Mesa Line Services, LLC (n)</w:t>
            </w:r>
          </w:p>
        </w:tc>
        <w:tc>
          <w:tcPr>
            <w:tcW w:w="1840" w:type="dxa"/>
            <w:vAlign w:val="bottom"/>
            <w:shd w:val="clear" w:color="auto" w:fill="CFF0FC"/>
          </w:tcPr>
          <w:p>
            <w:pPr>
              <w:ind w:left="140"/>
              <w:spacing w:after="0"/>
              <w:rPr>
                <w:sz w:val="20"/>
                <w:szCs w:val="20"/>
                <w:color w:val="auto"/>
              </w:rPr>
            </w:pPr>
            <w:r>
              <w:rPr>
                <w:rFonts w:ascii="Arial" w:cs="Arial" w:eastAsia="Arial" w:hAnsi="Arial"/>
                <w:sz w:val="9"/>
                <w:szCs w:val="9"/>
                <w:color w:val="auto"/>
              </w:rPr>
              <w:t>Utilities: Services</w:t>
            </w: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(10 shares) (j)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4/22/2021</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2,151</w:t>
            </w:r>
          </w:p>
        </w:tc>
        <w:tc>
          <w:tcPr>
            <w:tcW w:w="700" w:type="dxa"/>
            <w:vAlign w:val="bottom"/>
            <w:gridSpan w:val="3"/>
          </w:tcPr>
          <w:p>
            <w:pPr>
              <w:jc w:val="right"/>
              <w:ind w:right="4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rPr>
              <w:t>US GreenFiber, LLC (n)</w:t>
            </w:r>
          </w:p>
        </w:tc>
        <w:tc>
          <w:tcPr>
            <w:tcW w:w="1840" w:type="dxa"/>
            <w:vAlign w:val="bottom"/>
          </w:tcPr>
          <w:p>
            <w:pPr>
              <w:ind w:left="140"/>
              <w:spacing w:after="0"/>
              <w:rPr>
                <w:sz w:val="20"/>
                <w:szCs w:val="20"/>
                <w:color w:val="auto"/>
              </w:rPr>
            </w:pPr>
            <w:r>
              <w:rPr>
                <w:rFonts w:ascii="Arial" w:cs="Arial" w:eastAsia="Arial" w:hAnsi="Arial"/>
                <w:sz w:val="9"/>
                <w:szCs w:val="9"/>
                <w:color w:val="auto"/>
              </w:rPr>
              <w:t>Building Products Manufacturing</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Second Lien Debt (j)(y)</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10.00%/3.00%</w:t>
            </w: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7/3/2014</w:t>
            </w:r>
          </w:p>
        </w:tc>
        <w:tc>
          <w:tcPr>
            <w:tcW w:w="760" w:type="dxa"/>
            <w:vAlign w:val="bottom"/>
            <w:shd w:val="clear" w:color="auto" w:fill="CFF0FC"/>
          </w:tcPr>
          <w:p>
            <w:pPr>
              <w:ind w:left="160"/>
              <w:spacing w:after="0"/>
              <w:rPr>
                <w:sz w:val="20"/>
                <w:szCs w:val="20"/>
                <w:color w:val="auto"/>
              </w:rPr>
            </w:pPr>
            <w:r>
              <w:rPr>
                <w:rFonts w:ascii="Arial" w:cs="Arial" w:eastAsia="Arial" w:hAnsi="Arial"/>
                <w:sz w:val="9"/>
                <w:szCs w:val="9"/>
                <w:color w:val="auto"/>
              </w:rPr>
              <w:t>8/30/2024</w:t>
            </w:r>
          </w:p>
        </w:tc>
        <w:tc>
          <w:tcPr>
            <w:tcW w:w="2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5,226</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5,223</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(2,522 units) (h)(j)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7/3/2014</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586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(425,508 units) (j)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8/30/2019</w:t>
            </w: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(1,022,813 units) (h)(j)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7/1/2020</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1,023</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84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6,833</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w:t>
            </w:r>
          </w:p>
        </w:tc>
        <w:tc>
          <w:tcPr>
            <w:tcW w:w="700" w:type="dxa"/>
            <w:vAlign w:val="bottom"/>
            <w:gridSpan w:val="3"/>
            <w:shd w:val="clear" w:color="auto" w:fill="CFF0FC"/>
          </w:tcPr>
          <w:p>
            <w:pPr>
              <w:jc w:val="right"/>
              <w:ind w:right="40"/>
              <w:spacing w:after="0" w:line="102" w:lineRule="exact"/>
              <w:rPr>
                <w:sz w:val="20"/>
                <w:szCs w:val="20"/>
                <w:color w:val="auto"/>
              </w:rPr>
            </w:pPr>
            <w:r>
              <w:rPr>
                <w:rFonts w:ascii="Arial" w:cs="Arial" w:eastAsia="Arial" w:hAnsi="Arial"/>
                <w:sz w:val="9"/>
                <w:szCs w:val="9"/>
                <w:color w:val="auto"/>
              </w:rPr>
              <w:t>0 %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42"/>
        </w:trPr>
        <w:tc>
          <w:tcPr>
            <w:tcW w:w="2520" w:type="dxa"/>
            <w:vAlign w:val="bottom"/>
            <w:tcBorders>
              <w:left w:val="single" w:sz="8" w:color="CFF0FC"/>
              <w:bottom w:val="single" w:sz="8" w:color="CFF0FC"/>
            </w:tcBorders>
            <w:gridSpan w:val="3"/>
            <w:shd w:val="clear" w:color="auto" w:fill="CFF0FC"/>
          </w:tcPr>
          <w:p>
            <w:pPr>
              <w:ind w:left="20"/>
              <w:spacing w:after="0" w:line="102" w:lineRule="exact"/>
              <w:rPr>
                <w:sz w:val="20"/>
                <w:szCs w:val="20"/>
                <w:color w:val="auto"/>
              </w:rPr>
            </w:pPr>
            <w:r>
              <w:rPr>
                <w:rFonts w:ascii="Arial" w:cs="Arial" w:eastAsia="Arial" w:hAnsi="Arial"/>
                <w:sz w:val="9"/>
                <w:szCs w:val="9"/>
                <w:b w:val="1"/>
                <w:bCs w:val="1"/>
                <w:color w:val="auto"/>
              </w:rPr>
              <w:t>Total Control Investments</w:t>
            </w:r>
          </w:p>
        </w:tc>
        <w:tc>
          <w:tcPr>
            <w:tcW w:w="184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gridSpan w:val="2"/>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35"/>
              <w:spacing w:after="0" w:line="102"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6,833</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2,151</w:t>
            </w:r>
          </w:p>
        </w:tc>
        <w:tc>
          <w:tcPr>
            <w:tcW w:w="700" w:type="dxa"/>
            <w:vAlign w:val="bottom"/>
            <w:tcBorders>
              <w:bottom w:val="single" w:sz="8" w:color="CFF0FC"/>
            </w:tcBorders>
            <w:gridSpan w:val="3"/>
            <w:shd w:val="clear" w:color="auto" w:fill="CFF0FC"/>
          </w:tcPr>
          <w:p>
            <w:pPr>
              <w:jc w:val="right"/>
              <w:ind w:right="40"/>
              <w:spacing w:after="0" w:line="102" w:lineRule="exact"/>
              <w:rPr>
                <w:sz w:val="20"/>
                <w:szCs w:val="20"/>
                <w:color w:val="auto"/>
              </w:rPr>
            </w:pPr>
            <w:r>
              <w:rPr>
                <w:rFonts w:ascii="Arial" w:cs="Arial" w:eastAsia="Arial" w:hAnsi="Arial"/>
                <w:sz w:val="9"/>
                <w:szCs w:val="9"/>
                <w:color w:val="auto"/>
              </w:rPr>
              <w:t>0 %</w:t>
            </w:r>
          </w:p>
        </w:tc>
      </w:tr>
      <w:tr>
        <w:trPr>
          <w:trHeight w:val="88"/>
        </w:trPr>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4"/>
        </w:trPr>
        <w:tc>
          <w:tcPr>
            <w:tcW w:w="2520" w:type="dxa"/>
            <w:vAlign w:val="bottom"/>
            <w:tcBorders>
              <w:left w:val="single" w:sz="8" w:color="CFF0FC"/>
            </w:tcBorders>
            <w:gridSpan w:val="3"/>
            <w:shd w:val="clear" w:color="auto" w:fill="CFF0FC"/>
          </w:tcPr>
          <w:p>
            <w:pPr>
              <w:ind w:left="20"/>
              <w:spacing w:after="0" w:line="95" w:lineRule="exact"/>
              <w:rPr>
                <w:sz w:val="20"/>
                <w:szCs w:val="20"/>
                <w:color w:val="auto"/>
              </w:rPr>
            </w:pPr>
            <w:r>
              <w:rPr>
                <w:rFonts w:ascii="Arial" w:cs="Arial" w:eastAsia="Arial" w:hAnsi="Arial"/>
                <w:sz w:val="9"/>
                <w:szCs w:val="9"/>
                <w:b w:val="1"/>
                <w:bCs w:val="1"/>
                <w:color w:val="auto"/>
              </w:rPr>
              <w:t>Affiliate Investments (l)</w:t>
            </w:r>
          </w:p>
        </w:tc>
        <w:tc>
          <w:tcPr>
            <w:tcW w:w="184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r>
      <w:tr>
        <w:trPr>
          <w:trHeight w:val="20"/>
        </w:trPr>
        <w:tc>
          <w:tcPr>
            <w:tcW w:w="92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02"/>
        </w:trPr>
        <w:tc>
          <w:tcPr>
            <w:tcW w:w="2520" w:type="dxa"/>
            <w:vAlign w:val="bottom"/>
            <w:gridSpan w:val="3"/>
          </w:tcPr>
          <w:p>
            <w:pPr>
              <w:ind w:left="20"/>
              <w:spacing w:after="0" w:line="102" w:lineRule="exact"/>
              <w:rPr>
                <w:sz w:val="20"/>
                <w:szCs w:val="20"/>
                <w:color w:val="auto"/>
              </w:rPr>
            </w:pPr>
            <w:r>
              <w:rPr>
                <w:rFonts w:ascii="Arial" w:cs="Arial" w:eastAsia="Arial" w:hAnsi="Arial"/>
                <w:sz w:val="9"/>
                <w:szCs w:val="9"/>
                <w:i w:val="1"/>
                <w:iCs w:val="1"/>
                <w:color w:val="auto"/>
                <w:w w:val="95"/>
              </w:rPr>
              <w:t>Applegate Greenfiber Intermediate Inc. (fka US GreenFiber, LLC)</w:t>
            </w:r>
          </w:p>
        </w:tc>
        <w:tc>
          <w:tcPr>
            <w:tcW w:w="1840" w:type="dxa"/>
            <w:vAlign w:val="bottom"/>
          </w:tcPr>
          <w:p>
            <w:pPr>
              <w:ind w:left="140"/>
              <w:spacing w:after="0" w:line="102" w:lineRule="exact"/>
              <w:rPr>
                <w:sz w:val="20"/>
                <w:szCs w:val="20"/>
                <w:color w:val="auto"/>
              </w:rPr>
            </w:pPr>
            <w:r>
              <w:rPr>
                <w:rFonts w:ascii="Arial" w:cs="Arial" w:eastAsia="Arial" w:hAnsi="Arial"/>
                <w:sz w:val="9"/>
                <w:szCs w:val="9"/>
                <w:color w:val="auto"/>
              </w:rPr>
              <w:t>Building Products Manufacturing</w:t>
            </w: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Subordinated Debt (j)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5.00%/5.00%</w:t>
            </w: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12/31/2021</w:t>
            </w:r>
          </w:p>
        </w:tc>
        <w:tc>
          <w:tcPr>
            <w:tcW w:w="760" w:type="dxa"/>
            <w:vAlign w:val="bottom"/>
            <w:shd w:val="clear" w:color="auto" w:fill="CFF0FC"/>
          </w:tcPr>
          <w:p>
            <w:pPr>
              <w:ind w:left="160"/>
              <w:spacing w:after="0"/>
              <w:rPr>
                <w:sz w:val="20"/>
                <w:szCs w:val="20"/>
                <w:color w:val="auto"/>
              </w:rPr>
            </w:pPr>
            <w:r>
              <w:rPr>
                <w:rFonts w:ascii="Arial" w:cs="Arial" w:eastAsia="Arial" w:hAnsi="Arial"/>
                <w:sz w:val="9"/>
                <w:szCs w:val="9"/>
                <w:color w:val="auto"/>
              </w:rPr>
              <w:t>12/31/2027</w:t>
            </w:r>
          </w:p>
        </w:tc>
        <w:tc>
          <w:tcPr>
            <w:tcW w:w="2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9,602</w:t>
            </w:r>
          </w:p>
        </w:tc>
        <w:tc>
          <w:tcPr>
            <w:tcW w:w="260" w:type="dxa"/>
            <w:vAlign w:val="bottom"/>
            <w:gridSpan w:val="3"/>
            <w:shd w:val="clear" w:color="auto" w:fill="CFF0FC"/>
          </w:tcPr>
          <w:p>
            <w:pPr>
              <w:jc w:val="right"/>
              <w:ind w:right="35"/>
              <w:spacing w:after="0"/>
              <w:rPr>
                <w:sz w:val="20"/>
                <w:szCs w:val="20"/>
                <w:color w:val="auto"/>
              </w:rPr>
            </w:pPr>
            <w:r>
              <w:rPr>
                <w:rFonts w:ascii="Arial" w:cs="Arial" w:eastAsia="Arial" w:hAnsi="Arial"/>
                <w:sz w:val="9"/>
                <w:szCs w:val="9"/>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9,602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9,602</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(5,690units) (j)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12/31/2021</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5,690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5,690</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(7,113 units) (j)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12/31/2021</w:t>
            </w: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7,113</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7,113</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(2,012units) (j)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12/31/2021</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84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22,405</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22,405</w:t>
            </w:r>
          </w:p>
        </w:tc>
        <w:tc>
          <w:tcPr>
            <w:tcW w:w="700" w:type="dxa"/>
            <w:vAlign w:val="bottom"/>
            <w:gridSpan w:val="3"/>
            <w:shd w:val="clear" w:color="auto" w:fill="CFF0FC"/>
          </w:tcPr>
          <w:p>
            <w:pPr>
              <w:jc w:val="right"/>
              <w:ind w:right="40"/>
              <w:spacing w:after="0" w:line="102" w:lineRule="exact"/>
              <w:rPr>
                <w:sz w:val="20"/>
                <w:szCs w:val="20"/>
                <w:color w:val="auto"/>
              </w:rPr>
            </w:pPr>
            <w:r>
              <w:rPr>
                <w:rFonts w:ascii="Arial" w:cs="Arial" w:eastAsia="Arial" w:hAnsi="Arial"/>
                <w:sz w:val="9"/>
                <w:szCs w:val="9"/>
                <w:color w:val="auto"/>
              </w:rPr>
              <w:t>4 %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FAR Research Inc. (n)</w:t>
            </w:r>
          </w:p>
        </w:tc>
        <w:tc>
          <w:tcPr>
            <w:tcW w:w="1840" w:type="dxa"/>
            <w:vAlign w:val="bottom"/>
            <w:shd w:val="clear" w:color="auto" w:fill="CFF0FC"/>
          </w:tcPr>
          <w:p>
            <w:pPr>
              <w:ind w:left="140"/>
              <w:spacing w:after="0"/>
              <w:rPr>
                <w:sz w:val="20"/>
                <w:szCs w:val="20"/>
                <w:color w:val="auto"/>
              </w:rPr>
            </w:pPr>
            <w:r>
              <w:rPr>
                <w:rFonts w:ascii="Arial" w:cs="Arial" w:eastAsia="Arial" w:hAnsi="Arial"/>
                <w:sz w:val="9"/>
                <w:szCs w:val="9"/>
                <w:color w:val="auto"/>
              </w:rPr>
              <w:t>Specialty Chemicals</w:t>
            </w: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(1,396 units)</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3/31/2014</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28</w:t>
            </w:r>
          </w:p>
        </w:tc>
        <w:tc>
          <w:tcPr>
            <w:tcW w:w="700" w:type="dxa"/>
            <w:vAlign w:val="bottom"/>
            <w:gridSpan w:val="3"/>
          </w:tcPr>
          <w:p>
            <w:pPr>
              <w:jc w:val="right"/>
              <w:ind w:right="4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rPr>
              <w:t>Medsurant Holdings, LLC</w:t>
            </w:r>
          </w:p>
        </w:tc>
        <w:tc>
          <w:tcPr>
            <w:tcW w:w="1840" w:type="dxa"/>
            <w:vAlign w:val="bottom"/>
          </w:tcPr>
          <w:p>
            <w:pPr>
              <w:ind w:left="140"/>
              <w:spacing w:after="0"/>
              <w:rPr>
                <w:sz w:val="20"/>
                <w:szCs w:val="20"/>
                <w:color w:val="auto"/>
              </w:rPr>
            </w:pPr>
            <w:r>
              <w:rPr>
                <w:rFonts w:ascii="Arial" w:cs="Arial" w:eastAsia="Arial" w:hAnsi="Arial"/>
                <w:sz w:val="9"/>
                <w:szCs w:val="9"/>
                <w:color w:val="auto"/>
              </w:rPr>
              <w:t>Healthcare Services</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(84,997 units) (h)(j)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4/12/2011</w:t>
            </w: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716</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833</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Warrant (252,588 units) (h)(j)(m)</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4/12/2011</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2,258</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2,829</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84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2,974</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3,662</w:t>
            </w:r>
          </w:p>
        </w:tc>
        <w:tc>
          <w:tcPr>
            <w:tcW w:w="700" w:type="dxa"/>
            <w:vAlign w:val="bottom"/>
            <w:gridSpan w:val="3"/>
            <w:shd w:val="clear" w:color="auto" w:fill="CFF0FC"/>
          </w:tcPr>
          <w:p>
            <w:pPr>
              <w:jc w:val="right"/>
              <w:ind w:right="40"/>
              <w:spacing w:after="0" w:line="102" w:lineRule="exact"/>
              <w:rPr>
                <w:sz w:val="20"/>
                <w:szCs w:val="20"/>
                <w:color w:val="auto"/>
              </w:rPr>
            </w:pPr>
            <w:r>
              <w:rPr>
                <w:rFonts w:ascii="Arial" w:cs="Arial" w:eastAsia="Arial" w:hAnsi="Arial"/>
                <w:sz w:val="9"/>
                <w:szCs w:val="9"/>
                <w:color w:val="auto"/>
              </w:rPr>
              <w:t>1 %</w:t>
            </w:r>
          </w:p>
        </w:tc>
      </w:t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rPr>
              <w:t>Mirage Trailers LLC</w:t>
            </w:r>
          </w:p>
        </w:tc>
        <w:tc>
          <w:tcPr>
            <w:tcW w:w="1840" w:type="dxa"/>
            <w:vAlign w:val="bottom"/>
          </w:tcPr>
          <w:p>
            <w:pPr>
              <w:ind w:left="140"/>
              <w:spacing w:after="0"/>
              <w:rPr>
                <w:sz w:val="20"/>
                <w:szCs w:val="20"/>
                <w:color w:val="auto"/>
              </w:rPr>
            </w:pPr>
            <w:r>
              <w:rPr>
                <w:rFonts w:ascii="Arial" w:cs="Arial" w:eastAsia="Arial" w:hAnsi="Arial"/>
                <w:sz w:val="9"/>
                <w:szCs w:val="9"/>
                <w:color w:val="auto"/>
              </w:rPr>
              <w:t>Utility Equipment Manufacturing</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Second Lien Debt (k)</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ind w:left="340"/>
              <w:spacing w:after="0"/>
              <w:rPr>
                <w:sz w:val="20"/>
                <w:szCs w:val="20"/>
                <w:color w:val="auto"/>
              </w:rPr>
            </w:pPr>
            <w:r>
              <w:rPr>
                <w:rFonts w:ascii="Arial" w:cs="Arial" w:eastAsia="Arial" w:hAnsi="Arial"/>
                <w:sz w:val="9"/>
                <w:szCs w:val="9"/>
                <w:color w:val="auto"/>
              </w:rPr>
              <w:t>(L + 10.00%) / (1.00%)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11.00%/5.00%</w:t>
            </w: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11/25/2015</w:t>
            </w:r>
          </w:p>
        </w:tc>
        <w:tc>
          <w:tcPr>
            <w:tcW w:w="760" w:type="dxa"/>
            <w:vAlign w:val="bottom"/>
            <w:shd w:val="clear" w:color="auto" w:fill="CFF0FC"/>
          </w:tcPr>
          <w:p>
            <w:pPr>
              <w:ind w:left="160"/>
              <w:spacing w:after="0"/>
              <w:rPr>
                <w:sz w:val="20"/>
                <w:szCs w:val="20"/>
                <w:color w:val="auto"/>
              </w:rPr>
            </w:pPr>
            <w:r>
              <w:rPr>
                <w:rFonts w:ascii="Arial" w:cs="Arial" w:eastAsia="Arial" w:hAnsi="Arial"/>
                <w:sz w:val="9"/>
                <w:szCs w:val="9"/>
                <w:color w:val="auto"/>
              </w:rPr>
              <w:t>4/30/2022</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6,705</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6,793</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6,705</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(2,500,000 shares)</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11/25/2015</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2,188</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3,970</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84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8,981</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10,675</w:t>
            </w:r>
          </w:p>
        </w:tc>
        <w:tc>
          <w:tcPr>
            <w:tcW w:w="700" w:type="dxa"/>
            <w:vAlign w:val="bottom"/>
            <w:gridSpan w:val="3"/>
            <w:shd w:val="clear" w:color="auto" w:fill="CFF0FC"/>
          </w:tcPr>
          <w:p>
            <w:pPr>
              <w:jc w:val="right"/>
              <w:ind w:right="40"/>
              <w:spacing w:after="0" w:line="102" w:lineRule="exact"/>
              <w:rPr>
                <w:sz w:val="20"/>
                <w:szCs w:val="20"/>
                <w:color w:val="auto"/>
              </w:rPr>
            </w:pPr>
            <w:r>
              <w:rPr>
                <w:rFonts w:ascii="Arial" w:cs="Arial" w:eastAsia="Arial" w:hAnsi="Arial"/>
                <w:sz w:val="9"/>
                <w:szCs w:val="9"/>
                <w:color w:val="auto"/>
              </w:rPr>
              <w:t>2 %</w:t>
            </w:r>
          </w:p>
        </w:tc>
      </w:t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rPr>
              <w:t>Pfanstiehl, Inc.</w:t>
            </w:r>
          </w:p>
        </w:tc>
        <w:tc>
          <w:tcPr>
            <w:tcW w:w="1840" w:type="dxa"/>
            <w:vAlign w:val="bottom"/>
          </w:tcPr>
          <w:p>
            <w:pPr>
              <w:ind w:left="140"/>
              <w:spacing w:after="0"/>
              <w:rPr>
                <w:sz w:val="20"/>
                <w:szCs w:val="20"/>
                <w:color w:val="auto"/>
              </w:rPr>
            </w:pPr>
            <w:r>
              <w:rPr>
                <w:rFonts w:ascii="Arial" w:cs="Arial" w:eastAsia="Arial" w:hAnsi="Arial"/>
                <w:sz w:val="9"/>
                <w:szCs w:val="9"/>
                <w:color w:val="auto"/>
              </w:rPr>
              <w:t>Healthcare Products</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(4,250 units) (j)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3/29/2013</w:t>
            </w: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425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57,639</w:t>
            </w: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9"/>
                <w:szCs w:val="9"/>
                <w:color w:val="auto"/>
              </w:rPr>
              <w:t>12 %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Pinnergy, Ltd.</w:t>
            </w:r>
          </w:p>
        </w:tc>
        <w:tc>
          <w:tcPr>
            <w:tcW w:w="1840" w:type="dxa"/>
            <w:vAlign w:val="bottom"/>
            <w:shd w:val="clear" w:color="auto" w:fill="CFF0FC"/>
          </w:tcPr>
          <w:p>
            <w:pPr>
              <w:ind w:left="140"/>
              <w:spacing w:after="0"/>
              <w:rPr>
                <w:sz w:val="20"/>
                <w:szCs w:val="20"/>
                <w:color w:val="auto"/>
              </w:rPr>
            </w:pPr>
            <w:r>
              <w:rPr>
                <w:rFonts w:ascii="Arial" w:cs="Arial" w:eastAsia="Arial" w:hAnsi="Arial"/>
                <w:sz w:val="9"/>
                <w:szCs w:val="9"/>
                <w:color w:val="auto"/>
              </w:rPr>
              <w:t>Oil &amp; Gas Services</w:t>
            </w: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 Class A-2 (42,500 units) (j)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10/13/2016</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3,000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21,178</w:t>
            </w:r>
          </w:p>
        </w:tc>
        <w:tc>
          <w:tcPr>
            <w:tcW w:w="700" w:type="dxa"/>
            <w:vAlign w:val="bottom"/>
            <w:gridSpan w:val="3"/>
          </w:tcPr>
          <w:p>
            <w:pPr>
              <w:jc w:val="right"/>
              <w:ind w:right="40"/>
              <w:spacing w:after="0"/>
              <w:rPr>
                <w:sz w:val="20"/>
                <w:szCs w:val="20"/>
                <w:color w:val="auto"/>
              </w:rPr>
            </w:pPr>
            <w:r>
              <w:rPr>
                <w:rFonts w:ascii="Arial" w:cs="Arial" w:eastAsia="Arial" w:hAnsi="Arial"/>
                <w:sz w:val="9"/>
                <w:szCs w:val="9"/>
                <w:color w:val="auto"/>
              </w:rPr>
              <w:t>4 %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rPr>
              <w:t>Spectra A&amp;D Acquisition, Inc. (fka FDS Avionics Corp.)</w:t>
            </w:r>
          </w:p>
        </w:tc>
        <w:tc>
          <w:tcPr>
            <w:tcW w:w="1840" w:type="dxa"/>
            <w:vAlign w:val="bottom"/>
          </w:tcPr>
          <w:p>
            <w:pPr>
              <w:ind w:left="140"/>
              <w:spacing w:after="0"/>
              <w:rPr>
                <w:sz w:val="20"/>
                <w:szCs w:val="20"/>
                <w:color w:val="auto"/>
              </w:rPr>
            </w:pPr>
            <w:r>
              <w:rPr>
                <w:rFonts w:ascii="Arial" w:cs="Arial" w:eastAsia="Arial" w:hAnsi="Arial"/>
                <w:sz w:val="9"/>
                <w:szCs w:val="9"/>
                <w:color w:val="auto"/>
              </w:rPr>
              <w:t>Aerospace &amp; Defense Manufacturing</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(k)(ag)</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ind w:left="340"/>
              <w:spacing w:after="0"/>
              <w:rPr>
                <w:sz w:val="20"/>
                <w:szCs w:val="20"/>
                <w:color w:val="auto"/>
              </w:rPr>
            </w:pPr>
            <w:r>
              <w:rPr>
                <w:rFonts w:ascii="Arial" w:cs="Arial" w:eastAsia="Arial" w:hAnsi="Arial"/>
                <w:sz w:val="9"/>
                <w:szCs w:val="9"/>
                <w:color w:val="auto"/>
              </w:rPr>
              <w:t>(L + 5.50%) / (1.00%)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6.50%/0.00%</w:t>
            </w: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2/12/2021</w:t>
            </w:r>
          </w:p>
        </w:tc>
        <w:tc>
          <w:tcPr>
            <w:tcW w:w="760" w:type="dxa"/>
            <w:vAlign w:val="bottom"/>
            <w:shd w:val="clear" w:color="auto" w:fill="CFF0FC"/>
          </w:tcPr>
          <w:p>
            <w:pPr>
              <w:ind w:left="160"/>
              <w:spacing w:after="0"/>
              <w:rPr>
                <w:sz w:val="20"/>
                <w:szCs w:val="20"/>
                <w:color w:val="auto"/>
              </w:rPr>
            </w:pPr>
            <w:r>
              <w:rPr>
                <w:rFonts w:ascii="Arial" w:cs="Arial" w:eastAsia="Arial" w:hAnsi="Arial"/>
                <w:sz w:val="9"/>
                <w:szCs w:val="9"/>
                <w:color w:val="auto"/>
              </w:rPr>
              <w:t>2/11/2026</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13,000</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12,921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13,000</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(41,290 units) (j)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2/12/2021</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2,609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4,129</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(12,035 units) (j)</w:t>
            </w:r>
          </w:p>
        </w:tc>
        <w:tc>
          <w:tcPr>
            <w:tcW w:w="1840" w:type="dxa"/>
            <w:vAlign w:val="bottom"/>
            <w:tcBorders>
              <w:bottom w:val="single" w:sz="8" w:color="CFF0FC"/>
            </w:tcBorders>
            <w:shd w:val="clear" w:color="auto" w:fill="CFF0FC"/>
          </w:tcPr>
          <w:p>
            <w:pPr>
              <w:spacing w:after="0"/>
              <w:rPr>
                <w:sz w:val="9"/>
                <w:szCs w:val="9"/>
                <w:color w:val="auto"/>
              </w:rPr>
            </w:pPr>
          </w:p>
        </w:tc>
        <w:tc>
          <w:tcPr>
            <w:tcW w:w="13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8/25/2021</w:t>
            </w:r>
          </w:p>
        </w:tc>
        <w:tc>
          <w:tcPr>
            <w:tcW w:w="76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1,204</w:t>
            </w: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1,230</w:t>
            </w:r>
          </w:p>
        </w:tc>
        <w:tc>
          <w:tcPr>
            <w:tcW w:w="4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16,734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9"/>
                <w:szCs w:val="9"/>
                <w:color w:val="auto"/>
              </w:rPr>
              <w:t>18,359</w:t>
            </w:r>
          </w:p>
        </w:tc>
        <w:tc>
          <w:tcPr>
            <w:tcW w:w="700" w:type="dxa"/>
            <w:vAlign w:val="bottom"/>
            <w:gridSpan w:val="3"/>
          </w:tcPr>
          <w:p>
            <w:pPr>
              <w:jc w:val="right"/>
              <w:ind w:right="40"/>
              <w:spacing w:after="0" w:line="102" w:lineRule="exact"/>
              <w:rPr>
                <w:sz w:val="20"/>
                <w:szCs w:val="20"/>
                <w:color w:val="auto"/>
              </w:rPr>
            </w:pPr>
            <w:r>
              <w:rPr>
                <w:rFonts w:ascii="Arial" w:cs="Arial" w:eastAsia="Arial" w:hAnsi="Arial"/>
                <w:sz w:val="9"/>
                <w:szCs w:val="9"/>
                <w:color w:val="auto"/>
              </w:rPr>
              <w:t>4 %</w:t>
            </w: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Steward Holding LLC (dba Steward Advanced Materials)</w:t>
            </w:r>
          </w:p>
        </w:tc>
        <w:tc>
          <w:tcPr>
            <w:tcW w:w="1840" w:type="dxa"/>
            <w:vAlign w:val="bottom"/>
            <w:shd w:val="clear" w:color="auto" w:fill="CFF0FC"/>
          </w:tcPr>
          <w:p>
            <w:pPr>
              <w:ind w:left="140"/>
              <w:spacing w:after="0"/>
              <w:rPr>
                <w:sz w:val="20"/>
                <w:szCs w:val="20"/>
                <w:color w:val="auto"/>
              </w:rPr>
            </w:pPr>
            <w:r>
              <w:rPr>
                <w:rFonts w:ascii="Arial" w:cs="Arial" w:eastAsia="Arial" w:hAnsi="Arial"/>
                <w:sz w:val="9"/>
                <w:szCs w:val="9"/>
                <w:color w:val="auto"/>
              </w:rPr>
              <w:t>Aerospace &amp; Defense Manufacturing</w:t>
            </w: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(1,000,000 units)</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11/12/2015</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3,338</w:t>
            </w:r>
          </w:p>
        </w:tc>
        <w:tc>
          <w:tcPr>
            <w:tcW w:w="700" w:type="dxa"/>
            <w:vAlign w:val="bottom"/>
            <w:gridSpan w:val="3"/>
          </w:tcPr>
          <w:p>
            <w:pPr>
              <w:jc w:val="right"/>
              <w:ind w:right="40"/>
              <w:spacing w:after="0"/>
              <w:rPr>
                <w:sz w:val="20"/>
                <w:szCs w:val="20"/>
                <w:color w:val="auto"/>
              </w:rPr>
            </w:pPr>
            <w:r>
              <w:rPr>
                <w:rFonts w:ascii="Arial" w:cs="Arial" w:eastAsia="Arial" w:hAnsi="Arial"/>
                <w:sz w:val="9"/>
                <w:szCs w:val="9"/>
                <w:color w:val="auto"/>
              </w:rPr>
              <w:t>1 %</w:t>
            </w:r>
          </w:p>
        </w:tc>
      </w:tr>
      <w:tr>
        <w:trPr>
          <w:trHeight w:val="108"/>
        </w:trPr>
        <w:tc>
          <w:tcPr>
            <w:tcW w:w="920" w:type="dxa"/>
            <w:vAlign w:val="bottom"/>
            <w:tcBorders>
              <w:left w:val="single" w:sz="8" w:color="CFF0FC"/>
              <w:bottom w:val="single" w:sz="8" w:color="CFF0FC"/>
            </w:tcBorders>
            <w:shd w:val="clear" w:color="auto" w:fill="CFF0FC"/>
          </w:tcPr>
          <w:p>
            <w:pPr>
              <w:spacing w:after="0"/>
              <w:rPr>
                <w:sz w:val="9"/>
                <w:szCs w:val="9"/>
                <w:color w:val="auto"/>
              </w:rPr>
            </w:pPr>
          </w:p>
        </w:tc>
        <w:tc>
          <w:tcPr>
            <w:tcW w:w="560" w:type="dxa"/>
            <w:vAlign w:val="bottom"/>
            <w:tcBorders>
              <w:bottom w:val="single" w:sz="8" w:color="CFF0FC"/>
            </w:tcBorders>
            <w:shd w:val="clear" w:color="auto" w:fill="CFF0FC"/>
          </w:tcPr>
          <w:p>
            <w:pPr>
              <w:spacing w:after="0"/>
              <w:rPr>
                <w:sz w:val="9"/>
                <w:szCs w:val="9"/>
                <w:color w:val="auto"/>
              </w:rPr>
            </w:pPr>
          </w:p>
        </w:tc>
        <w:tc>
          <w:tcPr>
            <w:tcW w:w="1040" w:type="dxa"/>
            <w:vAlign w:val="bottom"/>
            <w:tcBorders>
              <w:bottom w:val="single" w:sz="8" w:color="CFF0FC"/>
            </w:tcBorders>
            <w:shd w:val="clear" w:color="auto" w:fill="CFF0FC"/>
          </w:tcPr>
          <w:p>
            <w:pPr>
              <w:spacing w:after="0"/>
              <w:rPr>
                <w:sz w:val="9"/>
                <w:szCs w:val="9"/>
                <w:color w:val="auto"/>
              </w:rPr>
            </w:pPr>
          </w:p>
        </w:tc>
        <w:tc>
          <w:tcPr>
            <w:tcW w:w="1840" w:type="dxa"/>
            <w:vAlign w:val="bottom"/>
            <w:tcBorders>
              <w:bottom w:val="single" w:sz="8" w:color="CFF0FC"/>
            </w:tcBorders>
            <w:shd w:val="clear" w:color="auto" w:fill="CFF0FC"/>
          </w:tcPr>
          <w:p>
            <w:pPr>
              <w:spacing w:after="0"/>
              <w:rPr>
                <w:sz w:val="9"/>
                <w:szCs w:val="9"/>
                <w:color w:val="auto"/>
              </w:rPr>
            </w:pPr>
          </w:p>
        </w:tc>
        <w:tc>
          <w:tcPr>
            <w:tcW w:w="13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gridSpan w:val="2"/>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spacing w:after="0"/>
              <w:rPr>
                <w:sz w:val="9"/>
                <w:szCs w:val="9"/>
                <w:color w:val="auto"/>
              </w:rPr>
            </w:pPr>
          </w:p>
        </w:tc>
        <w:tc>
          <w:tcPr>
            <w:tcW w:w="4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r>
      <w:tr>
        <w:trPr>
          <w:trHeight w:val="101"/>
        </w:trPr>
        <w:tc>
          <w:tcPr>
            <w:tcW w:w="2520" w:type="dxa"/>
            <w:vAlign w:val="bottom"/>
            <w:gridSpan w:val="3"/>
          </w:tcPr>
          <w:p>
            <w:pPr>
              <w:ind w:left="20"/>
              <w:spacing w:after="0" w:line="102" w:lineRule="exact"/>
              <w:rPr>
                <w:sz w:val="20"/>
                <w:szCs w:val="20"/>
                <w:color w:val="auto"/>
              </w:rPr>
            </w:pPr>
            <w:r>
              <w:rPr>
                <w:rFonts w:ascii="Arial" w:cs="Arial" w:eastAsia="Arial" w:hAnsi="Arial"/>
                <w:sz w:val="9"/>
                <w:szCs w:val="9"/>
                <w:b w:val="1"/>
                <w:bCs w:val="1"/>
                <w:color w:val="auto"/>
              </w:rPr>
              <w:t>Total Affiliate Investments</w:t>
            </w:r>
          </w:p>
        </w:tc>
        <w:tc>
          <w:tcPr>
            <w:tcW w:w="18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gridSpan w:val="3"/>
          </w:tcPr>
          <w:p>
            <w:pPr>
              <w:jc w:val="right"/>
              <w:ind w:right="35"/>
              <w:spacing w:after="0" w:line="102"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55,519</w:t>
            </w:r>
          </w:p>
        </w:tc>
        <w:tc>
          <w:tcPr>
            <w:tcW w:w="22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jc w:val="right"/>
              <w:spacing w:after="0" w:line="102" w:lineRule="exact"/>
              <w:rPr>
                <w:sz w:val="20"/>
                <w:szCs w:val="20"/>
                <w:color w:val="auto"/>
              </w:rPr>
            </w:pPr>
            <w:r>
              <w:rPr>
                <w:rFonts w:ascii="Arial" w:cs="Arial" w:eastAsia="Arial" w:hAnsi="Arial"/>
                <w:sz w:val="9"/>
                <w:szCs w:val="9"/>
                <w:color w:val="auto"/>
              </w:rPr>
              <w:t>137,284</w:t>
            </w:r>
          </w:p>
        </w:tc>
        <w:tc>
          <w:tcPr>
            <w:tcW w:w="700" w:type="dxa"/>
            <w:vAlign w:val="bottom"/>
            <w:gridSpan w:val="3"/>
          </w:tcPr>
          <w:p>
            <w:pPr>
              <w:jc w:val="right"/>
              <w:ind w:right="40"/>
              <w:spacing w:after="0" w:line="102" w:lineRule="exact"/>
              <w:rPr>
                <w:sz w:val="20"/>
                <w:szCs w:val="20"/>
                <w:color w:val="auto"/>
              </w:rPr>
            </w:pPr>
            <w:r>
              <w:rPr>
                <w:rFonts w:ascii="Arial" w:cs="Arial" w:eastAsia="Arial" w:hAnsi="Arial"/>
                <w:sz w:val="9"/>
                <w:szCs w:val="9"/>
                <w:color w:val="auto"/>
              </w:rPr>
              <w:t>28 %</w:t>
            </w: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8"/>
        </w:trPr>
        <w:tc>
          <w:tcPr>
            <w:tcW w:w="920" w:type="dxa"/>
            <w:vAlign w:val="bottom"/>
            <w:tcBorders>
              <w:left w:val="single" w:sz="8" w:color="CFF0FC"/>
            </w:tcBorders>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840" w:type="dxa"/>
            <w:vAlign w:val="bottom"/>
            <w:shd w:val="clear" w:color="auto" w:fill="CFF0FC"/>
          </w:tcPr>
          <w:p>
            <w:pPr>
              <w:spacing w:after="0"/>
              <w:rPr>
                <w:sz w:val="7"/>
                <w:szCs w:val="7"/>
                <w:color w:val="auto"/>
              </w:rPr>
            </w:pPr>
          </w:p>
        </w:tc>
        <w:tc>
          <w:tcPr>
            <w:tcW w:w="138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r>
      <w:tr>
        <w:trPr>
          <w:trHeight w:val="95"/>
        </w:trPr>
        <w:tc>
          <w:tcPr>
            <w:tcW w:w="1480" w:type="dxa"/>
            <w:vAlign w:val="bottom"/>
            <w:tcBorders>
              <w:bottom w:val="single" w:sz="8" w:color="auto"/>
            </w:tcBorders>
            <w:gridSpan w:val="2"/>
          </w:tcPr>
          <w:p>
            <w:pPr>
              <w:ind w:left="20"/>
              <w:spacing w:after="0" w:line="95" w:lineRule="exact"/>
              <w:rPr>
                <w:sz w:val="20"/>
                <w:szCs w:val="20"/>
                <w:color w:val="auto"/>
              </w:rPr>
            </w:pPr>
            <w:r>
              <w:rPr>
                <w:rFonts w:ascii="Arial" w:cs="Arial" w:eastAsia="Arial" w:hAnsi="Arial"/>
                <w:sz w:val="9"/>
                <w:szCs w:val="9"/>
                <w:b w:val="1"/>
                <w:bCs w:val="1"/>
                <w:color w:val="auto"/>
                <w:w w:val="89"/>
              </w:rPr>
              <w:t>Non-control/Non-affiliate Investments</w:t>
            </w:r>
          </w:p>
        </w:tc>
        <w:tc>
          <w:tcPr>
            <w:tcW w:w="1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2520" w:type="dxa"/>
            <w:vAlign w:val="bottom"/>
            <w:tcBorders>
              <w:left w:val="single" w:sz="8" w:color="CFF0FC"/>
            </w:tcBorders>
            <w:gridSpan w:val="3"/>
            <w:shd w:val="clear" w:color="auto" w:fill="CFF0FC"/>
          </w:tcPr>
          <w:p>
            <w:pPr>
              <w:ind w:left="20"/>
              <w:spacing w:after="0" w:line="102" w:lineRule="exact"/>
              <w:rPr>
                <w:sz w:val="20"/>
                <w:szCs w:val="20"/>
                <w:color w:val="auto"/>
              </w:rPr>
            </w:pPr>
            <w:r>
              <w:rPr>
                <w:rFonts w:ascii="Arial" w:cs="Arial" w:eastAsia="Arial" w:hAnsi="Arial"/>
                <w:sz w:val="9"/>
                <w:szCs w:val="9"/>
                <w:i w:val="1"/>
                <w:iCs w:val="1"/>
                <w:color w:val="auto"/>
              </w:rPr>
              <w:t>2KDirect, Inc. (dba iPromote)</w:t>
            </w:r>
          </w:p>
        </w:tc>
        <w:tc>
          <w:tcPr>
            <w:tcW w:w="1840" w:type="dxa"/>
            <w:vAlign w:val="bottom"/>
            <w:shd w:val="clear" w:color="auto" w:fill="CFF0FC"/>
          </w:tcPr>
          <w:p>
            <w:pPr>
              <w:ind w:left="140"/>
              <w:spacing w:after="0" w:line="102" w:lineRule="exact"/>
              <w:rPr>
                <w:sz w:val="20"/>
                <w:szCs w:val="20"/>
                <w:color w:val="auto"/>
              </w:rPr>
            </w:pPr>
            <w:r>
              <w:rPr>
                <w:rFonts w:ascii="Arial" w:cs="Arial" w:eastAsia="Arial" w:hAnsi="Arial"/>
                <w:sz w:val="9"/>
                <w:szCs w:val="9"/>
                <w:color w:val="auto"/>
              </w:rPr>
              <w:t>Information Technology Services</w:t>
            </w:r>
          </w:p>
        </w:tc>
        <w:tc>
          <w:tcPr>
            <w:tcW w:w="13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First Lien Debt (k)</w:t>
            </w:r>
          </w:p>
        </w:tc>
        <w:tc>
          <w:tcPr>
            <w:tcW w:w="1840" w:type="dxa"/>
            <w:vAlign w:val="bottom"/>
          </w:tcPr>
          <w:p>
            <w:pPr>
              <w:spacing w:after="0"/>
              <w:rPr>
                <w:sz w:val="9"/>
                <w:szCs w:val="9"/>
                <w:color w:val="auto"/>
              </w:rPr>
            </w:pPr>
          </w:p>
        </w:tc>
        <w:tc>
          <w:tcPr>
            <w:tcW w:w="1380" w:type="dxa"/>
            <w:vAlign w:val="bottom"/>
          </w:tcPr>
          <w:p>
            <w:pPr>
              <w:ind w:left="340"/>
              <w:spacing w:after="0"/>
              <w:rPr>
                <w:sz w:val="20"/>
                <w:szCs w:val="20"/>
                <w:color w:val="auto"/>
              </w:rPr>
            </w:pPr>
            <w:r>
              <w:rPr>
                <w:rFonts w:ascii="Arial" w:cs="Arial" w:eastAsia="Arial" w:hAnsi="Arial"/>
                <w:sz w:val="9"/>
                <w:szCs w:val="9"/>
                <w:color w:val="auto"/>
              </w:rPr>
              <w:t>(L + 6.75%) / (0.50%)</w:t>
            </w:r>
          </w:p>
        </w:tc>
        <w:tc>
          <w:tcPr>
            <w:tcW w:w="920" w:type="dxa"/>
            <w:vAlign w:val="bottom"/>
          </w:tcPr>
          <w:p>
            <w:pPr>
              <w:ind w:left="180"/>
              <w:spacing w:after="0"/>
              <w:rPr>
                <w:sz w:val="20"/>
                <w:szCs w:val="20"/>
                <w:color w:val="auto"/>
              </w:rPr>
            </w:pPr>
            <w:r>
              <w:rPr>
                <w:rFonts w:ascii="Arial" w:cs="Arial" w:eastAsia="Arial" w:hAnsi="Arial"/>
                <w:sz w:val="9"/>
                <w:szCs w:val="9"/>
                <w:color w:val="auto"/>
              </w:rPr>
              <w:t>7.25%/0.00%</w:t>
            </w:r>
          </w:p>
        </w:tc>
        <w:tc>
          <w:tcPr>
            <w:tcW w:w="820" w:type="dxa"/>
            <w:vAlign w:val="bottom"/>
          </w:tcPr>
          <w:p>
            <w:pPr>
              <w:ind w:left="200"/>
              <w:spacing w:after="0"/>
              <w:rPr>
                <w:sz w:val="20"/>
                <w:szCs w:val="20"/>
                <w:color w:val="auto"/>
              </w:rPr>
            </w:pPr>
            <w:r>
              <w:rPr>
                <w:rFonts w:ascii="Arial" w:cs="Arial" w:eastAsia="Arial" w:hAnsi="Arial"/>
                <w:sz w:val="9"/>
                <w:szCs w:val="9"/>
                <w:color w:val="auto"/>
              </w:rPr>
              <w:t>6/25/2021</w:t>
            </w:r>
          </w:p>
        </w:tc>
        <w:tc>
          <w:tcPr>
            <w:tcW w:w="760" w:type="dxa"/>
            <w:vAlign w:val="bottom"/>
          </w:tcPr>
          <w:p>
            <w:pPr>
              <w:ind w:left="160"/>
              <w:spacing w:after="0"/>
              <w:rPr>
                <w:sz w:val="20"/>
                <w:szCs w:val="20"/>
                <w:color w:val="auto"/>
              </w:rPr>
            </w:pPr>
            <w:r>
              <w:rPr>
                <w:rFonts w:ascii="Arial" w:cs="Arial" w:eastAsia="Arial" w:hAnsi="Arial"/>
                <w:sz w:val="9"/>
                <w:szCs w:val="9"/>
                <w:color w:val="auto"/>
              </w:rPr>
              <w:t>6/25/2026</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12,919</w:t>
            </w:r>
          </w:p>
        </w:tc>
        <w:tc>
          <w:tcPr>
            <w:tcW w:w="260" w:type="dxa"/>
            <w:vAlign w:val="bottom"/>
            <w:gridSpan w:val="3"/>
          </w:tcPr>
          <w:p>
            <w:pPr>
              <w:jc w:val="right"/>
              <w:ind w:right="35"/>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12,841</w:t>
            </w:r>
          </w:p>
        </w:tc>
        <w:tc>
          <w:tcPr>
            <w:tcW w:w="2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12,919</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(aa)(j)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ind w:left="340"/>
              <w:spacing w:after="0"/>
              <w:rPr>
                <w:sz w:val="20"/>
                <w:szCs w:val="20"/>
                <w:color w:val="auto"/>
              </w:rPr>
            </w:pPr>
            <w:r>
              <w:rPr>
                <w:rFonts w:ascii="Arial" w:cs="Arial" w:eastAsia="Arial" w:hAnsi="Arial"/>
                <w:sz w:val="9"/>
                <w:szCs w:val="9"/>
                <w:color w:val="auto"/>
              </w:rPr>
              <w:t>(L + 6.75%) / (0.50%)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7.25%/0.00%</w:t>
            </w: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7/30/2021</w:t>
            </w:r>
          </w:p>
        </w:tc>
        <w:tc>
          <w:tcPr>
            <w:tcW w:w="760" w:type="dxa"/>
            <w:vAlign w:val="bottom"/>
            <w:shd w:val="clear" w:color="auto" w:fill="CFF0FC"/>
          </w:tcPr>
          <w:p>
            <w:pPr>
              <w:ind w:left="160"/>
              <w:spacing w:after="0"/>
              <w:rPr>
                <w:sz w:val="20"/>
                <w:szCs w:val="20"/>
                <w:color w:val="auto"/>
              </w:rPr>
            </w:pPr>
            <w:r>
              <w:rPr>
                <w:rFonts w:ascii="Arial" w:cs="Arial" w:eastAsia="Arial" w:hAnsi="Arial"/>
                <w:sz w:val="9"/>
                <w:szCs w:val="9"/>
                <w:color w:val="auto"/>
              </w:rPr>
              <w:t>6/25/2026</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3,975</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3,975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3,975</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(1,000,000 units)</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6/25/2021</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1,000</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806</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84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17,816</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17,700</w:t>
            </w:r>
          </w:p>
        </w:tc>
        <w:tc>
          <w:tcPr>
            <w:tcW w:w="700" w:type="dxa"/>
            <w:vAlign w:val="bottom"/>
            <w:gridSpan w:val="3"/>
            <w:shd w:val="clear" w:color="auto" w:fill="CFF0FC"/>
          </w:tcPr>
          <w:p>
            <w:pPr>
              <w:jc w:val="right"/>
              <w:ind w:right="40"/>
              <w:spacing w:after="0" w:line="102" w:lineRule="exact"/>
              <w:rPr>
                <w:sz w:val="20"/>
                <w:szCs w:val="20"/>
                <w:color w:val="auto"/>
              </w:rPr>
            </w:pPr>
            <w:r>
              <w:rPr>
                <w:rFonts w:ascii="Arial" w:cs="Arial" w:eastAsia="Arial" w:hAnsi="Arial"/>
                <w:sz w:val="9"/>
                <w:szCs w:val="9"/>
                <w:color w:val="auto"/>
              </w:rPr>
              <w:t>4 %</w:t>
            </w:r>
          </w:p>
        </w:tc>
      </w:t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rPr>
              <w:t>Acendre Midco, Inc.</w:t>
            </w:r>
          </w:p>
        </w:tc>
        <w:tc>
          <w:tcPr>
            <w:tcW w:w="1840" w:type="dxa"/>
            <w:vAlign w:val="bottom"/>
          </w:tcPr>
          <w:p>
            <w:pPr>
              <w:ind w:left="140"/>
              <w:spacing w:after="0"/>
              <w:rPr>
                <w:sz w:val="20"/>
                <w:szCs w:val="20"/>
                <w:color w:val="auto"/>
              </w:rPr>
            </w:pPr>
            <w:r>
              <w:rPr>
                <w:rFonts w:ascii="Arial" w:cs="Arial" w:eastAsia="Arial" w:hAnsi="Arial"/>
                <w:sz w:val="9"/>
                <w:szCs w:val="9"/>
                <w:color w:val="auto"/>
              </w:rPr>
              <w:t>Information Technology Services</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ind w:left="340"/>
              <w:spacing w:after="0"/>
              <w:rPr>
                <w:sz w:val="20"/>
                <w:szCs w:val="20"/>
                <w:color w:val="auto"/>
              </w:rPr>
            </w:pPr>
            <w:r>
              <w:rPr>
                <w:rFonts w:ascii="Arial" w:cs="Arial" w:eastAsia="Arial" w:hAnsi="Arial"/>
                <w:sz w:val="9"/>
                <w:szCs w:val="9"/>
                <w:color w:val="auto"/>
              </w:rPr>
              <w:t>(L + 7.75%) / (0.50%)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8.25%/0.00%</w:t>
            </w: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10/6/2021</w:t>
            </w:r>
          </w:p>
        </w:tc>
        <w:tc>
          <w:tcPr>
            <w:tcW w:w="760" w:type="dxa"/>
            <w:vAlign w:val="bottom"/>
            <w:shd w:val="clear" w:color="auto" w:fill="CFF0FC"/>
          </w:tcPr>
          <w:p>
            <w:pPr>
              <w:ind w:left="160"/>
              <w:spacing w:after="0"/>
              <w:rPr>
                <w:sz w:val="20"/>
                <w:szCs w:val="20"/>
                <w:color w:val="auto"/>
              </w:rPr>
            </w:pPr>
            <w:r>
              <w:rPr>
                <w:rFonts w:ascii="Arial" w:cs="Arial" w:eastAsia="Arial" w:hAnsi="Arial"/>
                <w:sz w:val="9"/>
                <w:szCs w:val="9"/>
                <w:color w:val="auto"/>
              </w:rPr>
              <w:t>10/6/2026</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5,500</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5,485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5,485</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First Lien Debt (j)</w:t>
            </w:r>
          </w:p>
        </w:tc>
        <w:tc>
          <w:tcPr>
            <w:tcW w:w="1840" w:type="dxa"/>
            <w:vAlign w:val="bottom"/>
          </w:tcPr>
          <w:p>
            <w:pPr>
              <w:spacing w:after="0"/>
              <w:rPr>
                <w:sz w:val="9"/>
                <w:szCs w:val="9"/>
                <w:color w:val="auto"/>
              </w:rPr>
            </w:pPr>
          </w:p>
        </w:tc>
        <w:tc>
          <w:tcPr>
            <w:tcW w:w="1380" w:type="dxa"/>
            <w:vAlign w:val="bottom"/>
          </w:tcPr>
          <w:p>
            <w:pPr>
              <w:ind w:left="340"/>
              <w:spacing w:after="0"/>
              <w:rPr>
                <w:sz w:val="20"/>
                <w:szCs w:val="20"/>
                <w:color w:val="auto"/>
              </w:rPr>
            </w:pPr>
            <w:r>
              <w:rPr>
                <w:rFonts w:ascii="Arial" w:cs="Arial" w:eastAsia="Arial" w:hAnsi="Arial"/>
                <w:sz w:val="9"/>
                <w:szCs w:val="9"/>
                <w:color w:val="auto"/>
              </w:rPr>
              <w:t>(L + 7.75%) / (0.50%)</w:t>
            </w:r>
          </w:p>
        </w:tc>
        <w:tc>
          <w:tcPr>
            <w:tcW w:w="920" w:type="dxa"/>
            <w:vAlign w:val="bottom"/>
          </w:tcPr>
          <w:p>
            <w:pPr>
              <w:ind w:left="180"/>
              <w:spacing w:after="0"/>
              <w:rPr>
                <w:sz w:val="20"/>
                <w:szCs w:val="20"/>
                <w:color w:val="auto"/>
              </w:rPr>
            </w:pPr>
            <w:r>
              <w:rPr>
                <w:rFonts w:ascii="Arial" w:cs="Arial" w:eastAsia="Arial" w:hAnsi="Arial"/>
                <w:sz w:val="9"/>
                <w:szCs w:val="9"/>
                <w:color w:val="auto"/>
              </w:rPr>
              <w:t>8.25%/0.00%</w:t>
            </w:r>
          </w:p>
        </w:tc>
        <w:tc>
          <w:tcPr>
            <w:tcW w:w="820" w:type="dxa"/>
            <w:vAlign w:val="bottom"/>
          </w:tcPr>
          <w:p>
            <w:pPr>
              <w:ind w:left="200"/>
              <w:spacing w:after="0"/>
              <w:rPr>
                <w:sz w:val="20"/>
                <w:szCs w:val="20"/>
                <w:color w:val="auto"/>
              </w:rPr>
            </w:pPr>
            <w:r>
              <w:rPr>
                <w:rFonts w:ascii="Arial" w:cs="Arial" w:eastAsia="Arial" w:hAnsi="Arial"/>
                <w:sz w:val="9"/>
                <w:szCs w:val="9"/>
                <w:color w:val="auto"/>
              </w:rPr>
              <w:t>10/6/2021</w:t>
            </w:r>
          </w:p>
        </w:tc>
        <w:tc>
          <w:tcPr>
            <w:tcW w:w="760" w:type="dxa"/>
            <w:vAlign w:val="bottom"/>
          </w:tcPr>
          <w:p>
            <w:pPr>
              <w:ind w:left="160"/>
              <w:spacing w:after="0"/>
              <w:rPr>
                <w:sz w:val="20"/>
                <w:szCs w:val="20"/>
                <w:color w:val="auto"/>
              </w:rPr>
            </w:pPr>
            <w:r>
              <w:rPr>
                <w:rFonts w:ascii="Arial" w:cs="Arial" w:eastAsia="Arial" w:hAnsi="Arial"/>
                <w:sz w:val="9"/>
                <w:szCs w:val="9"/>
                <w:color w:val="auto"/>
              </w:rPr>
              <w:t>10/6/2026</w:t>
            </w:r>
          </w:p>
        </w:tc>
        <w:tc>
          <w:tcPr>
            <w:tcW w:w="2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12,500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12,436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12,436</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Revolving Loan ($1,000 unfunded commitment) (i)(j)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10/6/2021</w:t>
            </w: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(500,000 shares) (j)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10/6/2021</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371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371</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Warrant (150,000 shares) (j)(m)</w:t>
            </w:r>
          </w:p>
        </w:tc>
        <w:tc>
          <w:tcPr>
            <w:tcW w:w="1840" w:type="dxa"/>
            <w:vAlign w:val="bottom"/>
            <w:tcBorders>
              <w:bottom w:val="single" w:sz="8" w:color="CFF0FC"/>
            </w:tcBorders>
            <w:shd w:val="clear" w:color="auto" w:fill="CFF0FC"/>
          </w:tcPr>
          <w:p>
            <w:pPr>
              <w:spacing w:after="0"/>
              <w:rPr>
                <w:sz w:val="9"/>
                <w:szCs w:val="9"/>
                <w:color w:val="auto"/>
              </w:rPr>
            </w:pPr>
          </w:p>
        </w:tc>
        <w:tc>
          <w:tcPr>
            <w:tcW w:w="13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10/6/2021</w:t>
            </w:r>
          </w:p>
        </w:tc>
        <w:tc>
          <w:tcPr>
            <w:tcW w:w="76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129</w:t>
            </w: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129</w:t>
            </w:r>
          </w:p>
        </w:tc>
        <w:tc>
          <w:tcPr>
            <w:tcW w:w="4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18,421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9"/>
                <w:szCs w:val="9"/>
                <w:color w:val="auto"/>
              </w:rPr>
              <w:t>18,421</w:t>
            </w:r>
          </w:p>
        </w:tc>
        <w:tc>
          <w:tcPr>
            <w:tcW w:w="700" w:type="dxa"/>
            <w:vAlign w:val="bottom"/>
            <w:gridSpan w:val="3"/>
          </w:tcPr>
          <w:p>
            <w:pPr>
              <w:jc w:val="right"/>
              <w:ind w:right="40"/>
              <w:spacing w:after="0" w:line="102" w:lineRule="exact"/>
              <w:rPr>
                <w:sz w:val="20"/>
                <w:szCs w:val="20"/>
                <w:color w:val="auto"/>
              </w:rPr>
            </w:pPr>
            <w:r>
              <w:rPr>
                <w:rFonts w:ascii="Arial" w:cs="Arial" w:eastAsia="Arial" w:hAnsi="Arial"/>
                <w:sz w:val="9"/>
                <w:szCs w:val="9"/>
                <w:color w:val="auto"/>
              </w:rPr>
              <w:t>4 %</w:t>
            </w: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Aeronix Inc.</w:t>
            </w:r>
          </w:p>
        </w:tc>
        <w:tc>
          <w:tcPr>
            <w:tcW w:w="1840" w:type="dxa"/>
            <w:vAlign w:val="bottom"/>
            <w:shd w:val="clear" w:color="auto" w:fill="CFF0FC"/>
          </w:tcPr>
          <w:p>
            <w:pPr>
              <w:ind w:left="140"/>
              <w:spacing w:after="0"/>
              <w:rPr>
                <w:sz w:val="20"/>
                <w:szCs w:val="20"/>
                <w:color w:val="auto"/>
              </w:rPr>
            </w:pPr>
            <w:r>
              <w:rPr>
                <w:rFonts w:ascii="Arial" w:cs="Arial" w:eastAsia="Arial" w:hAnsi="Arial"/>
                <w:sz w:val="9"/>
                <w:szCs w:val="9"/>
                <w:color w:val="auto"/>
              </w:rPr>
              <w:t>Aerospace &amp; Defense Manufacturing</w:t>
            </w: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First Lien Debt (ai)</w:t>
            </w:r>
          </w:p>
        </w:tc>
        <w:tc>
          <w:tcPr>
            <w:tcW w:w="1840" w:type="dxa"/>
            <w:vAlign w:val="bottom"/>
          </w:tcPr>
          <w:p>
            <w:pPr>
              <w:spacing w:after="0"/>
              <w:rPr>
                <w:sz w:val="9"/>
                <w:szCs w:val="9"/>
                <w:color w:val="auto"/>
              </w:rPr>
            </w:pPr>
          </w:p>
        </w:tc>
        <w:tc>
          <w:tcPr>
            <w:tcW w:w="1380" w:type="dxa"/>
            <w:vAlign w:val="bottom"/>
          </w:tcPr>
          <w:p>
            <w:pPr>
              <w:ind w:left="340"/>
              <w:spacing w:after="0"/>
              <w:rPr>
                <w:sz w:val="20"/>
                <w:szCs w:val="20"/>
                <w:color w:val="auto"/>
              </w:rPr>
            </w:pPr>
            <w:r>
              <w:rPr>
                <w:rFonts w:ascii="Arial" w:cs="Arial" w:eastAsia="Arial" w:hAnsi="Arial"/>
                <w:sz w:val="9"/>
                <w:szCs w:val="9"/>
                <w:color w:val="auto"/>
              </w:rPr>
              <w:t>(L + 5.88%) / (0.50%)</w:t>
            </w:r>
          </w:p>
        </w:tc>
        <w:tc>
          <w:tcPr>
            <w:tcW w:w="920" w:type="dxa"/>
            <w:vAlign w:val="bottom"/>
          </w:tcPr>
          <w:p>
            <w:pPr>
              <w:ind w:left="180"/>
              <w:spacing w:after="0"/>
              <w:rPr>
                <w:sz w:val="20"/>
                <w:szCs w:val="20"/>
                <w:color w:val="auto"/>
              </w:rPr>
            </w:pPr>
            <w:r>
              <w:rPr>
                <w:rFonts w:ascii="Arial" w:cs="Arial" w:eastAsia="Arial" w:hAnsi="Arial"/>
                <w:sz w:val="9"/>
                <w:szCs w:val="9"/>
                <w:color w:val="auto"/>
              </w:rPr>
              <w:t>6.38%/0.00%</w:t>
            </w:r>
          </w:p>
        </w:tc>
        <w:tc>
          <w:tcPr>
            <w:tcW w:w="820" w:type="dxa"/>
            <w:vAlign w:val="bottom"/>
          </w:tcPr>
          <w:p>
            <w:pPr>
              <w:ind w:left="200"/>
              <w:spacing w:after="0"/>
              <w:rPr>
                <w:sz w:val="20"/>
                <w:szCs w:val="20"/>
                <w:color w:val="auto"/>
              </w:rPr>
            </w:pPr>
            <w:r>
              <w:rPr>
                <w:rFonts w:ascii="Arial" w:cs="Arial" w:eastAsia="Arial" w:hAnsi="Arial"/>
                <w:sz w:val="9"/>
                <w:szCs w:val="9"/>
                <w:color w:val="auto"/>
              </w:rPr>
              <w:t>6/11/2021</w:t>
            </w:r>
          </w:p>
        </w:tc>
        <w:tc>
          <w:tcPr>
            <w:tcW w:w="760" w:type="dxa"/>
            <w:vAlign w:val="bottom"/>
          </w:tcPr>
          <w:p>
            <w:pPr>
              <w:ind w:left="160"/>
              <w:spacing w:after="0"/>
              <w:rPr>
                <w:sz w:val="20"/>
                <w:szCs w:val="20"/>
                <w:color w:val="auto"/>
              </w:rPr>
            </w:pPr>
            <w:r>
              <w:rPr>
                <w:rFonts w:ascii="Arial" w:cs="Arial" w:eastAsia="Arial" w:hAnsi="Arial"/>
                <w:sz w:val="9"/>
                <w:szCs w:val="9"/>
                <w:color w:val="auto"/>
              </w:rPr>
              <w:t>6/11/2026</w:t>
            </w:r>
          </w:p>
        </w:tc>
        <w:tc>
          <w:tcPr>
            <w:tcW w:w="2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14,250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14,165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14,250</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(500 units)</w:t>
            </w:r>
          </w:p>
        </w:tc>
        <w:tc>
          <w:tcPr>
            <w:tcW w:w="1840" w:type="dxa"/>
            <w:vAlign w:val="bottom"/>
            <w:tcBorders>
              <w:bottom w:val="single" w:sz="8" w:color="CFF0FC"/>
            </w:tcBorders>
            <w:shd w:val="clear" w:color="auto" w:fill="CFF0FC"/>
          </w:tcPr>
          <w:p>
            <w:pPr>
              <w:spacing w:after="0"/>
              <w:rPr>
                <w:sz w:val="9"/>
                <w:szCs w:val="9"/>
                <w:color w:val="auto"/>
              </w:rPr>
            </w:pPr>
          </w:p>
        </w:tc>
        <w:tc>
          <w:tcPr>
            <w:tcW w:w="13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6/11/2021</w:t>
            </w:r>
          </w:p>
        </w:tc>
        <w:tc>
          <w:tcPr>
            <w:tcW w:w="76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742</w:t>
            </w:r>
          </w:p>
        </w:tc>
        <w:tc>
          <w:tcPr>
            <w:tcW w:w="4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14,665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9"/>
                <w:szCs w:val="9"/>
                <w:color w:val="auto"/>
              </w:rPr>
              <w:t>14,992</w:t>
            </w:r>
          </w:p>
        </w:tc>
        <w:tc>
          <w:tcPr>
            <w:tcW w:w="700" w:type="dxa"/>
            <w:vAlign w:val="bottom"/>
            <w:gridSpan w:val="3"/>
          </w:tcPr>
          <w:p>
            <w:pPr>
              <w:jc w:val="right"/>
              <w:ind w:right="40"/>
              <w:spacing w:after="0" w:line="102" w:lineRule="exact"/>
              <w:rPr>
                <w:sz w:val="20"/>
                <w:szCs w:val="20"/>
                <w:color w:val="auto"/>
              </w:rPr>
            </w:pPr>
            <w:r>
              <w:rPr>
                <w:rFonts w:ascii="Arial" w:cs="Arial" w:eastAsia="Arial" w:hAnsi="Arial"/>
                <w:sz w:val="9"/>
                <w:szCs w:val="9"/>
                <w:color w:val="auto"/>
              </w:rPr>
              <w:t>3 %</w:t>
            </w: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Allredi, LLC (fka Marco Group International OpCo, LLC)</w:t>
            </w:r>
          </w:p>
        </w:tc>
        <w:tc>
          <w:tcPr>
            <w:tcW w:w="1840" w:type="dxa"/>
            <w:vAlign w:val="bottom"/>
            <w:shd w:val="clear" w:color="auto" w:fill="CFF0FC"/>
          </w:tcPr>
          <w:p>
            <w:pPr>
              <w:ind w:left="140"/>
              <w:spacing w:after="0"/>
              <w:rPr>
                <w:sz w:val="20"/>
                <w:szCs w:val="20"/>
                <w:color w:val="auto"/>
              </w:rPr>
            </w:pPr>
            <w:r>
              <w:rPr>
                <w:rFonts w:ascii="Arial" w:cs="Arial" w:eastAsia="Arial" w:hAnsi="Arial"/>
                <w:sz w:val="9"/>
                <w:szCs w:val="9"/>
                <w:color w:val="auto"/>
              </w:rPr>
              <w:t>Industrial Cleaning &amp; Coatings</w:t>
            </w: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Second Lien Debt</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10.50%/1.75%</w:t>
            </w:r>
          </w:p>
        </w:tc>
        <w:tc>
          <w:tcPr>
            <w:tcW w:w="820" w:type="dxa"/>
            <w:vAlign w:val="bottom"/>
          </w:tcPr>
          <w:p>
            <w:pPr>
              <w:ind w:left="200"/>
              <w:spacing w:after="0"/>
              <w:rPr>
                <w:sz w:val="20"/>
                <w:szCs w:val="20"/>
                <w:color w:val="auto"/>
              </w:rPr>
            </w:pPr>
            <w:r>
              <w:rPr>
                <w:rFonts w:ascii="Arial" w:cs="Arial" w:eastAsia="Arial" w:hAnsi="Arial"/>
                <w:sz w:val="9"/>
                <w:szCs w:val="9"/>
                <w:color w:val="auto"/>
              </w:rPr>
              <w:t>3/2/2020</w:t>
            </w:r>
          </w:p>
        </w:tc>
        <w:tc>
          <w:tcPr>
            <w:tcW w:w="760" w:type="dxa"/>
            <w:vAlign w:val="bottom"/>
          </w:tcPr>
          <w:p>
            <w:pPr>
              <w:ind w:left="160"/>
              <w:spacing w:after="0"/>
              <w:rPr>
                <w:sz w:val="20"/>
                <w:szCs w:val="20"/>
                <w:color w:val="auto"/>
              </w:rPr>
            </w:pPr>
            <w:r>
              <w:rPr>
                <w:rFonts w:ascii="Arial" w:cs="Arial" w:eastAsia="Arial" w:hAnsi="Arial"/>
                <w:sz w:val="9"/>
                <w:szCs w:val="9"/>
                <w:color w:val="auto"/>
              </w:rPr>
              <w:t>9/2/2026</w:t>
            </w:r>
          </w:p>
        </w:tc>
        <w:tc>
          <w:tcPr>
            <w:tcW w:w="2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10,260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10,189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8,317</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(570,636 units) (h)(j)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7/21/2017</w:t>
            </w: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637</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166</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(39,443 units) (h)(j)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11/24/2021</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65</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84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10,848</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8,548</w:t>
            </w:r>
          </w:p>
        </w:tc>
        <w:tc>
          <w:tcPr>
            <w:tcW w:w="700" w:type="dxa"/>
            <w:vAlign w:val="bottom"/>
            <w:gridSpan w:val="3"/>
            <w:shd w:val="clear" w:color="auto" w:fill="CFF0FC"/>
          </w:tcPr>
          <w:p>
            <w:pPr>
              <w:jc w:val="right"/>
              <w:ind w:right="40"/>
              <w:spacing w:after="0" w:line="102" w:lineRule="exact"/>
              <w:rPr>
                <w:sz w:val="20"/>
                <w:szCs w:val="20"/>
                <w:color w:val="auto"/>
              </w:rPr>
            </w:pPr>
            <w:r>
              <w:rPr>
                <w:rFonts w:ascii="Arial" w:cs="Arial" w:eastAsia="Arial" w:hAnsi="Arial"/>
                <w:sz w:val="9"/>
                <w:szCs w:val="9"/>
                <w:color w:val="auto"/>
              </w:rPr>
              <w:t>2 %</w:t>
            </w:r>
          </w:p>
        </w:tc>
      </w:t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w w:val="99"/>
              </w:rPr>
              <w:t>American AllWaste LLC (dba WasteWater Transport Services)</w:t>
            </w:r>
          </w:p>
        </w:tc>
        <w:tc>
          <w:tcPr>
            <w:tcW w:w="1840" w:type="dxa"/>
            <w:vAlign w:val="bottom"/>
          </w:tcPr>
          <w:p>
            <w:pPr>
              <w:ind w:left="140"/>
              <w:spacing w:after="0"/>
              <w:rPr>
                <w:sz w:val="20"/>
                <w:szCs w:val="20"/>
                <w:color w:val="auto"/>
              </w:rPr>
            </w:pPr>
            <w:r>
              <w:rPr>
                <w:rFonts w:ascii="Arial" w:cs="Arial" w:eastAsia="Arial" w:hAnsi="Arial"/>
                <w:sz w:val="9"/>
                <w:szCs w:val="9"/>
                <w:color w:val="auto"/>
              </w:rPr>
              <w:t>Environmental Industries</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(j)(p)</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ind w:left="340"/>
              <w:spacing w:after="0"/>
              <w:rPr>
                <w:sz w:val="20"/>
                <w:szCs w:val="20"/>
                <w:color w:val="auto"/>
              </w:rPr>
            </w:pPr>
            <w:r>
              <w:rPr>
                <w:rFonts w:ascii="Arial" w:cs="Arial" w:eastAsia="Arial" w:hAnsi="Arial"/>
                <w:sz w:val="9"/>
                <w:szCs w:val="9"/>
                <w:color w:val="auto"/>
              </w:rPr>
              <w:t>(L + 6.15%) / (1.00%)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7.15%/0.00%</w:t>
            </w: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6/28/2021</w:t>
            </w:r>
          </w:p>
        </w:tc>
        <w:tc>
          <w:tcPr>
            <w:tcW w:w="760" w:type="dxa"/>
            <w:vAlign w:val="bottom"/>
            <w:shd w:val="clear" w:color="auto" w:fill="CFF0FC"/>
          </w:tcPr>
          <w:p>
            <w:pPr>
              <w:ind w:left="160"/>
              <w:spacing w:after="0"/>
              <w:rPr>
                <w:sz w:val="20"/>
                <w:szCs w:val="20"/>
                <w:color w:val="auto"/>
              </w:rPr>
            </w:pPr>
            <w:r>
              <w:rPr>
                <w:rFonts w:ascii="Arial" w:cs="Arial" w:eastAsia="Arial" w:hAnsi="Arial"/>
                <w:sz w:val="9"/>
                <w:szCs w:val="9"/>
                <w:color w:val="auto"/>
              </w:rPr>
              <w:t>6/28/2026</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20,500</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20,281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20,281</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First Lien Debt (j)(o)</w:t>
            </w:r>
          </w:p>
        </w:tc>
        <w:tc>
          <w:tcPr>
            <w:tcW w:w="1840" w:type="dxa"/>
            <w:vAlign w:val="bottom"/>
          </w:tcPr>
          <w:p>
            <w:pPr>
              <w:spacing w:after="0"/>
              <w:rPr>
                <w:sz w:val="9"/>
                <w:szCs w:val="9"/>
                <w:color w:val="auto"/>
              </w:rPr>
            </w:pPr>
          </w:p>
        </w:tc>
        <w:tc>
          <w:tcPr>
            <w:tcW w:w="1380" w:type="dxa"/>
            <w:vAlign w:val="bottom"/>
          </w:tcPr>
          <w:p>
            <w:pPr>
              <w:ind w:left="340"/>
              <w:spacing w:after="0"/>
              <w:rPr>
                <w:sz w:val="20"/>
                <w:szCs w:val="20"/>
                <w:color w:val="auto"/>
              </w:rPr>
            </w:pPr>
            <w:r>
              <w:rPr>
                <w:rFonts w:ascii="Arial" w:cs="Arial" w:eastAsia="Arial" w:hAnsi="Arial"/>
                <w:sz w:val="9"/>
                <w:szCs w:val="9"/>
                <w:color w:val="auto"/>
              </w:rPr>
              <w:t>(L + 3.75%) / (1.00%)</w:t>
            </w:r>
          </w:p>
        </w:tc>
        <w:tc>
          <w:tcPr>
            <w:tcW w:w="920" w:type="dxa"/>
            <w:vAlign w:val="bottom"/>
          </w:tcPr>
          <w:p>
            <w:pPr>
              <w:ind w:left="180"/>
              <w:spacing w:after="0"/>
              <w:rPr>
                <w:sz w:val="20"/>
                <w:szCs w:val="20"/>
                <w:color w:val="auto"/>
              </w:rPr>
            </w:pPr>
            <w:r>
              <w:rPr>
                <w:rFonts w:ascii="Arial" w:cs="Arial" w:eastAsia="Arial" w:hAnsi="Arial"/>
                <w:sz w:val="9"/>
                <w:szCs w:val="9"/>
                <w:color w:val="auto"/>
              </w:rPr>
              <w:t>4.75%/0.00%</w:t>
            </w:r>
          </w:p>
        </w:tc>
        <w:tc>
          <w:tcPr>
            <w:tcW w:w="820" w:type="dxa"/>
            <w:vAlign w:val="bottom"/>
          </w:tcPr>
          <w:p>
            <w:pPr>
              <w:ind w:left="200"/>
              <w:spacing w:after="0"/>
              <w:rPr>
                <w:sz w:val="20"/>
                <w:szCs w:val="20"/>
                <w:color w:val="auto"/>
              </w:rPr>
            </w:pPr>
            <w:r>
              <w:rPr>
                <w:rFonts w:ascii="Arial" w:cs="Arial" w:eastAsia="Arial" w:hAnsi="Arial"/>
                <w:sz w:val="9"/>
                <w:szCs w:val="9"/>
                <w:color w:val="auto"/>
              </w:rPr>
              <w:t>6/28/2021</w:t>
            </w:r>
          </w:p>
        </w:tc>
        <w:tc>
          <w:tcPr>
            <w:tcW w:w="760" w:type="dxa"/>
            <w:vAlign w:val="bottom"/>
          </w:tcPr>
          <w:p>
            <w:pPr>
              <w:ind w:left="160"/>
              <w:spacing w:after="0"/>
              <w:rPr>
                <w:sz w:val="20"/>
                <w:szCs w:val="20"/>
                <w:color w:val="auto"/>
              </w:rPr>
            </w:pPr>
            <w:r>
              <w:rPr>
                <w:rFonts w:ascii="Arial" w:cs="Arial" w:eastAsia="Arial" w:hAnsi="Arial"/>
                <w:sz w:val="9"/>
                <w:szCs w:val="9"/>
                <w:color w:val="auto"/>
              </w:rPr>
              <w:t>12/31/2022</w:t>
            </w:r>
          </w:p>
        </w:tc>
        <w:tc>
          <w:tcPr>
            <w:tcW w:w="2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330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330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330</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(500 units) (h)(j)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5/31/2018</w:t>
            </w: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439</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Preferred Equity (207 units) (h)(j)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8/6/2019</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250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187</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(141 units) (h)(j)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11/2/2020</w:t>
            </w: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171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128</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Preferred Equity (74 units) (h)(j)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12/29/2021</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97</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97</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84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21,629</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21,462</w:t>
            </w:r>
          </w:p>
        </w:tc>
        <w:tc>
          <w:tcPr>
            <w:tcW w:w="700" w:type="dxa"/>
            <w:vAlign w:val="bottom"/>
            <w:gridSpan w:val="3"/>
            <w:shd w:val="clear" w:color="auto" w:fill="CFF0FC"/>
          </w:tcPr>
          <w:p>
            <w:pPr>
              <w:jc w:val="right"/>
              <w:ind w:right="40"/>
              <w:spacing w:after="0" w:line="102" w:lineRule="exact"/>
              <w:rPr>
                <w:sz w:val="20"/>
                <w:szCs w:val="20"/>
                <w:color w:val="auto"/>
              </w:rPr>
            </w:pPr>
            <w:r>
              <w:rPr>
                <w:rFonts w:ascii="Arial" w:cs="Arial" w:eastAsia="Arial" w:hAnsi="Arial"/>
                <w:sz w:val="9"/>
                <w:szCs w:val="9"/>
                <w:color w:val="auto"/>
              </w:rPr>
              <w:t>4 %</w:t>
            </w:r>
          </w:p>
        </w:tc>
      </w:t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rPr>
              <w:t>Applied Data Corporation</w:t>
            </w:r>
          </w:p>
        </w:tc>
        <w:tc>
          <w:tcPr>
            <w:tcW w:w="1840" w:type="dxa"/>
            <w:vAlign w:val="bottom"/>
          </w:tcPr>
          <w:p>
            <w:pPr>
              <w:ind w:left="140"/>
              <w:spacing w:after="0"/>
              <w:rPr>
                <w:sz w:val="20"/>
                <w:szCs w:val="20"/>
                <w:color w:val="auto"/>
              </w:rPr>
            </w:pPr>
            <w:r>
              <w:rPr>
                <w:rFonts w:ascii="Arial" w:cs="Arial" w:eastAsia="Arial" w:hAnsi="Arial"/>
                <w:sz w:val="9"/>
                <w:szCs w:val="9"/>
                <w:color w:val="auto"/>
              </w:rPr>
              <w:t>Information Technology Services</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(k)(v)</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ind w:left="340"/>
              <w:spacing w:after="0"/>
              <w:rPr>
                <w:sz w:val="20"/>
                <w:szCs w:val="20"/>
                <w:color w:val="auto"/>
              </w:rPr>
            </w:pPr>
            <w:r>
              <w:rPr>
                <w:rFonts w:ascii="Arial" w:cs="Arial" w:eastAsia="Arial" w:hAnsi="Arial"/>
                <w:sz w:val="9"/>
                <w:szCs w:val="9"/>
                <w:color w:val="auto"/>
              </w:rPr>
              <w:t>(L + 6.25%) / (1.50%)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7.75%/0.00%</w:t>
            </w: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11/6/2020</w:t>
            </w:r>
          </w:p>
        </w:tc>
        <w:tc>
          <w:tcPr>
            <w:tcW w:w="760" w:type="dxa"/>
            <w:vAlign w:val="bottom"/>
            <w:shd w:val="clear" w:color="auto" w:fill="CFF0FC"/>
          </w:tcPr>
          <w:p>
            <w:pPr>
              <w:ind w:left="160"/>
              <w:spacing w:after="0"/>
              <w:rPr>
                <w:sz w:val="20"/>
                <w:szCs w:val="20"/>
                <w:color w:val="auto"/>
              </w:rPr>
            </w:pPr>
            <w:r>
              <w:rPr>
                <w:rFonts w:ascii="Arial" w:cs="Arial" w:eastAsia="Arial" w:hAnsi="Arial"/>
                <w:sz w:val="9"/>
                <w:szCs w:val="9"/>
                <w:color w:val="auto"/>
              </w:rPr>
              <w:t>11/6/2025</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11,500</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11,441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11,500</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(22 units)</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11/6/2020</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111</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(1,104,539 units)</w:t>
            </w:r>
          </w:p>
        </w:tc>
        <w:tc>
          <w:tcPr>
            <w:tcW w:w="1840" w:type="dxa"/>
            <w:vAlign w:val="bottom"/>
            <w:tcBorders>
              <w:bottom w:val="single" w:sz="8" w:color="CFF0FC"/>
            </w:tcBorders>
            <w:shd w:val="clear" w:color="auto" w:fill="CFF0FC"/>
          </w:tcPr>
          <w:p>
            <w:pPr>
              <w:spacing w:after="0"/>
              <w:rPr>
                <w:sz w:val="9"/>
                <w:szCs w:val="9"/>
                <w:color w:val="auto"/>
              </w:rPr>
            </w:pPr>
          </w:p>
        </w:tc>
        <w:tc>
          <w:tcPr>
            <w:tcW w:w="13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11/6/2020</w:t>
            </w:r>
          </w:p>
        </w:tc>
        <w:tc>
          <w:tcPr>
            <w:tcW w:w="76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1,105</w:t>
            </w: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1,194</w:t>
            </w:r>
          </w:p>
        </w:tc>
        <w:tc>
          <w:tcPr>
            <w:tcW w:w="4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r>
      <w:tr>
        <w:trPr>
          <w:trHeight w:val="101"/>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12,561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9"/>
                <w:szCs w:val="9"/>
                <w:color w:val="auto"/>
              </w:rPr>
              <w:t>12,805</w:t>
            </w:r>
          </w:p>
        </w:tc>
        <w:tc>
          <w:tcPr>
            <w:tcW w:w="700" w:type="dxa"/>
            <w:vAlign w:val="bottom"/>
            <w:gridSpan w:val="3"/>
          </w:tcPr>
          <w:p>
            <w:pPr>
              <w:jc w:val="right"/>
              <w:ind w:right="40"/>
              <w:spacing w:after="0" w:line="102" w:lineRule="exact"/>
              <w:rPr>
                <w:sz w:val="20"/>
                <w:szCs w:val="20"/>
                <w:color w:val="auto"/>
              </w:rPr>
            </w:pPr>
            <w:r>
              <w:rPr>
                <w:rFonts w:ascii="Arial" w:cs="Arial" w:eastAsia="Arial" w:hAnsi="Arial"/>
                <w:sz w:val="9"/>
                <w:szCs w:val="9"/>
                <w:color w:val="auto"/>
              </w:rPr>
              <w:t>3 %</w:t>
            </w: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Argo Turboserve Corporation</w:t>
            </w:r>
          </w:p>
        </w:tc>
        <w:tc>
          <w:tcPr>
            <w:tcW w:w="1840" w:type="dxa"/>
            <w:vAlign w:val="bottom"/>
            <w:shd w:val="clear" w:color="auto" w:fill="CFF0FC"/>
          </w:tcPr>
          <w:p>
            <w:pPr>
              <w:ind w:left="140"/>
              <w:spacing w:after="0"/>
              <w:rPr>
                <w:sz w:val="20"/>
                <w:szCs w:val="20"/>
                <w:color w:val="auto"/>
              </w:rPr>
            </w:pPr>
            <w:r>
              <w:rPr>
                <w:rFonts w:ascii="Arial" w:cs="Arial" w:eastAsia="Arial" w:hAnsi="Arial"/>
                <w:sz w:val="9"/>
                <w:szCs w:val="9"/>
                <w:color w:val="auto"/>
              </w:rPr>
              <w:t>Business Services</w:t>
            </w: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Second Lien Debt (j)</w:t>
            </w:r>
          </w:p>
        </w:tc>
        <w:tc>
          <w:tcPr>
            <w:tcW w:w="1840" w:type="dxa"/>
            <w:vAlign w:val="bottom"/>
          </w:tcPr>
          <w:p>
            <w:pPr>
              <w:spacing w:after="0"/>
              <w:rPr>
                <w:sz w:val="9"/>
                <w:szCs w:val="9"/>
                <w:color w:val="auto"/>
              </w:rPr>
            </w:pPr>
          </w:p>
        </w:tc>
        <w:tc>
          <w:tcPr>
            <w:tcW w:w="1380" w:type="dxa"/>
            <w:vAlign w:val="bottom"/>
          </w:tcPr>
          <w:p>
            <w:pPr>
              <w:ind w:left="340"/>
              <w:spacing w:after="0"/>
              <w:rPr>
                <w:sz w:val="20"/>
                <w:szCs w:val="20"/>
                <w:color w:val="auto"/>
              </w:rPr>
            </w:pPr>
            <w:r>
              <w:rPr>
                <w:rFonts w:ascii="Arial" w:cs="Arial" w:eastAsia="Arial" w:hAnsi="Arial"/>
                <w:sz w:val="9"/>
                <w:szCs w:val="9"/>
                <w:color w:val="auto"/>
              </w:rPr>
              <w:t>(L + 12.00%) / (2.00%)</w:t>
            </w:r>
          </w:p>
        </w:tc>
        <w:tc>
          <w:tcPr>
            <w:tcW w:w="920" w:type="dxa"/>
            <w:vAlign w:val="bottom"/>
          </w:tcPr>
          <w:p>
            <w:pPr>
              <w:ind w:left="180"/>
              <w:spacing w:after="0"/>
              <w:rPr>
                <w:sz w:val="20"/>
                <w:szCs w:val="20"/>
                <w:color w:val="auto"/>
              </w:rPr>
            </w:pPr>
            <w:r>
              <w:rPr>
                <w:rFonts w:ascii="Arial" w:cs="Arial" w:eastAsia="Arial" w:hAnsi="Arial"/>
                <w:sz w:val="9"/>
                <w:szCs w:val="9"/>
                <w:color w:val="auto"/>
              </w:rPr>
              <w:t>14.00%/0.00%</w:t>
            </w:r>
          </w:p>
        </w:tc>
        <w:tc>
          <w:tcPr>
            <w:tcW w:w="820" w:type="dxa"/>
            <w:vAlign w:val="bottom"/>
          </w:tcPr>
          <w:p>
            <w:pPr>
              <w:ind w:left="200"/>
              <w:spacing w:after="0"/>
              <w:rPr>
                <w:sz w:val="20"/>
                <w:szCs w:val="20"/>
                <w:color w:val="auto"/>
              </w:rPr>
            </w:pPr>
            <w:r>
              <w:rPr>
                <w:rFonts w:ascii="Arial" w:cs="Arial" w:eastAsia="Arial" w:hAnsi="Arial"/>
                <w:sz w:val="9"/>
                <w:szCs w:val="9"/>
                <w:color w:val="auto"/>
              </w:rPr>
              <w:t>12/26/2018</w:t>
            </w:r>
          </w:p>
        </w:tc>
        <w:tc>
          <w:tcPr>
            <w:tcW w:w="760" w:type="dxa"/>
            <w:vAlign w:val="bottom"/>
          </w:tcPr>
          <w:p>
            <w:pPr>
              <w:ind w:left="160"/>
              <w:spacing w:after="0"/>
              <w:rPr>
                <w:sz w:val="20"/>
                <w:szCs w:val="20"/>
                <w:color w:val="auto"/>
              </w:rPr>
            </w:pPr>
            <w:r>
              <w:rPr>
                <w:rFonts w:ascii="Arial" w:cs="Arial" w:eastAsia="Arial" w:hAnsi="Arial"/>
                <w:sz w:val="9"/>
                <w:szCs w:val="9"/>
                <w:color w:val="auto"/>
              </w:rPr>
              <w:t>6/28/2023</w:t>
            </w:r>
          </w:p>
        </w:tc>
        <w:tc>
          <w:tcPr>
            <w:tcW w:w="2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11,906</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11,881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11,906</w:t>
            </w:r>
          </w:p>
        </w:tc>
        <w:tc>
          <w:tcPr>
            <w:tcW w:w="700" w:type="dxa"/>
            <w:vAlign w:val="bottom"/>
            <w:gridSpan w:val="3"/>
          </w:tcPr>
          <w:p>
            <w:pPr>
              <w:jc w:val="right"/>
              <w:ind w:right="40"/>
              <w:spacing w:after="0"/>
              <w:rPr>
                <w:sz w:val="20"/>
                <w:szCs w:val="20"/>
                <w:color w:val="auto"/>
              </w:rPr>
            </w:pPr>
            <w:r>
              <w:rPr>
                <w:rFonts w:ascii="Arial" w:cs="Arial" w:eastAsia="Arial" w:hAnsi="Arial"/>
                <w:sz w:val="9"/>
                <w:szCs w:val="9"/>
                <w:color w:val="auto"/>
              </w:rPr>
              <w:t>2 %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rPr>
              <w:t>Auto CRM LLC (dba Dealer Holdings)</w:t>
            </w:r>
          </w:p>
        </w:tc>
        <w:tc>
          <w:tcPr>
            <w:tcW w:w="1840" w:type="dxa"/>
            <w:vAlign w:val="bottom"/>
          </w:tcPr>
          <w:p>
            <w:pPr>
              <w:ind w:left="140"/>
              <w:spacing w:after="0"/>
              <w:rPr>
                <w:sz w:val="20"/>
                <w:szCs w:val="20"/>
                <w:color w:val="auto"/>
              </w:rPr>
            </w:pPr>
            <w:r>
              <w:rPr>
                <w:rFonts w:ascii="Arial" w:cs="Arial" w:eastAsia="Arial" w:hAnsi="Arial"/>
                <w:sz w:val="9"/>
                <w:szCs w:val="9"/>
                <w:color w:val="auto"/>
              </w:rPr>
              <w:t>Information Technology Services</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ind w:left="340"/>
              <w:spacing w:after="0"/>
              <w:rPr>
                <w:sz w:val="20"/>
                <w:szCs w:val="20"/>
                <w:color w:val="auto"/>
              </w:rPr>
            </w:pPr>
            <w:r>
              <w:rPr>
                <w:rFonts w:ascii="Arial" w:cs="Arial" w:eastAsia="Arial" w:hAnsi="Arial"/>
                <w:sz w:val="9"/>
                <w:szCs w:val="9"/>
                <w:color w:val="auto"/>
              </w:rPr>
              <w:t>(P + 5.50%) / (3.25%)</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8.75%/0.85%</w:t>
            </w: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10/1/2021</w:t>
            </w:r>
          </w:p>
        </w:tc>
        <w:tc>
          <w:tcPr>
            <w:tcW w:w="760" w:type="dxa"/>
            <w:vAlign w:val="bottom"/>
            <w:shd w:val="clear" w:color="auto" w:fill="CFF0FC"/>
          </w:tcPr>
          <w:p>
            <w:pPr>
              <w:ind w:left="160"/>
              <w:spacing w:after="0"/>
              <w:rPr>
                <w:sz w:val="20"/>
                <w:szCs w:val="20"/>
                <w:color w:val="auto"/>
              </w:rPr>
            </w:pPr>
            <w:r>
              <w:rPr>
                <w:rFonts w:ascii="Arial" w:cs="Arial" w:eastAsia="Arial" w:hAnsi="Arial"/>
                <w:sz w:val="9"/>
                <w:szCs w:val="9"/>
                <w:color w:val="auto"/>
              </w:rPr>
              <w:t>10/1/2026</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7,516</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7,445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7,445</w:t>
            </w: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Subordinated Debt (j)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0.00%/12.75%</w:t>
            </w:r>
          </w:p>
        </w:tc>
        <w:tc>
          <w:tcPr>
            <w:tcW w:w="820" w:type="dxa"/>
            <w:vAlign w:val="bottom"/>
          </w:tcPr>
          <w:p>
            <w:pPr>
              <w:ind w:left="200"/>
              <w:spacing w:after="0"/>
              <w:rPr>
                <w:sz w:val="20"/>
                <w:szCs w:val="20"/>
                <w:color w:val="auto"/>
              </w:rPr>
            </w:pPr>
            <w:r>
              <w:rPr>
                <w:rFonts w:ascii="Arial" w:cs="Arial" w:eastAsia="Arial" w:hAnsi="Arial"/>
                <w:sz w:val="9"/>
                <w:szCs w:val="9"/>
                <w:color w:val="auto"/>
              </w:rPr>
              <w:t>10/1/2021</w:t>
            </w:r>
          </w:p>
        </w:tc>
        <w:tc>
          <w:tcPr>
            <w:tcW w:w="760" w:type="dxa"/>
            <w:vAlign w:val="bottom"/>
          </w:tcPr>
          <w:p>
            <w:pPr>
              <w:ind w:left="160"/>
              <w:spacing w:after="0"/>
              <w:rPr>
                <w:sz w:val="20"/>
                <w:szCs w:val="20"/>
                <w:color w:val="auto"/>
              </w:rPr>
            </w:pPr>
            <w:r>
              <w:rPr>
                <w:rFonts w:ascii="Arial" w:cs="Arial" w:eastAsia="Arial" w:hAnsi="Arial"/>
                <w:sz w:val="9"/>
                <w:szCs w:val="9"/>
                <w:color w:val="auto"/>
              </w:rPr>
              <w:t>12/31/2026</w:t>
            </w:r>
          </w:p>
        </w:tc>
        <w:tc>
          <w:tcPr>
            <w:tcW w:w="2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516</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512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512</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(500 units) (j)</w:t>
            </w:r>
          </w:p>
        </w:tc>
        <w:tc>
          <w:tcPr>
            <w:tcW w:w="1840" w:type="dxa"/>
            <w:vAlign w:val="bottom"/>
            <w:tcBorders>
              <w:bottom w:val="single" w:sz="8" w:color="CFF0FC"/>
            </w:tcBorders>
            <w:shd w:val="clear" w:color="auto" w:fill="CFF0FC"/>
          </w:tcPr>
          <w:p>
            <w:pPr>
              <w:spacing w:after="0"/>
              <w:rPr>
                <w:sz w:val="9"/>
                <w:szCs w:val="9"/>
                <w:color w:val="auto"/>
              </w:rPr>
            </w:pPr>
          </w:p>
        </w:tc>
        <w:tc>
          <w:tcPr>
            <w:tcW w:w="13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10/1/2021</w:t>
            </w:r>
          </w:p>
        </w:tc>
        <w:tc>
          <w:tcPr>
            <w:tcW w:w="76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4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r>
      <w:tr>
        <w:trPr>
          <w:trHeight w:val="101"/>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8,457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9"/>
                <w:szCs w:val="9"/>
                <w:color w:val="auto"/>
              </w:rPr>
              <w:t>8,457</w:t>
            </w:r>
          </w:p>
        </w:tc>
        <w:tc>
          <w:tcPr>
            <w:tcW w:w="700" w:type="dxa"/>
            <w:vAlign w:val="bottom"/>
            <w:gridSpan w:val="3"/>
          </w:tcPr>
          <w:p>
            <w:pPr>
              <w:jc w:val="right"/>
              <w:ind w:right="40"/>
              <w:spacing w:after="0" w:line="102" w:lineRule="exact"/>
              <w:rPr>
                <w:sz w:val="20"/>
                <w:szCs w:val="20"/>
                <w:color w:val="auto"/>
              </w:rPr>
            </w:pPr>
            <w:r>
              <w:rPr>
                <w:rFonts w:ascii="Arial" w:cs="Arial" w:eastAsia="Arial" w:hAnsi="Arial"/>
                <w:sz w:val="9"/>
                <w:szCs w:val="9"/>
                <w:color w:val="auto"/>
              </w:rPr>
              <w:t>2 %</w:t>
            </w: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AVC Investors, LLC (dba Auveco)</w:t>
            </w:r>
          </w:p>
        </w:tc>
        <w:tc>
          <w:tcPr>
            <w:tcW w:w="1840" w:type="dxa"/>
            <w:vAlign w:val="bottom"/>
            <w:shd w:val="clear" w:color="auto" w:fill="CFF0FC"/>
          </w:tcPr>
          <w:p>
            <w:pPr>
              <w:ind w:left="140"/>
              <w:spacing w:after="0"/>
              <w:rPr>
                <w:sz w:val="20"/>
                <w:szCs w:val="20"/>
                <w:color w:val="auto"/>
              </w:rPr>
            </w:pPr>
            <w:r>
              <w:rPr>
                <w:rFonts w:ascii="Arial" w:cs="Arial" w:eastAsia="Arial" w:hAnsi="Arial"/>
                <w:sz w:val="9"/>
                <w:szCs w:val="9"/>
                <w:color w:val="auto"/>
              </w:rPr>
              <w:t>Specialty Distribution</w:t>
            </w: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(5,000 units) (j)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1/3/2018</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382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751</w:t>
            </w:r>
          </w:p>
        </w:tc>
        <w:tc>
          <w:tcPr>
            <w:tcW w:w="700" w:type="dxa"/>
            <w:vAlign w:val="bottom"/>
            <w:gridSpan w:val="3"/>
          </w:tcPr>
          <w:p>
            <w:pPr>
              <w:jc w:val="right"/>
              <w:ind w:right="4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rPr>
              <w:t>B&amp;B Roadway and Security Solutions, LLC (n)</w:t>
            </w:r>
          </w:p>
        </w:tc>
        <w:tc>
          <w:tcPr>
            <w:tcW w:w="1840" w:type="dxa"/>
            <w:vAlign w:val="bottom"/>
          </w:tcPr>
          <w:p>
            <w:pPr>
              <w:ind w:left="140"/>
              <w:spacing w:after="0"/>
              <w:rPr>
                <w:sz w:val="20"/>
                <w:szCs w:val="20"/>
                <w:color w:val="auto"/>
              </w:rPr>
            </w:pPr>
            <w:r>
              <w:rPr>
                <w:rFonts w:ascii="Arial" w:cs="Arial" w:eastAsia="Arial" w:hAnsi="Arial"/>
                <w:sz w:val="9"/>
                <w:szCs w:val="9"/>
                <w:color w:val="auto"/>
              </w:rPr>
              <w:t>Component Manufacturing</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(50,000 units) (h)(j)</w:t>
            </w: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ind w:left="200"/>
              <w:spacing w:after="0"/>
              <w:rPr>
                <w:sz w:val="20"/>
                <w:szCs w:val="20"/>
                <w:color w:val="auto"/>
              </w:rPr>
            </w:pPr>
            <w:r>
              <w:rPr>
                <w:rFonts w:ascii="Arial" w:cs="Arial" w:eastAsia="Arial" w:hAnsi="Arial"/>
                <w:sz w:val="9"/>
                <w:szCs w:val="9"/>
                <w:color w:val="auto"/>
              </w:rPr>
              <w:t>2/27/2018</w:t>
            </w: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Bandon Fitness (Texas), Inc.</w:t>
            </w:r>
          </w:p>
        </w:tc>
        <w:tc>
          <w:tcPr>
            <w:tcW w:w="1840" w:type="dxa"/>
            <w:vAlign w:val="bottom"/>
            <w:shd w:val="clear" w:color="auto" w:fill="CFF0FC"/>
          </w:tcPr>
          <w:p>
            <w:pPr>
              <w:ind w:left="140"/>
              <w:spacing w:after="0"/>
              <w:rPr>
                <w:sz w:val="20"/>
                <w:szCs w:val="20"/>
                <w:color w:val="auto"/>
              </w:rPr>
            </w:pPr>
            <w:r>
              <w:rPr>
                <w:rFonts w:ascii="Arial" w:cs="Arial" w:eastAsia="Arial" w:hAnsi="Arial"/>
                <w:sz w:val="9"/>
                <w:szCs w:val="9"/>
                <w:color w:val="auto"/>
              </w:rPr>
              <w:t>Retail</w:t>
            </w: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08"/>
        </w:trPr>
        <w:tc>
          <w:tcPr>
            <w:tcW w:w="2520" w:type="dxa"/>
            <w:vAlign w:val="bottom"/>
            <w:gridSpan w:val="3"/>
          </w:tcPr>
          <w:p>
            <w:pPr>
              <w:ind w:left="160"/>
              <w:spacing w:after="0"/>
              <w:rPr>
                <w:sz w:val="20"/>
                <w:szCs w:val="20"/>
                <w:color w:val="auto"/>
              </w:rPr>
            </w:pPr>
            <w:r>
              <w:rPr>
                <w:rFonts w:ascii="Arial" w:cs="Arial" w:eastAsia="Arial" w:hAnsi="Arial"/>
                <w:sz w:val="9"/>
                <w:szCs w:val="9"/>
                <w:color w:val="auto"/>
              </w:rPr>
              <w:t>Common Equity (545,810 units) (j)</w:t>
            </w:r>
          </w:p>
        </w:tc>
        <w:tc>
          <w:tcPr>
            <w:tcW w:w="1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ind w:left="200"/>
              <w:spacing w:after="0"/>
              <w:rPr>
                <w:sz w:val="20"/>
                <w:szCs w:val="20"/>
                <w:color w:val="auto"/>
              </w:rPr>
            </w:pPr>
            <w:r>
              <w:rPr>
                <w:rFonts w:ascii="Arial" w:cs="Arial" w:eastAsia="Arial" w:hAnsi="Arial"/>
                <w:sz w:val="9"/>
                <w:szCs w:val="9"/>
                <w:color w:val="auto"/>
              </w:rPr>
              <w:t>8/9/2019</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931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1,533</w:t>
            </w:r>
          </w:p>
        </w:tc>
        <w:tc>
          <w:tcPr>
            <w:tcW w:w="700" w:type="dxa"/>
            <w:vAlign w:val="bottom"/>
            <w:gridSpan w:val="3"/>
          </w:tcPr>
          <w:p>
            <w:pPr>
              <w:jc w:val="right"/>
              <w:ind w:right="4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14"/>
        </w:trPr>
        <w:tc>
          <w:tcPr>
            <w:tcW w:w="2520" w:type="dxa"/>
            <w:vAlign w:val="bottom"/>
            <w:gridSpan w:val="3"/>
          </w:tcPr>
          <w:p>
            <w:pPr>
              <w:ind w:left="20"/>
              <w:spacing w:after="0"/>
              <w:rPr>
                <w:sz w:val="20"/>
                <w:szCs w:val="20"/>
                <w:color w:val="auto"/>
              </w:rPr>
            </w:pPr>
            <w:r>
              <w:rPr>
                <w:rFonts w:ascii="Arial" w:cs="Arial" w:eastAsia="Arial" w:hAnsi="Arial"/>
                <w:sz w:val="9"/>
                <w:szCs w:val="9"/>
                <w:i w:val="1"/>
                <w:iCs w:val="1"/>
                <w:color w:val="auto"/>
              </w:rPr>
              <w:t>BCM One Group Holdings, Inc.</w:t>
            </w:r>
          </w:p>
        </w:tc>
        <w:tc>
          <w:tcPr>
            <w:tcW w:w="1840" w:type="dxa"/>
            <w:vAlign w:val="bottom"/>
          </w:tcPr>
          <w:p>
            <w:pPr>
              <w:ind w:left="140"/>
              <w:spacing w:after="0"/>
              <w:rPr>
                <w:sz w:val="20"/>
                <w:szCs w:val="20"/>
                <w:color w:val="auto"/>
              </w:rPr>
            </w:pPr>
            <w:r>
              <w:rPr>
                <w:rFonts w:ascii="Arial" w:cs="Arial" w:eastAsia="Arial" w:hAnsi="Arial"/>
                <w:sz w:val="9"/>
                <w:szCs w:val="9"/>
                <w:color w:val="auto"/>
              </w:rPr>
              <w:t>Information Technology Services</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412"/>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101"/>
        </w:trPr>
        <w:tc>
          <w:tcPr>
            <w:tcW w:w="9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-6600190</wp:posOffset>
            </wp:positionV>
            <wp:extent cx="260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-6583045</wp:posOffset>
            </wp:positionV>
            <wp:extent cx="260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-6600190</wp:posOffset>
            </wp:positionV>
            <wp:extent cx="254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-6583045</wp:posOffset>
            </wp:positionV>
            <wp:extent cx="254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-4488180</wp:posOffset>
            </wp:positionV>
            <wp:extent cx="2603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-4488180</wp:posOffset>
            </wp:positionV>
            <wp:extent cx="2540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-4205605</wp:posOffset>
            </wp:positionV>
            <wp:extent cx="2603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-4205605</wp:posOffset>
            </wp:positionV>
            <wp:extent cx="2540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-3202305</wp:posOffset>
            </wp:positionV>
            <wp:extent cx="2603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-3202305</wp:posOffset>
            </wp:positionV>
            <wp:extent cx="2540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-2919730</wp:posOffset>
            </wp:positionV>
            <wp:extent cx="2603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-2919730</wp:posOffset>
            </wp:positionV>
            <wp:extent cx="254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-1659255</wp:posOffset>
            </wp:positionV>
            <wp:extent cx="2603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-1659255</wp:posOffset>
            </wp:positionV>
            <wp:extent cx="254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-1102360</wp:posOffset>
            </wp:positionV>
            <wp:extent cx="2603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-1102360</wp:posOffset>
            </wp:positionV>
            <wp:extent cx="254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Subordinated Debt (j)</w:t>
            </w: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10.25%/0.00%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11/17/2021</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11/17/2028</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10,000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9,950</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9,950</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Bedford Precision Parts LLC</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Specialty Distribution</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First Lien Debt (j)(s)</w:t>
            </w:r>
          </w:p>
        </w:tc>
        <w:tc>
          <w:tcPr>
            <w:tcW w:w="3120" w:type="dxa"/>
            <w:vAlign w:val="bottom"/>
          </w:tcPr>
          <w:p>
            <w:pPr>
              <w:ind w:left="2080"/>
              <w:spacing w:after="0"/>
              <w:rPr>
                <w:sz w:val="20"/>
                <w:szCs w:val="20"/>
                <w:color w:val="auto"/>
              </w:rPr>
            </w:pPr>
            <w:r>
              <w:rPr>
                <w:rFonts w:ascii="Arial" w:cs="Arial" w:eastAsia="Arial" w:hAnsi="Arial"/>
                <w:sz w:val="9"/>
                <w:szCs w:val="9"/>
                <w:color w:val="auto"/>
              </w:rPr>
              <w:t>(L + 6.25%) / (1.00%)</w:t>
            </w:r>
          </w:p>
        </w:tc>
        <w:tc>
          <w:tcPr>
            <w:tcW w:w="920" w:type="dxa"/>
            <w:vAlign w:val="bottom"/>
          </w:tcPr>
          <w:p>
            <w:pPr>
              <w:ind w:left="180"/>
              <w:spacing w:after="0"/>
              <w:rPr>
                <w:sz w:val="20"/>
                <w:szCs w:val="20"/>
                <w:color w:val="auto"/>
              </w:rPr>
            </w:pPr>
            <w:r>
              <w:rPr>
                <w:rFonts w:ascii="Arial" w:cs="Arial" w:eastAsia="Arial" w:hAnsi="Arial"/>
                <w:sz w:val="9"/>
                <w:szCs w:val="9"/>
                <w:color w:val="auto"/>
              </w:rPr>
              <w:t>7.25%/0.00%</w:t>
            </w:r>
          </w:p>
        </w:tc>
        <w:tc>
          <w:tcPr>
            <w:tcW w:w="800" w:type="dxa"/>
            <w:vAlign w:val="bottom"/>
          </w:tcPr>
          <w:p>
            <w:pPr>
              <w:ind w:left="200"/>
              <w:spacing w:after="0"/>
              <w:rPr>
                <w:sz w:val="20"/>
                <w:szCs w:val="20"/>
                <w:color w:val="auto"/>
              </w:rPr>
            </w:pPr>
            <w:r>
              <w:rPr>
                <w:rFonts w:ascii="Arial" w:cs="Arial" w:eastAsia="Arial" w:hAnsi="Arial"/>
                <w:sz w:val="9"/>
                <w:szCs w:val="9"/>
                <w:color w:val="auto"/>
              </w:rPr>
              <w:t>3/12/2019</w:t>
            </w:r>
          </w:p>
        </w:tc>
        <w:tc>
          <w:tcPr>
            <w:tcW w:w="980" w:type="dxa"/>
            <w:vAlign w:val="bottom"/>
          </w:tcPr>
          <w:p>
            <w:pPr>
              <w:ind w:left="180"/>
              <w:spacing w:after="0"/>
              <w:rPr>
                <w:sz w:val="20"/>
                <w:szCs w:val="20"/>
                <w:color w:val="auto"/>
              </w:rPr>
            </w:pPr>
            <w:r>
              <w:rPr>
                <w:rFonts w:ascii="Arial" w:cs="Arial" w:eastAsia="Arial" w:hAnsi="Arial"/>
                <w:sz w:val="9"/>
                <w:szCs w:val="9"/>
                <w:color w:val="auto"/>
              </w:rPr>
              <w:t>3/12/2024</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4,531</w:t>
            </w:r>
          </w:p>
        </w:tc>
        <w:tc>
          <w:tcPr>
            <w:tcW w:w="620" w:type="dxa"/>
            <w:vAlign w:val="bottom"/>
          </w:tcPr>
          <w:p>
            <w:pPr>
              <w:jc w:val="right"/>
              <w:spacing w:after="0"/>
              <w:rPr>
                <w:sz w:val="20"/>
                <w:szCs w:val="20"/>
                <w:color w:val="auto"/>
              </w:rPr>
            </w:pPr>
            <w:r>
              <w:rPr>
                <w:rFonts w:ascii="Arial" w:cs="Arial" w:eastAsia="Arial" w:hAnsi="Arial"/>
                <w:sz w:val="9"/>
                <w:szCs w:val="9"/>
                <w:color w:val="auto"/>
              </w:rPr>
              <w:t>4,514</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4,531</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(500,000 units) (h)(j)</w:t>
            </w:r>
          </w:p>
        </w:tc>
        <w:tc>
          <w:tcPr>
            <w:tcW w:w="31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3/12/2019</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1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358</w:t>
            </w:r>
          </w:p>
        </w:tc>
        <w:tc>
          <w:tcPr>
            <w:tcW w:w="7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5,014</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4,889</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Cardback Intermediate, LLC (dba Chargeback Gurus)</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Information Technology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First Lien Debt (j)(ah)</w:t>
            </w:r>
          </w:p>
        </w:tc>
        <w:tc>
          <w:tcPr>
            <w:tcW w:w="3120" w:type="dxa"/>
            <w:vAlign w:val="bottom"/>
          </w:tcPr>
          <w:p>
            <w:pPr>
              <w:ind w:left="2080"/>
              <w:spacing w:after="0"/>
              <w:rPr>
                <w:sz w:val="20"/>
                <w:szCs w:val="20"/>
                <w:color w:val="auto"/>
              </w:rPr>
            </w:pPr>
            <w:r>
              <w:rPr>
                <w:rFonts w:ascii="Arial" w:cs="Arial" w:eastAsia="Arial" w:hAnsi="Arial"/>
                <w:sz w:val="9"/>
                <w:szCs w:val="9"/>
                <w:color w:val="auto"/>
              </w:rPr>
              <w:t>(L + 6.75%) / (0.75%)</w:t>
            </w:r>
          </w:p>
        </w:tc>
        <w:tc>
          <w:tcPr>
            <w:tcW w:w="920" w:type="dxa"/>
            <w:vAlign w:val="bottom"/>
          </w:tcPr>
          <w:p>
            <w:pPr>
              <w:ind w:left="180"/>
              <w:spacing w:after="0"/>
              <w:rPr>
                <w:sz w:val="20"/>
                <w:szCs w:val="20"/>
                <w:color w:val="auto"/>
              </w:rPr>
            </w:pPr>
            <w:r>
              <w:rPr>
                <w:rFonts w:ascii="Arial" w:cs="Arial" w:eastAsia="Arial" w:hAnsi="Arial"/>
                <w:sz w:val="9"/>
                <w:szCs w:val="9"/>
                <w:color w:val="auto"/>
              </w:rPr>
              <w:t>7.50%/0.00%</w:t>
            </w:r>
          </w:p>
        </w:tc>
        <w:tc>
          <w:tcPr>
            <w:tcW w:w="800" w:type="dxa"/>
            <w:vAlign w:val="bottom"/>
          </w:tcPr>
          <w:p>
            <w:pPr>
              <w:ind w:left="200"/>
              <w:spacing w:after="0"/>
              <w:rPr>
                <w:sz w:val="20"/>
                <w:szCs w:val="20"/>
                <w:color w:val="auto"/>
              </w:rPr>
            </w:pPr>
            <w:r>
              <w:rPr>
                <w:rFonts w:ascii="Arial" w:cs="Arial" w:eastAsia="Arial" w:hAnsi="Arial"/>
                <w:sz w:val="9"/>
                <w:szCs w:val="9"/>
                <w:color w:val="auto"/>
              </w:rPr>
              <w:t>8/10/2021</w:t>
            </w:r>
          </w:p>
        </w:tc>
        <w:tc>
          <w:tcPr>
            <w:tcW w:w="980" w:type="dxa"/>
            <w:vAlign w:val="bottom"/>
          </w:tcPr>
          <w:p>
            <w:pPr>
              <w:ind w:left="180"/>
              <w:spacing w:after="0"/>
              <w:rPr>
                <w:sz w:val="20"/>
                <w:szCs w:val="20"/>
                <w:color w:val="auto"/>
              </w:rPr>
            </w:pPr>
            <w:r>
              <w:rPr>
                <w:rFonts w:ascii="Arial" w:cs="Arial" w:eastAsia="Arial" w:hAnsi="Arial"/>
                <w:sz w:val="9"/>
                <w:szCs w:val="9"/>
                <w:color w:val="auto"/>
              </w:rPr>
              <w:t>8/10/2026</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14,000</w:t>
            </w:r>
          </w:p>
        </w:tc>
        <w:tc>
          <w:tcPr>
            <w:tcW w:w="620" w:type="dxa"/>
            <w:vAlign w:val="bottom"/>
          </w:tcPr>
          <w:p>
            <w:pPr>
              <w:jc w:val="right"/>
              <w:spacing w:after="0"/>
              <w:rPr>
                <w:sz w:val="20"/>
                <w:szCs w:val="20"/>
                <w:color w:val="auto"/>
              </w:rPr>
            </w:pPr>
            <w:r>
              <w:rPr>
                <w:rFonts w:ascii="Arial" w:cs="Arial" w:eastAsia="Arial" w:hAnsi="Arial"/>
                <w:sz w:val="9"/>
                <w:szCs w:val="9"/>
                <w:color w:val="auto"/>
              </w:rPr>
              <w:t>13,928</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13,928</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(495 shares) (j)</w:t>
            </w: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8/10/2021</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125</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125</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Preferred Equity (495 shares) (j)</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8/10/2021</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125</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125</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14,178</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14,178</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Cardboard Box LLC (dba Anthony's Coal Fired Pizza)</w:t>
            </w:r>
          </w:p>
        </w:tc>
        <w:tc>
          <w:tcPr>
            <w:tcW w:w="3120" w:type="dxa"/>
            <w:vAlign w:val="bottom"/>
          </w:tcPr>
          <w:p>
            <w:pPr>
              <w:ind w:left="40"/>
              <w:spacing w:after="0"/>
              <w:rPr>
                <w:sz w:val="20"/>
                <w:szCs w:val="20"/>
                <w:color w:val="auto"/>
              </w:rPr>
            </w:pPr>
            <w:r>
              <w:rPr>
                <w:rFonts w:ascii="Arial" w:cs="Arial" w:eastAsia="Arial" w:hAnsi="Arial"/>
                <w:sz w:val="9"/>
                <w:szCs w:val="9"/>
                <w:color w:val="auto"/>
              </w:rPr>
              <w:t>Restaurants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(521,021 units) (j)(ao)</w:t>
            </w: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12/15/2015</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521</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74</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Preferred Equity (1,043,133 units) (j)(ao)</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12/6/2019</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96</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283</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617</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357</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Combined Systems, Inc.</w:t>
            </w:r>
          </w:p>
        </w:tc>
        <w:tc>
          <w:tcPr>
            <w:tcW w:w="3120" w:type="dxa"/>
            <w:vAlign w:val="bottom"/>
          </w:tcPr>
          <w:p>
            <w:pPr>
              <w:ind w:left="40"/>
              <w:spacing w:after="0"/>
              <w:rPr>
                <w:sz w:val="20"/>
                <w:szCs w:val="20"/>
                <w:color w:val="auto"/>
              </w:rPr>
            </w:pPr>
            <w:r>
              <w:rPr>
                <w:rFonts w:ascii="Arial" w:cs="Arial" w:eastAsia="Arial" w:hAnsi="Arial"/>
                <w:sz w:val="9"/>
                <w:szCs w:val="9"/>
                <w:color w:val="auto"/>
              </w:rPr>
              <w:t>Aerospace &amp; Defense Manufacturing</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w:t>
            </w:r>
          </w:p>
        </w:tc>
        <w:tc>
          <w:tcPr>
            <w:tcW w:w="3120" w:type="dxa"/>
            <w:vAlign w:val="bottom"/>
            <w:shd w:val="clear" w:color="auto" w:fill="CFF0FC"/>
          </w:tcPr>
          <w:p>
            <w:pPr>
              <w:ind w:left="2080"/>
              <w:spacing w:after="0"/>
              <w:rPr>
                <w:sz w:val="20"/>
                <w:szCs w:val="20"/>
                <w:color w:val="auto"/>
              </w:rPr>
            </w:pPr>
            <w:r>
              <w:rPr>
                <w:rFonts w:ascii="Arial" w:cs="Arial" w:eastAsia="Arial" w:hAnsi="Arial"/>
                <w:sz w:val="9"/>
                <w:szCs w:val="9"/>
                <w:color w:val="auto"/>
              </w:rPr>
              <w:t>(L + 11.00%) / (2.00%)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13.00%/0.00%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1/31/2020</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1/31/2025</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7,091</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7,055</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7,119</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Revolving Loan ($605 unfunded commitment) (j)(ac)</w:t>
            </w:r>
          </w:p>
        </w:tc>
        <w:tc>
          <w:tcPr>
            <w:tcW w:w="3120" w:type="dxa"/>
            <w:vAlign w:val="bottom"/>
          </w:tcPr>
          <w:p>
            <w:pPr>
              <w:ind w:left="2080"/>
              <w:spacing w:after="0"/>
              <w:rPr>
                <w:sz w:val="20"/>
                <w:szCs w:val="20"/>
                <w:color w:val="auto"/>
              </w:rPr>
            </w:pPr>
            <w:r>
              <w:rPr>
                <w:rFonts w:ascii="Arial" w:cs="Arial" w:eastAsia="Arial" w:hAnsi="Arial"/>
                <w:sz w:val="9"/>
                <w:szCs w:val="9"/>
                <w:color w:val="auto"/>
              </w:rPr>
              <w:t>(L + 10.00%) / (2.00%)</w:t>
            </w:r>
          </w:p>
        </w:tc>
        <w:tc>
          <w:tcPr>
            <w:tcW w:w="920" w:type="dxa"/>
            <w:vAlign w:val="bottom"/>
          </w:tcPr>
          <w:p>
            <w:pPr>
              <w:ind w:left="180"/>
              <w:spacing w:after="0"/>
              <w:rPr>
                <w:sz w:val="20"/>
                <w:szCs w:val="20"/>
                <w:color w:val="auto"/>
              </w:rPr>
            </w:pPr>
            <w:r>
              <w:rPr>
                <w:rFonts w:ascii="Arial" w:cs="Arial" w:eastAsia="Arial" w:hAnsi="Arial"/>
                <w:sz w:val="9"/>
                <w:szCs w:val="9"/>
                <w:color w:val="auto"/>
              </w:rPr>
              <w:t>15.00%/0.00%</w:t>
            </w:r>
          </w:p>
        </w:tc>
        <w:tc>
          <w:tcPr>
            <w:tcW w:w="800" w:type="dxa"/>
            <w:vAlign w:val="bottom"/>
          </w:tcPr>
          <w:p>
            <w:pPr>
              <w:ind w:left="200"/>
              <w:spacing w:after="0"/>
              <w:rPr>
                <w:sz w:val="20"/>
                <w:szCs w:val="20"/>
                <w:color w:val="auto"/>
              </w:rPr>
            </w:pPr>
            <w:r>
              <w:rPr>
                <w:rFonts w:ascii="Arial" w:cs="Arial" w:eastAsia="Arial" w:hAnsi="Arial"/>
                <w:sz w:val="9"/>
                <w:szCs w:val="9"/>
                <w:color w:val="auto"/>
              </w:rPr>
              <w:t>1/31/2020</w:t>
            </w:r>
          </w:p>
        </w:tc>
        <w:tc>
          <w:tcPr>
            <w:tcW w:w="980" w:type="dxa"/>
            <w:vAlign w:val="bottom"/>
          </w:tcPr>
          <w:p>
            <w:pPr>
              <w:ind w:left="180"/>
              <w:spacing w:after="0"/>
              <w:rPr>
                <w:sz w:val="20"/>
                <w:szCs w:val="20"/>
                <w:color w:val="auto"/>
              </w:rPr>
            </w:pPr>
            <w:r>
              <w:rPr>
                <w:rFonts w:ascii="Arial" w:cs="Arial" w:eastAsia="Arial" w:hAnsi="Arial"/>
                <w:sz w:val="9"/>
                <w:szCs w:val="9"/>
                <w:color w:val="auto"/>
              </w:rPr>
              <w:t>1/31/2025</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3,395</w:t>
            </w:r>
          </w:p>
        </w:tc>
        <w:tc>
          <w:tcPr>
            <w:tcW w:w="620" w:type="dxa"/>
            <w:vAlign w:val="bottom"/>
          </w:tcPr>
          <w:p>
            <w:pPr>
              <w:jc w:val="right"/>
              <w:spacing w:after="0"/>
              <w:rPr>
                <w:sz w:val="20"/>
                <w:szCs w:val="20"/>
                <w:color w:val="auto"/>
              </w:rPr>
            </w:pPr>
            <w:r>
              <w:rPr>
                <w:rFonts w:ascii="Arial" w:cs="Arial" w:eastAsia="Arial" w:hAnsi="Arial"/>
                <w:sz w:val="9"/>
                <w:szCs w:val="9"/>
                <w:color w:val="auto"/>
              </w:rPr>
              <w:t>3,380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3,395</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10,435</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10,514</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Comply365, LLC</w:t>
            </w:r>
          </w:p>
        </w:tc>
        <w:tc>
          <w:tcPr>
            <w:tcW w:w="3120" w:type="dxa"/>
            <w:vAlign w:val="bottom"/>
          </w:tcPr>
          <w:p>
            <w:pPr>
              <w:ind w:left="40"/>
              <w:spacing w:after="0"/>
              <w:rPr>
                <w:sz w:val="20"/>
                <w:szCs w:val="20"/>
                <w:color w:val="auto"/>
              </w:rPr>
            </w:pPr>
            <w:r>
              <w:rPr>
                <w:rFonts w:ascii="Arial" w:cs="Arial" w:eastAsia="Arial" w:hAnsi="Arial"/>
                <w:sz w:val="9"/>
                <w:szCs w:val="9"/>
                <w:color w:val="auto"/>
              </w:rPr>
              <w:t>Aerospace &amp; Defense Manufacturing</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(ad)</w:t>
            </w:r>
          </w:p>
        </w:tc>
        <w:tc>
          <w:tcPr>
            <w:tcW w:w="3120" w:type="dxa"/>
            <w:vAlign w:val="bottom"/>
            <w:shd w:val="clear" w:color="auto" w:fill="CFF0FC"/>
          </w:tcPr>
          <w:p>
            <w:pPr>
              <w:ind w:left="2080"/>
              <w:spacing w:after="0"/>
              <w:rPr>
                <w:sz w:val="20"/>
                <w:szCs w:val="20"/>
                <w:color w:val="auto"/>
              </w:rPr>
            </w:pPr>
            <w:r>
              <w:rPr>
                <w:rFonts w:ascii="Arial" w:cs="Arial" w:eastAsia="Arial" w:hAnsi="Arial"/>
                <w:sz w:val="9"/>
                <w:szCs w:val="9"/>
                <w:color w:val="auto"/>
              </w:rPr>
              <w:t>(L + 8.00%) / (1.00%)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9.00%/0.00%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12/11/2020</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12/11/2025</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8,562</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8,447</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8,562</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Common Equity (1,000,000 units)</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12/11/2020</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1,000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1,341</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9,447</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9,903</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CRS Solutions Holdings, LLC (dba CRS Texas)</w:t>
            </w:r>
          </w:p>
        </w:tc>
        <w:tc>
          <w:tcPr>
            <w:tcW w:w="3120" w:type="dxa"/>
            <w:vAlign w:val="bottom"/>
          </w:tcPr>
          <w:p>
            <w:pPr>
              <w:ind w:left="40"/>
              <w:spacing w:after="0"/>
              <w:rPr>
                <w:sz w:val="20"/>
                <w:szCs w:val="20"/>
                <w:color w:val="auto"/>
              </w:rPr>
            </w:pPr>
            <w:r>
              <w:rPr>
                <w:rFonts w:ascii="Arial" w:cs="Arial" w:eastAsia="Arial" w:hAnsi="Arial"/>
                <w:sz w:val="9"/>
                <w:szCs w:val="9"/>
                <w:color w:val="auto"/>
              </w:rPr>
              <w:t>Business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(538,875 units) (h)(j)</w:t>
            </w: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3/14/2018</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621</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686</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Dataguise, Inc.</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Information Technology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First Lien Debt (j)</w:t>
            </w:r>
          </w:p>
        </w:tc>
        <w:tc>
          <w:tcPr>
            <w:tcW w:w="312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11.00%/0.00%</w:t>
            </w:r>
          </w:p>
        </w:tc>
        <w:tc>
          <w:tcPr>
            <w:tcW w:w="800" w:type="dxa"/>
            <w:vAlign w:val="bottom"/>
          </w:tcPr>
          <w:p>
            <w:pPr>
              <w:ind w:left="200"/>
              <w:spacing w:after="0"/>
              <w:rPr>
                <w:sz w:val="20"/>
                <w:szCs w:val="20"/>
                <w:color w:val="auto"/>
              </w:rPr>
            </w:pPr>
            <w:r>
              <w:rPr>
                <w:rFonts w:ascii="Arial" w:cs="Arial" w:eastAsia="Arial" w:hAnsi="Arial"/>
                <w:sz w:val="9"/>
                <w:szCs w:val="9"/>
                <w:color w:val="auto"/>
              </w:rPr>
              <w:t>12/31/2020</w:t>
            </w:r>
          </w:p>
        </w:tc>
        <w:tc>
          <w:tcPr>
            <w:tcW w:w="980" w:type="dxa"/>
            <w:vAlign w:val="bottom"/>
          </w:tcPr>
          <w:p>
            <w:pPr>
              <w:ind w:left="180"/>
              <w:spacing w:after="0"/>
              <w:rPr>
                <w:sz w:val="20"/>
                <w:szCs w:val="20"/>
                <w:color w:val="auto"/>
              </w:rPr>
            </w:pPr>
            <w:r>
              <w:rPr>
                <w:rFonts w:ascii="Arial" w:cs="Arial" w:eastAsia="Arial" w:hAnsi="Arial"/>
                <w:sz w:val="9"/>
                <w:szCs w:val="9"/>
                <w:color w:val="auto"/>
              </w:rPr>
              <w:t>12/31/2023</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19,850</w:t>
            </w:r>
          </w:p>
        </w:tc>
        <w:tc>
          <w:tcPr>
            <w:tcW w:w="620" w:type="dxa"/>
            <w:vAlign w:val="bottom"/>
          </w:tcPr>
          <w:p>
            <w:pPr>
              <w:jc w:val="right"/>
              <w:spacing w:after="0"/>
              <w:rPr>
                <w:sz w:val="20"/>
                <w:szCs w:val="20"/>
                <w:color w:val="auto"/>
              </w:rPr>
            </w:pPr>
            <w:r>
              <w:rPr>
                <w:rFonts w:ascii="Arial" w:cs="Arial" w:eastAsia="Arial" w:hAnsi="Arial"/>
                <w:sz w:val="9"/>
                <w:szCs w:val="9"/>
                <w:color w:val="auto"/>
              </w:rPr>
              <w:t>19,783</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19,800</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(909 shares) (j)</w:t>
            </w:r>
          </w:p>
        </w:tc>
        <w:tc>
          <w:tcPr>
            <w:tcW w:w="31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12/31/2020</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1,500</w:t>
            </w:r>
          </w:p>
        </w:tc>
        <w:tc>
          <w:tcPr>
            <w:tcW w:w="1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1,528</w:t>
            </w:r>
          </w:p>
        </w:tc>
        <w:tc>
          <w:tcPr>
            <w:tcW w:w="7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21,283</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21,328</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Diversified Search LLC</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Business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First Lien Debt (k)(r)</w:t>
            </w:r>
          </w:p>
        </w:tc>
        <w:tc>
          <w:tcPr>
            <w:tcW w:w="3120" w:type="dxa"/>
            <w:vAlign w:val="bottom"/>
          </w:tcPr>
          <w:p>
            <w:pPr>
              <w:ind w:left="2080"/>
              <w:spacing w:after="0"/>
              <w:rPr>
                <w:sz w:val="20"/>
                <w:szCs w:val="20"/>
                <w:color w:val="auto"/>
              </w:rPr>
            </w:pPr>
            <w:r>
              <w:rPr>
                <w:rFonts w:ascii="Arial" w:cs="Arial" w:eastAsia="Arial" w:hAnsi="Arial"/>
                <w:sz w:val="9"/>
                <w:szCs w:val="9"/>
                <w:color w:val="auto"/>
              </w:rPr>
              <w:t>(L + 6.50%) / (1.00%)</w:t>
            </w:r>
          </w:p>
        </w:tc>
        <w:tc>
          <w:tcPr>
            <w:tcW w:w="920" w:type="dxa"/>
            <w:vAlign w:val="bottom"/>
          </w:tcPr>
          <w:p>
            <w:pPr>
              <w:ind w:left="180"/>
              <w:spacing w:after="0"/>
              <w:rPr>
                <w:sz w:val="20"/>
                <w:szCs w:val="20"/>
                <w:color w:val="auto"/>
              </w:rPr>
            </w:pPr>
            <w:r>
              <w:rPr>
                <w:rFonts w:ascii="Arial" w:cs="Arial" w:eastAsia="Arial" w:hAnsi="Arial"/>
                <w:sz w:val="9"/>
                <w:szCs w:val="9"/>
                <w:color w:val="auto"/>
              </w:rPr>
              <w:t>7.50%/0.00%</w:t>
            </w:r>
          </w:p>
        </w:tc>
        <w:tc>
          <w:tcPr>
            <w:tcW w:w="800" w:type="dxa"/>
            <w:vAlign w:val="bottom"/>
          </w:tcPr>
          <w:p>
            <w:pPr>
              <w:ind w:left="200"/>
              <w:spacing w:after="0"/>
              <w:rPr>
                <w:sz w:val="20"/>
                <w:szCs w:val="20"/>
                <w:color w:val="auto"/>
              </w:rPr>
            </w:pPr>
            <w:r>
              <w:rPr>
                <w:rFonts w:ascii="Arial" w:cs="Arial" w:eastAsia="Arial" w:hAnsi="Arial"/>
                <w:sz w:val="9"/>
                <w:szCs w:val="9"/>
                <w:color w:val="auto"/>
              </w:rPr>
              <w:t>2/7/2019</w:t>
            </w:r>
          </w:p>
        </w:tc>
        <w:tc>
          <w:tcPr>
            <w:tcW w:w="980" w:type="dxa"/>
            <w:vAlign w:val="bottom"/>
          </w:tcPr>
          <w:p>
            <w:pPr>
              <w:ind w:left="180"/>
              <w:spacing w:after="0"/>
              <w:rPr>
                <w:sz w:val="20"/>
                <w:szCs w:val="20"/>
                <w:color w:val="auto"/>
              </w:rPr>
            </w:pPr>
            <w:r>
              <w:rPr>
                <w:rFonts w:ascii="Arial" w:cs="Arial" w:eastAsia="Arial" w:hAnsi="Arial"/>
                <w:sz w:val="9"/>
                <w:szCs w:val="9"/>
                <w:color w:val="auto"/>
              </w:rPr>
              <w:t>2/7/2024</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18,355</w:t>
            </w:r>
          </w:p>
        </w:tc>
        <w:tc>
          <w:tcPr>
            <w:tcW w:w="620" w:type="dxa"/>
            <w:vAlign w:val="bottom"/>
          </w:tcPr>
          <w:p>
            <w:pPr>
              <w:jc w:val="right"/>
              <w:spacing w:after="0"/>
              <w:rPr>
                <w:sz w:val="20"/>
                <w:szCs w:val="20"/>
                <w:color w:val="auto"/>
              </w:rPr>
            </w:pPr>
            <w:r>
              <w:rPr>
                <w:rFonts w:ascii="Arial" w:cs="Arial" w:eastAsia="Arial" w:hAnsi="Arial"/>
                <w:sz w:val="9"/>
                <w:szCs w:val="9"/>
                <w:color w:val="auto"/>
              </w:rPr>
              <w:t>18,190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18,355</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(573 units) (h)(j)</w:t>
            </w:r>
          </w:p>
        </w:tc>
        <w:tc>
          <w:tcPr>
            <w:tcW w:w="31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2/7/2019</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593</w:t>
            </w:r>
          </w:p>
        </w:tc>
        <w:tc>
          <w:tcPr>
            <w:tcW w:w="1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797</w:t>
            </w:r>
          </w:p>
        </w:tc>
        <w:tc>
          <w:tcPr>
            <w:tcW w:w="7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18,783</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19,152</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EBL, LLC (EbLens)</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Retail</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12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12.00%/1.00%</w:t>
            </w:r>
          </w:p>
        </w:tc>
        <w:tc>
          <w:tcPr>
            <w:tcW w:w="800" w:type="dxa"/>
            <w:vAlign w:val="bottom"/>
          </w:tcPr>
          <w:p>
            <w:pPr>
              <w:ind w:left="200"/>
              <w:spacing w:after="0"/>
              <w:rPr>
                <w:sz w:val="20"/>
                <w:szCs w:val="20"/>
                <w:color w:val="auto"/>
              </w:rPr>
            </w:pPr>
            <w:r>
              <w:rPr>
                <w:rFonts w:ascii="Arial" w:cs="Arial" w:eastAsia="Arial" w:hAnsi="Arial"/>
                <w:sz w:val="9"/>
                <w:szCs w:val="9"/>
                <w:color w:val="auto"/>
              </w:rPr>
              <w:t>7/13/2017</w:t>
            </w:r>
          </w:p>
        </w:tc>
        <w:tc>
          <w:tcPr>
            <w:tcW w:w="980" w:type="dxa"/>
            <w:vAlign w:val="bottom"/>
          </w:tcPr>
          <w:p>
            <w:pPr>
              <w:ind w:left="180"/>
              <w:spacing w:after="0"/>
              <w:rPr>
                <w:sz w:val="20"/>
                <w:szCs w:val="20"/>
                <w:color w:val="auto"/>
              </w:rPr>
            </w:pPr>
            <w:r>
              <w:rPr>
                <w:rFonts w:ascii="Arial" w:cs="Arial" w:eastAsia="Arial" w:hAnsi="Arial"/>
                <w:sz w:val="9"/>
                <w:szCs w:val="9"/>
                <w:color w:val="auto"/>
              </w:rPr>
              <w:t>1/13/2023</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9,326</w:t>
            </w:r>
          </w:p>
        </w:tc>
        <w:tc>
          <w:tcPr>
            <w:tcW w:w="620" w:type="dxa"/>
            <w:vAlign w:val="bottom"/>
          </w:tcPr>
          <w:p>
            <w:pPr>
              <w:jc w:val="right"/>
              <w:spacing w:after="0"/>
              <w:rPr>
                <w:sz w:val="20"/>
                <w:szCs w:val="20"/>
                <w:color w:val="auto"/>
              </w:rPr>
            </w:pPr>
            <w:r>
              <w:rPr>
                <w:rFonts w:ascii="Arial" w:cs="Arial" w:eastAsia="Arial" w:hAnsi="Arial"/>
                <w:sz w:val="9"/>
                <w:szCs w:val="9"/>
                <w:color w:val="auto"/>
              </w:rPr>
              <w:t>9,305</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9,036</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(75,000 units) (j)</w:t>
            </w:r>
          </w:p>
        </w:tc>
        <w:tc>
          <w:tcPr>
            <w:tcW w:w="31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7/13/2017</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750</w:t>
            </w:r>
          </w:p>
        </w:tc>
        <w:tc>
          <w:tcPr>
            <w:tcW w:w="1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230</w:t>
            </w:r>
          </w:p>
        </w:tc>
        <w:tc>
          <w:tcPr>
            <w:tcW w:w="7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10,055</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9,266</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ECM Industries, LLC</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Component Manufacturing</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Common Equity (1,000,000 units) (h)(j)</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4/30/2020</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243</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1,397</w:t>
            </w:r>
          </w:p>
        </w:tc>
        <w:tc>
          <w:tcPr>
            <w:tcW w:w="70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Elements Brands, LLC</w:t>
            </w:r>
          </w:p>
        </w:tc>
        <w:tc>
          <w:tcPr>
            <w:tcW w:w="3120" w:type="dxa"/>
            <w:vAlign w:val="bottom"/>
          </w:tcPr>
          <w:p>
            <w:pPr>
              <w:ind w:left="40"/>
              <w:spacing w:after="0"/>
              <w:rPr>
                <w:sz w:val="20"/>
                <w:szCs w:val="20"/>
                <w:color w:val="auto"/>
              </w:rPr>
            </w:pPr>
            <w:r>
              <w:rPr>
                <w:rFonts w:ascii="Arial" w:cs="Arial" w:eastAsia="Arial" w:hAnsi="Arial"/>
                <w:sz w:val="9"/>
                <w:szCs w:val="9"/>
                <w:color w:val="auto"/>
              </w:rPr>
              <w:t>Consumer Products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w:t>
            </w: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12.25%/0.00%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12/31/2020</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12/31/2025</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5,775</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5,748</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5,775</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Revolving Loan ($838 unfunded commitment) (i)(j)</w:t>
            </w:r>
          </w:p>
        </w:tc>
        <w:tc>
          <w:tcPr>
            <w:tcW w:w="312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12.25%/0.00%</w:t>
            </w:r>
          </w:p>
        </w:tc>
        <w:tc>
          <w:tcPr>
            <w:tcW w:w="800" w:type="dxa"/>
            <w:vAlign w:val="bottom"/>
          </w:tcPr>
          <w:p>
            <w:pPr>
              <w:ind w:left="200"/>
              <w:spacing w:after="0"/>
              <w:rPr>
                <w:sz w:val="20"/>
                <w:szCs w:val="20"/>
                <w:color w:val="auto"/>
              </w:rPr>
            </w:pPr>
            <w:r>
              <w:rPr>
                <w:rFonts w:ascii="Arial" w:cs="Arial" w:eastAsia="Arial" w:hAnsi="Arial"/>
                <w:sz w:val="9"/>
                <w:szCs w:val="9"/>
                <w:color w:val="auto"/>
              </w:rPr>
              <w:t>12/31/2020</w:t>
            </w:r>
          </w:p>
        </w:tc>
        <w:tc>
          <w:tcPr>
            <w:tcW w:w="980" w:type="dxa"/>
            <w:vAlign w:val="bottom"/>
          </w:tcPr>
          <w:p>
            <w:pPr>
              <w:ind w:left="180"/>
              <w:spacing w:after="0"/>
              <w:rPr>
                <w:sz w:val="20"/>
                <w:szCs w:val="20"/>
                <w:color w:val="auto"/>
              </w:rPr>
            </w:pPr>
            <w:r>
              <w:rPr>
                <w:rFonts w:ascii="Arial" w:cs="Arial" w:eastAsia="Arial" w:hAnsi="Arial"/>
                <w:sz w:val="9"/>
                <w:szCs w:val="9"/>
                <w:color w:val="auto"/>
              </w:rPr>
              <w:t>12/31/2025</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2,162</w:t>
            </w:r>
          </w:p>
        </w:tc>
        <w:tc>
          <w:tcPr>
            <w:tcW w:w="620" w:type="dxa"/>
            <w:vAlign w:val="bottom"/>
          </w:tcPr>
          <w:p>
            <w:pPr>
              <w:jc w:val="right"/>
              <w:spacing w:after="0"/>
              <w:rPr>
                <w:sz w:val="20"/>
                <w:szCs w:val="20"/>
                <w:color w:val="auto"/>
              </w:rPr>
            </w:pPr>
            <w:r>
              <w:rPr>
                <w:rFonts w:ascii="Arial" w:cs="Arial" w:eastAsia="Arial" w:hAnsi="Arial"/>
                <w:sz w:val="9"/>
                <w:szCs w:val="9"/>
                <w:color w:val="auto"/>
              </w:rPr>
              <w:t>2,149</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2,162</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7,897</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7,937</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81"/>
        </w:trPr>
        <w:tc>
          <w:tcPr>
            <w:tcW w:w="2620" w:type="dxa"/>
            <w:vAlign w:val="bottom"/>
          </w:tcPr>
          <w:p>
            <w:pPr>
              <w:ind w:left="20"/>
              <w:spacing w:after="0" w:line="81" w:lineRule="exact"/>
              <w:rPr>
                <w:sz w:val="20"/>
                <w:szCs w:val="20"/>
                <w:color w:val="auto"/>
              </w:rPr>
            </w:pPr>
            <w:r>
              <w:rPr>
                <w:rFonts w:ascii="Arial" w:cs="Arial" w:eastAsia="Arial" w:hAnsi="Arial"/>
                <w:sz w:val="9"/>
                <w:szCs w:val="9"/>
                <w:i w:val="1"/>
                <w:iCs w:val="1"/>
                <w:color w:val="auto"/>
              </w:rPr>
              <w:t>Frontline Food Services, LLC</w:t>
            </w:r>
          </w:p>
        </w:tc>
        <w:tc>
          <w:tcPr>
            <w:tcW w:w="3120" w:type="dxa"/>
            <w:vAlign w:val="bottom"/>
            <w:vMerge w:val="restart"/>
          </w:tcPr>
          <w:p>
            <w:pPr>
              <w:ind w:left="40"/>
              <w:spacing w:after="0"/>
              <w:rPr>
                <w:sz w:val="20"/>
                <w:szCs w:val="20"/>
                <w:color w:val="auto"/>
              </w:rPr>
            </w:pPr>
            <w:r>
              <w:rPr>
                <w:rFonts w:ascii="Arial" w:cs="Arial" w:eastAsia="Arial" w:hAnsi="Arial"/>
                <w:sz w:val="9"/>
                <w:szCs w:val="9"/>
                <w:color w:val="auto"/>
              </w:rPr>
              <w:t>Vending Equipment Manufacturing</w:t>
            </w: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(f/k/a Accent Food Services, LLC)</w:t>
            </w:r>
          </w:p>
        </w:tc>
        <w:tc>
          <w:tcPr>
            <w:tcW w:w="31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Preferred Equity (Class A Units) (46 units) (j)</w:t>
            </w: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12/31/2020</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2,000</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1,431</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Common Equity (Class B Units) (124 units) (j)</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12/31/2020</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Preferred Equity (Class C Units) (100 units) (j)</w:t>
            </w:r>
          </w:p>
        </w:tc>
        <w:tc>
          <w:tcPr>
            <w:tcW w:w="31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12/31/2020</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2,000</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1,431</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Global Plasma Solutions, Inc.</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Component Manufacturing</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Common Equity (947 shares) (j)</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9/21/2018</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52</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2,097</w:t>
            </w:r>
          </w:p>
        </w:tc>
        <w:tc>
          <w:tcPr>
            <w:tcW w:w="70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GP&amp;C Operations, LLC (dba Garlock Printing and Converting)</w:t>
            </w:r>
          </w:p>
        </w:tc>
        <w:tc>
          <w:tcPr>
            <w:tcW w:w="3120" w:type="dxa"/>
            <w:vAlign w:val="bottom"/>
          </w:tcPr>
          <w:p>
            <w:pPr>
              <w:ind w:left="40"/>
              <w:spacing w:after="0"/>
              <w:rPr>
                <w:sz w:val="20"/>
                <w:szCs w:val="20"/>
                <w:color w:val="auto"/>
              </w:rPr>
            </w:pPr>
            <w:r>
              <w:rPr>
                <w:rFonts w:ascii="Arial" w:cs="Arial" w:eastAsia="Arial" w:hAnsi="Arial"/>
                <w:sz w:val="9"/>
                <w:szCs w:val="9"/>
                <w:color w:val="auto"/>
              </w:rPr>
              <w:t>Component Manufacturing</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(w)</w:t>
            </w:r>
          </w:p>
        </w:tc>
        <w:tc>
          <w:tcPr>
            <w:tcW w:w="3120" w:type="dxa"/>
            <w:vAlign w:val="bottom"/>
            <w:shd w:val="clear" w:color="auto" w:fill="CFF0FC"/>
          </w:tcPr>
          <w:p>
            <w:pPr>
              <w:ind w:left="2080"/>
              <w:spacing w:after="0"/>
              <w:rPr>
                <w:sz w:val="20"/>
                <w:szCs w:val="20"/>
                <w:color w:val="auto"/>
              </w:rPr>
            </w:pPr>
            <w:r>
              <w:rPr>
                <w:rFonts w:ascii="Arial" w:cs="Arial" w:eastAsia="Arial" w:hAnsi="Arial"/>
                <w:sz w:val="9"/>
                <w:szCs w:val="9"/>
                <w:color w:val="auto"/>
              </w:rPr>
              <w:t>(L + 7.25%) / (1.00%)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8.25%/0.00%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1/22/2021</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1/22/2026</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11,000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10,866</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11,000</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Common Equity (515,625 units) (h)(j)</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1/22/2021</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516</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432</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2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11,382</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11,432</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Green Cubes Technology, LLC (dba Green Cubes)</w:t>
            </w:r>
          </w:p>
        </w:tc>
        <w:tc>
          <w:tcPr>
            <w:tcW w:w="3120" w:type="dxa"/>
            <w:vAlign w:val="bottom"/>
          </w:tcPr>
          <w:p>
            <w:pPr>
              <w:ind w:left="40"/>
              <w:spacing w:after="0"/>
              <w:rPr>
                <w:sz w:val="20"/>
                <w:szCs w:val="20"/>
                <w:color w:val="auto"/>
              </w:rPr>
            </w:pPr>
            <w:r>
              <w:rPr>
                <w:rFonts w:ascii="Arial" w:cs="Arial" w:eastAsia="Arial" w:hAnsi="Arial"/>
                <w:sz w:val="9"/>
                <w:szCs w:val="9"/>
                <w:color w:val="auto"/>
              </w:rPr>
              <w:t>Information Technology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3120" w:type="dxa"/>
            <w:vAlign w:val="bottom"/>
            <w:shd w:val="clear" w:color="auto" w:fill="CFF0FC"/>
          </w:tcPr>
          <w:p>
            <w:pPr>
              <w:ind w:left="2080"/>
              <w:spacing w:after="0"/>
              <w:rPr>
                <w:sz w:val="20"/>
                <w:szCs w:val="20"/>
                <w:color w:val="auto"/>
              </w:rPr>
            </w:pPr>
            <w:r>
              <w:rPr>
                <w:rFonts w:ascii="Arial" w:cs="Arial" w:eastAsia="Arial" w:hAnsi="Arial"/>
                <w:sz w:val="9"/>
                <w:szCs w:val="9"/>
                <w:color w:val="auto"/>
              </w:rPr>
              <w:t>(L + 13.00%) / (0.00%)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13.21%/0.00%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12/17/2021</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12/17/2024</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13,000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12,928</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12,928</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Gurobi Optimization, LLC</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Information Technology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Common Equity (3 shares)</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12/19/2017</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607</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2,569</w:t>
            </w:r>
          </w:p>
        </w:tc>
        <w:tc>
          <w:tcPr>
            <w:tcW w:w="700" w:type="dxa"/>
            <w:vAlign w:val="bottom"/>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Haematologic Technologies, Inc.</w:t>
            </w:r>
          </w:p>
        </w:tc>
        <w:tc>
          <w:tcPr>
            <w:tcW w:w="3120" w:type="dxa"/>
            <w:vAlign w:val="bottom"/>
          </w:tcPr>
          <w:p>
            <w:pPr>
              <w:ind w:left="40"/>
              <w:spacing w:after="0"/>
              <w:rPr>
                <w:sz w:val="20"/>
                <w:szCs w:val="20"/>
                <w:color w:val="auto"/>
              </w:rPr>
            </w:pPr>
            <w:r>
              <w:rPr>
                <w:rFonts w:ascii="Arial" w:cs="Arial" w:eastAsia="Arial" w:hAnsi="Arial"/>
                <w:sz w:val="9"/>
                <w:szCs w:val="9"/>
                <w:color w:val="auto"/>
              </w:rPr>
              <w:t>Healthcare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(x)</w:t>
            </w:r>
          </w:p>
        </w:tc>
        <w:tc>
          <w:tcPr>
            <w:tcW w:w="3120" w:type="dxa"/>
            <w:vAlign w:val="bottom"/>
            <w:shd w:val="clear" w:color="auto" w:fill="CFF0FC"/>
          </w:tcPr>
          <w:p>
            <w:pPr>
              <w:ind w:left="2080"/>
              <w:spacing w:after="0"/>
              <w:rPr>
                <w:sz w:val="20"/>
                <w:szCs w:val="20"/>
                <w:color w:val="auto"/>
              </w:rPr>
            </w:pPr>
            <w:r>
              <w:rPr>
                <w:rFonts w:ascii="Arial" w:cs="Arial" w:eastAsia="Arial" w:hAnsi="Arial"/>
                <w:sz w:val="9"/>
                <w:szCs w:val="9"/>
                <w:color w:val="auto"/>
              </w:rPr>
              <w:t>(L + 8.25%) / (2.00%)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10.25%/0.00%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10/11/2019</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10/11/2024</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5,378</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5,355</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4,945</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Common Equity (630 units) (h)(j)</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10/11/2019</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630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120</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5,985</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5,065</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Hallmark Health Care Solutions, Inc.</w:t>
            </w:r>
          </w:p>
        </w:tc>
        <w:tc>
          <w:tcPr>
            <w:tcW w:w="3120" w:type="dxa"/>
            <w:vAlign w:val="bottom"/>
          </w:tcPr>
          <w:p>
            <w:pPr>
              <w:ind w:left="40"/>
              <w:spacing w:after="0"/>
              <w:rPr>
                <w:sz w:val="20"/>
                <w:szCs w:val="20"/>
                <w:color w:val="auto"/>
              </w:rPr>
            </w:pPr>
            <w:r>
              <w:rPr>
                <w:rFonts w:ascii="Arial" w:cs="Arial" w:eastAsia="Arial" w:hAnsi="Arial"/>
                <w:sz w:val="9"/>
                <w:szCs w:val="9"/>
                <w:color w:val="auto"/>
              </w:rPr>
              <w:t>Healthcare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(j)(ae)</w:t>
            </w:r>
          </w:p>
        </w:tc>
        <w:tc>
          <w:tcPr>
            <w:tcW w:w="3120" w:type="dxa"/>
            <w:vAlign w:val="bottom"/>
            <w:shd w:val="clear" w:color="auto" w:fill="CFF0FC"/>
          </w:tcPr>
          <w:p>
            <w:pPr>
              <w:ind w:left="2080"/>
              <w:spacing w:after="0"/>
              <w:rPr>
                <w:sz w:val="20"/>
                <w:szCs w:val="20"/>
                <w:color w:val="auto"/>
              </w:rPr>
            </w:pPr>
            <w:r>
              <w:rPr>
                <w:rFonts w:ascii="Arial" w:cs="Arial" w:eastAsia="Arial" w:hAnsi="Arial"/>
                <w:sz w:val="9"/>
                <w:szCs w:val="9"/>
                <w:color w:val="auto"/>
              </w:rPr>
              <w:t>(L + 7.25%) / (1.50%)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8.75%/0.00%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12/4/2020</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12/4/2025</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8,440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8,390</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8,440</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Common Equity (750,000 units) (j)</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12/4/2020</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750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2,068</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9,140</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10,508</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Healthfuse, LLC</w:t>
            </w:r>
          </w:p>
        </w:tc>
        <w:tc>
          <w:tcPr>
            <w:tcW w:w="3120" w:type="dxa"/>
            <w:vAlign w:val="bottom"/>
          </w:tcPr>
          <w:p>
            <w:pPr>
              <w:ind w:left="40"/>
              <w:spacing w:after="0"/>
              <w:rPr>
                <w:sz w:val="20"/>
                <w:szCs w:val="20"/>
                <w:color w:val="auto"/>
              </w:rPr>
            </w:pPr>
            <w:r>
              <w:rPr>
                <w:rFonts w:ascii="Arial" w:cs="Arial" w:eastAsia="Arial" w:hAnsi="Arial"/>
                <w:sz w:val="9"/>
                <w:szCs w:val="9"/>
                <w:color w:val="auto"/>
              </w:rPr>
              <w:t>Healthcare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(af)</w:t>
            </w:r>
          </w:p>
        </w:tc>
        <w:tc>
          <w:tcPr>
            <w:tcW w:w="3120" w:type="dxa"/>
            <w:vAlign w:val="bottom"/>
            <w:shd w:val="clear" w:color="auto" w:fill="CFF0FC"/>
          </w:tcPr>
          <w:p>
            <w:pPr>
              <w:ind w:left="2080"/>
              <w:spacing w:after="0"/>
              <w:rPr>
                <w:sz w:val="20"/>
                <w:szCs w:val="20"/>
                <w:color w:val="auto"/>
              </w:rPr>
            </w:pPr>
            <w:r>
              <w:rPr>
                <w:rFonts w:ascii="Arial" w:cs="Arial" w:eastAsia="Arial" w:hAnsi="Arial"/>
                <w:sz w:val="9"/>
                <w:szCs w:val="9"/>
                <w:color w:val="auto"/>
              </w:rPr>
              <w:t>(L + 7.25%) / (1.00%)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8.25%/0.00%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11/13/2020</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11/13/2025</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5,940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5,908</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5,940</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Preferred Equity (197,980 units)</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11/13/2020</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750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920</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6,658</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6,860</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Hub Acquisition Sub, LLC (dba Hub Pen)</w:t>
            </w:r>
          </w:p>
        </w:tc>
        <w:tc>
          <w:tcPr>
            <w:tcW w:w="3120" w:type="dxa"/>
            <w:vAlign w:val="bottom"/>
          </w:tcPr>
          <w:p>
            <w:pPr>
              <w:ind w:left="40"/>
              <w:spacing w:after="0"/>
              <w:rPr>
                <w:sz w:val="20"/>
                <w:szCs w:val="20"/>
                <w:color w:val="auto"/>
              </w:rPr>
            </w:pPr>
            <w:r>
              <w:rPr>
                <w:rFonts w:ascii="Arial" w:cs="Arial" w:eastAsia="Arial" w:hAnsi="Arial"/>
                <w:sz w:val="9"/>
                <w:szCs w:val="9"/>
                <w:color w:val="auto"/>
              </w:rPr>
              <w:t>Promotional products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 (k)</w:t>
            </w: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13.50%/0.00%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3/23/2016</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3/31/2023</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25,000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24,986</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22,501</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Common Equity (3,750 units)</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3/23/2016</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114</w:t>
            </w:r>
          </w:p>
        </w:tc>
        <w:tc>
          <w:tcPr>
            <w:tcW w:w="1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Preferred Equity (868 units) (j)</w:t>
            </w:r>
          </w:p>
        </w:tc>
        <w:tc>
          <w:tcPr>
            <w:tcW w:w="31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10/16/2020</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150</w:t>
            </w:r>
          </w:p>
        </w:tc>
        <w:tc>
          <w:tcPr>
            <w:tcW w:w="1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25,250</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22,501</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IBH Holdings, LLC (fka Inflexxion, Inc.)</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Business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Common Equity (150,000 units)</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6/20/2018</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203</w:t>
            </w:r>
          </w:p>
        </w:tc>
        <w:tc>
          <w:tcPr>
            <w:tcW w:w="70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Ipro Tech, LLC</w:t>
            </w:r>
          </w:p>
        </w:tc>
        <w:tc>
          <w:tcPr>
            <w:tcW w:w="3120" w:type="dxa"/>
            <w:vAlign w:val="bottom"/>
          </w:tcPr>
          <w:p>
            <w:pPr>
              <w:ind w:left="40"/>
              <w:spacing w:after="0"/>
              <w:rPr>
                <w:sz w:val="20"/>
                <w:szCs w:val="20"/>
                <w:color w:val="auto"/>
              </w:rPr>
            </w:pPr>
            <w:r>
              <w:rPr>
                <w:rFonts w:ascii="Arial" w:cs="Arial" w:eastAsia="Arial" w:hAnsi="Arial"/>
                <w:sz w:val="9"/>
                <w:szCs w:val="9"/>
                <w:color w:val="auto"/>
              </w:rPr>
              <w:t>Information Technology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(j)(u)</w:t>
            </w:r>
          </w:p>
        </w:tc>
        <w:tc>
          <w:tcPr>
            <w:tcW w:w="3120" w:type="dxa"/>
            <w:vAlign w:val="bottom"/>
            <w:shd w:val="clear" w:color="auto" w:fill="CFF0FC"/>
          </w:tcPr>
          <w:p>
            <w:pPr>
              <w:ind w:left="2080"/>
              <w:spacing w:after="0"/>
              <w:rPr>
                <w:sz w:val="20"/>
                <w:szCs w:val="20"/>
                <w:color w:val="auto"/>
              </w:rPr>
            </w:pPr>
            <w:r>
              <w:rPr>
                <w:rFonts w:ascii="Arial" w:cs="Arial" w:eastAsia="Arial" w:hAnsi="Arial"/>
                <w:sz w:val="9"/>
                <w:szCs w:val="9"/>
                <w:color w:val="auto"/>
              </w:rPr>
              <w:t>(L + 7.00%) / (1.00%)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8.00%/1.00%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6/30/2020</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7/28/2025</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19,380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18,429</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19,012</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Preferred Equity (682,075 units) (j)</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7/28/2021</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682</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682</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19,111</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19,694</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ISI PSG Holdings, LLC (dba Incentive Solutions, Inc.)</w:t>
            </w:r>
          </w:p>
        </w:tc>
        <w:tc>
          <w:tcPr>
            <w:tcW w:w="3120" w:type="dxa"/>
            <w:vAlign w:val="bottom"/>
          </w:tcPr>
          <w:p>
            <w:pPr>
              <w:ind w:left="40"/>
              <w:spacing w:after="0"/>
              <w:rPr>
                <w:sz w:val="20"/>
                <w:szCs w:val="20"/>
                <w:color w:val="auto"/>
              </w:rPr>
            </w:pPr>
            <w:r>
              <w:rPr>
                <w:rFonts w:ascii="Arial" w:cs="Arial" w:eastAsia="Arial" w:hAnsi="Arial"/>
                <w:sz w:val="9"/>
                <w:szCs w:val="9"/>
                <w:color w:val="auto"/>
              </w:rPr>
              <w:t>Business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(j)(aj)</w:t>
            </w:r>
          </w:p>
        </w:tc>
        <w:tc>
          <w:tcPr>
            <w:tcW w:w="3120" w:type="dxa"/>
            <w:vAlign w:val="bottom"/>
            <w:shd w:val="clear" w:color="auto" w:fill="CFF0FC"/>
          </w:tcPr>
          <w:p>
            <w:pPr>
              <w:ind w:left="2080"/>
              <w:spacing w:after="0"/>
              <w:rPr>
                <w:sz w:val="20"/>
                <w:szCs w:val="20"/>
                <w:color w:val="auto"/>
              </w:rPr>
            </w:pPr>
            <w:r>
              <w:rPr>
                <w:rFonts w:ascii="Arial" w:cs="Arial" w:eastAsia="Arial" w:hAnsi="Arial"/>
                <w:sz w:val="9"/>
                <w:szCs w:val="9"/>
                <w:color w:val="auto"/>
              </w:rPr>
              <w:t>(L + 7.50%) / (0.50%)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8.00%/0.00%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4/5/2021</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4/5/2026</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12,483</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12,394</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12,404</w:t>
            </w: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First Lien Debt (j)(an)</w:t>
            </w:r>
          </w:p>
        </w:tc>
        <w:tc>
          <w:tcPr>
            <w:tcW w:w="3120" w:type="dxa"/>
            <w:vAlign w:val="bottom"/>
          </w:tcPr>
          <w:p>
            <w:pPr>
              <w:ind w:left="2080"/>
              <w:spacing w:after="0"/>
              <w:rPr>
                <w:sz w:val="20"/>
                <w:szCs w:val="20"/>
                <w:color w:val="auto"/>
              </w:rPr>
            </w:pPr>
            <w:r>
              <w:rPr>
                <w:rFonts w:ascii="Arial" w:cs="Arial" w:eastAsia="Arial" w:hAnsi="Arial"/>
                <w:sz w:val="9"/>
                <w:szCs w:val="9"/>
                <w:color w:val="auto"/>
              </w:rPr>
              <w:t>(L + 7.50%) / (0.50%)</w:t>
            </w:r>
          </w:p>
        </w:tc>
        <w:tc>
          <w:tcPr>
            <w:tcW w:w="920" w:type="dxa"/>
            <w:vAlign w:val="bottom"/>
          </w:tcPr>
          <w:p>
            <w:pPr>
              <w:ind w:left="180"/>
              <w:spacing w:after="0"/>
              <w:rPr>
                <w:sz w:val="20"/>
                <w:szCs w:val="20"/>
                <w:color w:val="auto"/>
              </w:rPr>
            </w:pPr>
            <w:r>
              <w:rPr>
                <w:rFonts w:ascii="Arial" w:cs="Arial" w:eastAsia="Arial" w:hAnsi="Arial"/>
                <w:sz w:val="9"/>
                <w:szCs w:val="9"/>
                <w:color w:val="auto"/>
              </w:rPr>
              <w:t>8.00%/0.00%</w:t>
            </w:r>
          </w:p>
        </w:tc>
        <w:tc>
          <w:tcPr>
            <w:tcW w:w="800" w:type="dxa"/>
            <w:vAlign w:val="bottom"/>
          </w:tcPr>
          <w:p>
            <w:pPr>
              <w:ind w:left="200"/>
              <w:spacing w:after="0"/>
              <w:rPr>
                <w:sz w:val="20"/>
                <w:szCs w:val="20"/>
                <w:color w:val="auto"/>
              </w:rPr>
            </w:pPr>
            <w:r>
              <w:rPr>
                <w:rFonts w:ascii="Arial" w:cs="Arial" w:eastAsia="Arial" w:hAnsi="Arial"/>
                <w:sz w:val="9"/>
                <w:szCs w:val="9"/>
                <w:color w:val="auto"/>
              </w:rPr>
              <w:t>6/30/2021</w:t>
            </w:r>
          </w:p>
        </w:tc>
        <w:tc>
          <w:tcPr>
            <w:tcW w:w="980" w:type="dxa"/>
            <w:vAlign w:val="bottom"/>
          </w:tcPr>
          <w:p>
            <w:pPr>
              <w:ind w:left="180"/>
              <w:spacing w:after="0"/>
              <w:rPr>
                <w:sz w:val="20"/>
                <w:szCs w:val="20"/>
                <w:color w:val="auto"/>
              </w:rPr>
            </w:pPr>
            <w:r>
              <w:rPr>
                <w:rFonts w:ascii="Arial" w:cs="Arial" w:eastAsia="Arial" w:hAnsi="Arial"/>
                <w:sz w:val="9"/>
                <w:szCs w:val="9"/>
                <w:color w:val="auto"/>
              </w:rPr>
              <w:t>4/5/2026</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13,331</w:t>
            </w:r>
          </w:p>
        </w:tc>
        <w:tc>
          <w:tcPr>
            <w:tcW w:w="620" w:type="dxa"/>
            <w:vAlign w:val="bottom"/>
          </w:tcPr>
          <w:p>
            <w:pPr>
              <w:jc w:val="right"/>
              <w:spacing w:after="0"/>
              <w:rPr>
                <w:sz w:val="20"/>
                <w:szCs w:val="20"/>
                <w:color w:val="auto"/>
              </w:rPr>
            </w:pPr>
            <w:r>
              <w:rPr>
                <w:rFonts w:ascii="Arial" w:cs="Arial" w:eastAsia="Arial" w:hAnsi="Arial"/>
                <w:sz w:val="9"/>
                <w:szCs w:val="9"/>
                <w:color w:val="auto"/>
              </w:rPr>
              <w:t>13,331</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13,247</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(256,964 units) (h)(j)</w:t>
            </w:r>
          </w:p>
        </w:tc>
        <w:tc>
          <w:tcPr>
            <w:tcW w:w="31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4/5/2021</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1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592</w:t>
            </w:r>
          </w:p>
        </w:tc>
        <w:tc>
          <w:tcPr>
            <w:tcW w:w="7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26,225</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26,243</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w w:val="92"/>
              </w:rPr>
              <w:t>K2 Merger Agreement Agent, LLC (fka K2 Industrial Services, Inc.) (n)</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Industrial Cleaning &amp; Coatings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12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0.00%/10.00%</w:t>
            </w:r>
          </w:p>
        </w:tc>
        <w:tc>
          <w:tcPr>
            <w:tcW w:w="800" w:type="dxa"/>
            <w:vAlign w:val="bottom"/>
          </w:tcPr>
          <w:p>
            <w:pPr>
              <w:ind w:left="200"/>
              <w:spacing w:after="0"/>
              <w:rPr>
                <w:sz w:val="20"/>
                <w:szCs w:val="20"/>
                <w:color w:val="auto"/>
              </w:rPr>
            </w:pPr>
            <w:r>
              <w:rPr>
                <w:rFonts w:ascii="Arial" w:cs="Arial" w:eastAsia="Arial" w:hAnsi="Arial"/>
                <w:sz w:val="9"/>
                <w:szCs w:val="9"/>
                <w:color w:val="auto"/>
              </w:rPr>
              <w:t>1/28/2019</w:t>
            </w:r>
          </w:p>
        </w:tc>
        <w:tc>
          <w:tcPr>
            <w:tcW w:w="980" w:type="dxa"/>
            <w:vAlign w:val="bottom"/>
          </w:tcPr>
          <w:p>
            <w:pPr>
              <w:ind w:left="180"/>
              <w:spacing w:after="0"/>
              <w:rPr>
                <w:sz w:val="20"/>
                <w:szCs w:val="20"/>
                <w:color w:val="auto"/>
              </w:rPr>
            </w:pPr>
            <w:r>
              <w:rPr>
                <w:rFonts w:ascii="Arial" w:cs="Arial" w:eastAsia="Arial" w:hAnsi="Arial"/>
                <w:sz w:val="9"/>
                <w:szCs w:val="9"/>
                <w:color w:val="auto"/>
              </w:rPr>
              <w:t>1/28/2023</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2,368</w:t>
            </w:r>
          </w:p>
        </w:tc>
        <w:tc>
          <w:tcPr>
            <w:tcW w:w="620" w:type="dxa"/>
            <w:vAlign w:val="bottom"/>
          </w:tcPr>
          <w:p>
            <w:pPr>
              <w:jc w:val="right"/>
              <w:spacing w:after="0"/>
              <w:rPr>
                <w:sz w:val="20"/>
                <w:szCs w:val="20"/>
                <w:color w:val="auto"/>
              </w:rPr>
            </w:pPr>
            <w:r>
              <w:rPr>
                <w:rFonts w:ascii="Arial" w:cs="Arial" w:eastAsia="Arial" w:hAnsi="Arial"/>
                <w:sz w:val="9"/>
                <w:szCs w:val="9"/>
                <w:color w:val="auto"/>
              </w:rPr>
              <w:t>2,368</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2,368</w:t>
            </w:r>
          </w:p>
        </w:tc>
        <w:tc>
          <w:tcPr>
            <w:tcW w:w="700" w:type="dxa"/>
            <w:vAlign w:val="bottom"/>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The Kyjen Company, LLC (dba Outward Hound)</w:t>
            </w:r>
          </w:p>
        </w:tc>
        <w:tc>
          <w:tcPr>
            <w:tcW w:w="3120" w:type="dxa"/>
            <w:vAlign w:val="bottom"/>
          </w:tcPr>
          <w:p>
            <w:pPr>
              <w:ind w:left="40"/>
              <w:spacing w:after="0"/>
              <w:rPr>
                <w:sz w:val="20"/>
                <w:szCs w:val="20"/>
                <w:color w:val="auto"/>
              </w:rPr>
            </w:pPr>
            <w:r>
              <w:rPr>
                <w:rFonts w:ascii="Arial" w:cs="Arial" w:eastAsia="Arial" w:hAnsi="Arial"/>
                <w:sz w:val="9"/>
                <w:szCs w:val="9"/>
                <w:color w:val="auto"/>
              </w:rPr>
              <w:t>Consumer Products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(855 shares) (j)</w:t>
            </w: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12/8/2017</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933</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1,465</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Level Education Group, LLC (dba CE4Less)</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Business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First Lien Debt (ak)</w:t>
            </w:r>
          </w:p>
        </w:tc>
        <w:tc>
          <w:tcPr>
            <w:tcW w:w="3120" w:type="dxa"/>
            <w:vAlign w:val="bottom"/>
          </w:tcPr>
          <w:p>
            <w:pPr>
              <w:ind w:left="2080"/>
              <w:spacing w:after="0"/>
              <w:rPr>
                <w:sz w:val="20"/>
                <w:szCs w:val="20"/>
                <w:color w:val="auto"/>
              </w:rPr>
            </w:pPr>
            <w:r>
              <w:rPr>
                <w:rFonts w:ascii="Arial" w:cs="Arial" w:eastAsia="Arial" w:hAnsi="Arial"/>
                <w:sz w:val="9"/>
                <w:szCs w:val="9"/>
                <w:color w:val="auto"/>
              </w:rPr>
              <w:t>(L + 6.75%) / (0.50%)</w:t>
            </w:r>
          </w:p>
        </w:tc>
        <w:tc>
          <w:tcPr>
            <w:tcW w:w="920" w:type="dxa"/>
            <w:vAlign w:val="bottom"/>
          </w:tcPr>
          <w:p>
            <w:pPr>
              <w:ind w:left="180"/>
              <w:spacing w:after="0"/>
              <w:rPr>
                <w:sz w:val="20"/>
                <w:szCs w:val="20"/>
                <w:color w:val="auto"/>
              </w:rPr>
            </w:pPr>
            <w:r>
              <w:rPr>
                <w:rFonts w:ascii="Arial" w:cs="Arial" w:eastAsia="Arial" w:hAnsi="Arial"/>
                <w:sz w:val="9"/>
                <w:szCs w:val="9"/>
                <w:color w:val="auto"/>
              </w:rPr>
              <w:t>7.25%/0.00%</w:t>
            </w:r>
          </w:p>
        </w:tc>
        <w:tc>
          <w:tcPr>
            <w:tcW w:w="800" w:type="dxa"/>
            <w:vAlign w:val="bottom"/>
          </w:tcPr>
          <w:p>
            <w:pPr>
              <w:ind w:left="200"/>
              <w:spacing w:after="0"/>
              <w:rPr>
                <w:sz w:val="20"/>
                <w:szCs w:val="20"/>
                <w:color w:val="auto"/>
              </w:rPr>
            </w:pPr>
            <w:r>
              <w:rPr>
                <w:rFonts w:ascii="Arial" w:cs="Arial" w:eastAsia="Arial" w:hAnsi="Arial"/>
                <w:sz w:val="9"/>
                <w:szCs w:val="9"/>
                <w:color w:val="auto"/>
              </w:rPr>
              <w:t>4/1/2021</w:t>
            </w:r>
          </w:p>
        </w:tc>
        <w:tc>
          <w:tcPr>
            <w:tcW w:w="980" w:type="dxa"/>
            <w:vAlign w:val="bottom"/>
          </w:tcPr>
          <w:p>
            <w:pPr>
              <w:ind w:left="180"/>
              <w:spacing w:after="0"/>
              <w:rPr>
                <w:sz w:val="20"/>
                <w:szCs w:val="20"/>
                <w:color w:val="auto"/>
              </w:rPr>
            </w:pPr>
            <w:r>
              <w:rPr>
                <w:rFonts w:ascii="Arial" w:cs="Arial" w:eastAsia="Arial" w:hAnsi="Arial"/>
                <w:sz w:val="9"/>
                <w:szCs w:val="9"/>
                <w:color w:val="auto"/>
              </w:rPr>
              <w:t>4/1/2026</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5,431</w:t>
            </w:r>
          </w:p>
        </w:tc>
        <w:tc>
          <w:tcPr>
            <w:tcW w:w="620" w:type="dxa"/>
            <w:vAlign w:val="bottom"/>
          </w:tcPr>
          <w:p>
            <w:pPr>
              <w:jc w:val="right"/>
              <w:spacing w:after="0"/>
              <w:rPr>
                <w:sz w:val="20"/>
                <w:szCs w:val="20"/>
                <w:color w:val="auto"/>
              </w:rPr>
            </w:pPr>
            <w:r>
              <w:rPr>
                <w:rFonts w:ascii="Arial" w:cs="Arial" w:eastAsia="Arial" w:hAnsi="Arial"/>
                <w:sz w:val="9"/>
                <w:szCs w:val="9"/>
                <w:color w:val="auto"/>
              </w:rPr>
              <w:t>5,396</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5,431</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(1,000,000 units) (j)</w:t>
            </w:r>
          </w:p>
        </w:tc>
        <w:tc>
          <w:tcPr>
            <w:tcW w:w="31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4/1/2021</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1,000</w:t>
            </w:r>
          </w:p>
        </w:tc>
        <w:tc>
          <w:tcPr>
            <w:tcW w:w="1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1,313</w:t>
            </w:r>
          </w:p>
        </w:tc>
        <w:tc>
          <w:tcPr>
            <w:tcW w:w="7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6,396</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6,744</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LifeSpan Biosciences, Inc.</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Healthcare Products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Subordinated Debt (j)</w:t>
            </w:r>
          </w:p>
        </w:tc>
        <w:tc>
          <w:tcPr>
            <w:tcW w:w="312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11.50%/0.00%</w:t>
            </w:r>
          </w:p>
        </w:tc>
        <w:tc>
          <w:tcPr>
            <w:tcW w:w="800" w:type="dxa"/>
            <w:vAlign w:val="bottom"/>
          </w:tcPr>
          <w:p>
            <w:pPr>
              <w:ind w:left="200"/>
              <w:spacing w:after="0"/>
              <w:rPr>
                <w:sz w:val="20"/>
                <w:szCs w:val="20"/>
                <w:color w:val="auto"/>
              </w:rPr>
            </w:pPr>
            <w:r>
              <w:rPr>
                <w:rFonts w:ascii="Arial" w:cs="Arial" w:eastAsia="Arial" w:hAnsi="Arial"/>
                <w:sz w:val="9"/>
                <w:szCs w:val="9"/>
                <w:color w:val="auto"/>
              </w:rPr>
              <w:t>3/19/2021</w:t>
            </w:r>
          </w:p>
        </w:tc>
        <w:tc>
          <w:tcPr>
            <w:tcW w:w="980" w:type="dxa"/>
            <w:vAlign w:val="bottom"/>
          </w:tcPr>
          <w:p>
            <w:pPr>
              <w:ind w:left="180"/>
              <w:spacing w:after="0"/>
              <w:rPr>
                <w:sz w:val="20"/>
                <w:szCs w:val="20"/>
                <w:color w:val="auto"/>
              </w:rPr>
            </w:pPr>
            <w:r>
              <w:rPr>
                <w:rFonts w:ascii="Arial" w:cs="Arial" w:eastAsia="Arial" w:hAnsi="Arial"/>
                <w:sz w:val="9"/>
                <w:szCs w:val="9"/>
                <w:color w:val="auto"/>
              </w:rPr>
              <w:t>9/19/2026</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16,000</w:t>
            </w:r>
          </w:p>
        </w:tc>
        <w:tc>
          <w:tcPr>
            <w:tcW w:w="620" w:type="dxa"/>
            <w:vAlign w:val="bottom"/>
          </w:tcPr>
          <w:p>
            <w:pPr>
              <w:jc w:val="right"/>
              <w:spacing w:after="0"/>
              <w:rPr>
                <w:sz w:val="20"/>
                <w:szCs w:val="20"/>
                <w:color w:val="auto"/>
              </w:rPr>
            </w:pPr>
            <w:r>
              <w:rPr>
                <w:rFonts w:ascii="Arial" w:cs="Arial" w:eastAsia="Arial" w:hAnsi="Arial"/>
                <w:sz w:val="9"/>
                <w:szCs w:val="9"/>
                <w:color w:val="auto"/>
              </w:rPr>
              <w:t>15,931</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16,000</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(100 shares) (j)</w:t>
            </w:r>
          </w:p>
        </w:tc>
        <w:tc>
          <w:tcPr>
            <w:tcW w:w="31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3/19/2021</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1,000</w:t>
            </w:r>
          </w:p>
        </w:tc>
        <w:tc>
          <w:tcPr>
            <w:tcW w:w="1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981</w:t>
            </w:r>
          </w:p>
        </w:tc>
        <w:tc>
          <w:tcPr>
            <w:tcW w:w="7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16,931</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16,981</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Midwest Transit Equipment, Inc.</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Transportation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Warrant (7,192 shares) (j)(m)</w:t>
            </w:r>
          </w:p>
        </w:tc>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6/23/2017</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180</w:t>
            </w:r>
          </w:p>
        </w:tc>
        <w:tc>
          <w:tcPr>
            <w:tcW w:w="1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Warrant (4.79% of Junior Subordinated Notes) (j)(q)</w:t>
            </w:r>
          </w:p>
        </w:tc>
        <w:tc>
          <w:tcPr>
            <w:tcW w:w="31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6/23/2017</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190</w:t>
            </w:r>
          </w:p>
        </w:tc>
        <w:tc>
          <w:tcPr>
            <w:tcW w:w="1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246</w:t>
            </w:r>
          </w:p>
        </w:tc>
        <w:tc>
          <w:tcPr>
            <w:tcW w:w="7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370</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246</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Mobilewalla, Inc.</w:t>
            </w:r>
          </w:p>
        </w:tc>
        <w:tc>
          <w:tcPr>
            <w:tcW w:w="3120" w:type="dxa"/>
            <w:vAlign w:val="bottom"/>
            <w:shd w:val="clear" w:color="auto" w:fill="CFF0FC"/>
          </w:tcPr>
          <w:p>
            <w:pPr>
              <w:ind w:left="40"/>
              <w:spacing w:after="0"/>
              <w:rPr>
                <w:sz w:val="20"/>
                <w:szCs w:val="20"/>
                <w:color w:val="auto"/>
              </w:rPr>
            </w:pPr>
            <w:r>
              <w:rPr>
                <w:rFonts w:ascii="Arial" w:cs="Arial" w:eastAsia="Arial" w:hAnsi="Arial"/>
                <w:sz w:val="9"/>
                <w:szCs w:val="9"/>
                <w:color w:val="auto"/>
              </w:rPr>
              <w:t>Information Technology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60"/>
              <w:spacing w:after="0"/>
              <w:rPr>
                <w:sz w:val="20"/>
                <w:szCs w:val="20"/>
                <w:color w:val="auto"/>
              </w:rPr>
            </w:pPr>
            <w:r>
              <w:rPr>
                <w:rFonts w:ascii="Arial" w:cs="Arial" w:eastAsia="Arial" w:hAnsi="Arial"/>
                <w:sz w:val="9"/>
                <w:szCs w:val="9"/>
                <w:color w:val="auto"/>
              </w:rPr>
              <w:t>First Lien Debt (j)</w:t>
            </w:r>
          </w:p>
        </w:tc>
        <w:tc>
          <w:tcPr>
            <w:tcW w:w="3120" w:type="dxa"/>
            <w:vAlign w:val="bottom"/>
          </w:tcPr>
          <w:p>
            <w:pPr>
              <w:ind w:left="2080"/>
              <w:spacing w:after="0"/>
              <w:rPr>
                <w:sz w:val="20"/>
                <w:szCs w:val="20"/>
                <w:color w:val="auto"/>
              </w:rPr>
            </w:pPr>
            <w:r>
              <w:rPr>
                <w:rFonts w:ascii="Arial" w:cs="Arial" w:eastAsia="Arial" w:hAnsi="Arial"/>
                <w:sz w:val="9"/>
                <w:szCs w:val="9"/>
                <w:color w:val="auto"/>
              </w:rPr>
              <w:t>(L + 11.50%) / (0.50%)</w:t>
            </w:r>
          </w:p>
        </w:tc>
        <w:tc>
          <w:tcPr>
            <w:tcW w:w="920" w:type="dxa"/>
            <w:vAlign w:val="bottom"/>
          </w:tcPr>
          <w:p>
            <w:pPr>
              <w:ind w:left="180"/>
              <w:spacing w:after="0"/>
              <w:rPr>
                <w:sz w:val="20"/>
                <w:szCs w:val="20"/>
                <w:color w:val="auto"/>
              </w:rPr>
            </w:pPr>
            <w:r>
              <w:rPr>
                <w:rFonts w:ascii="Arial" w:cs="Arial" w:eastAsia="Arial" w:hAnsi="Arial"/>
                <w:sz w:val="9"/>
                <w:szCs w:val="9"/>
                <w:color w:val="auto"/>
              </w:rPr>
              <w:t>12.00%/0.00%</w:t>
            </w:r>
          </w:p>
        </w:tc>
        <w:tc>
          <w:tcPr>
            <w:tcW w:w="800" w:type="dxa"/>
            <w:vAlign w:val="bottom"/>
          </w:tcPr>
          <w:p>
            <w:pPr>
              <w:ind w:left="200"/>
              <w:spacing w:after="0"/>
              <w:rPr>
                <w:sz w:val="20"/>
                <w:szCs w:val="20"/>
                <w:color w:val="auto"/>
              </w:rPr>
            </w:pPr>
            <w:r>
              <w:rPr>
                <w:rFonts w:ascii="Arial" w:cs="Arial" w:eastAsia="Arial" w:hAnsi="Arial"/>
                <w:sz w:val="9"/>
                <w:szCs w:val="9"/>
                <w:color w:val="auto"/>
              </w:rPr>
              <w:t>12/17/2021</w:t>
            </w:r>
          </w:p>
        </w:tc>
        <w:tc>
          <w:tcPr>
            <w:tcW w:w="980" w:type="dxa"/>
            <w:vAlign w:val="bottom"/>
          </w:tcPr>
          <w:p>
            <w:pPr>
              <w:ind w:left="180"/>
              <w:spacing w:after="0"/>
              <w:rPr>
                <w:sz w:val="20"/>
                <w:szCs w:val="20"/>
                <w:color w:val="auto"/>
              </w:rPr>
            </w:pPr>
            <w:r>
              <w:rPr>
                <w:rFonts w:ascii="Arial" w:cs="Arial" w:eastAsia="Arial" w:hAnsi="Arial"/>
                <w:sz w:val="9"/>
                <w:szCs w:val="9"/>
                <w:color w:val="auto"/>
              </w:rPr>
              <w:t>12/17/2024</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5,715</w:t>
            </w:r>
          </w:p>
        </w:tc>
        <w:tc>
          <w:tcPr>
            <w:tcW w:w="620" w:type="dxa"/>
            <w:vAlign w:val="bottom"/>
          </w:tcPr>
          <w:p>
            <w:pPr>
              <w:jc w:val="right"/>
              <w:spacing w:after="0"/>
              <w:rPr>
                <w:sz w:val="20"/>
                <w:szCs w:val="20"/>
                <w:color w:val="auto"/>
              </w:rPr>
            </w:pPr>
            <w:r>
              <w:rPr>
                <w:rFonts w:ascii="Arial" w:cs="Arial" w:eastAsia="Arial" w:hAnsi="Arial"/>
                <w:sz w:val="9"/>
                <w:szCs w:val="9"/>
                <w:color w:val="auto"/>
              </w:rPr>
              <w:t>5,687</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5,687</w:t>
            </w:r>
          </w:p>
        </w:tc>
        <w:tc>
          <w:tcPr>
            <w:tcW w:w="700" w:type="dxa"/>
            <w:vAlign w:val="bottom"/>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20"/>
              <w:spacing w:after="0"/>
              <w:rPr>
                <w:sz w:val="20"/>
                <w:szCs w:val="20"/>
                <w:color w:val="auto"/>
              </w:rPr>
            </w:pPr>
            <w:r>
              <w:rPr>
                <w:rFonts w:ascii="Arial" w:cs="Arial" w:eastAsia="Arial" w:hAnsi="Arial"/>
                <w:sz w:val="9"/>
                <w:szCs w:val="9"/>
                <w:i w:val="1"/>
                <w:iCs w:val="1"/>
                <w:color w:val="auto"/>
              </w:rPr>
              <w:t>Netbase Solutions, Inc. (dba Netbase Quid)</w:t>
            </w:r>
          </w:p>
        </w:tc>
        <w:tc>
          <w:tcPr>
            <w:tcW w:w="3120" w:type="dxa"/>
            <w:vAlign w:val="bottom"/>
          </w:tcPr>
          <w:p>
            <w:pPr>
              <w:ind w:left="40"/>
              <w:spacing w:after="0"/>
              <w:rPr>
                <w:sz w:val="20"/>
                <w:szCs w:val="20"/>
                <w:color w:val="auto"/>
              </w:rPr>
            </w:pPr>
            <w:r>
              <w:rPr>
                <w:rFonts w:ascii="Arial" w:cs="Arial" w:eastAsia="Arial" w:hAnsi="Arial"/>
                <w:sz w:val="9"/>
                <w:szCs w:val="9"/>
                <w:color w:val="auto"/>
              </w:rPr>
              <w:t>Information Technology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(k)(ap)</w:t>
            </w:r>
          </w:p>
        </w:tc>
        <w:tc>
          <w:tcPr>
            <w:tcW w:w="3120" w:type="dxa"/>
            <w:vAlign w:val="bottom"/>
            <w:shd w:val="clear" w:color="auto" w:fill="CFF0FC"/>
          </w:tcPr>
          <w:p>
            <w:pPr>
              <w:ind w:left="2080"/>
              <w:spacing w:after="0"/>
              <w:rPr>
                <w:sz w:val="20"/>
                <w:szCs w:val="20"/>
                <w:color w:val="auto"/>
              </w:rPr>
            </w:pPr>
            <w:r>
              <w:rPr>
                <w:rFonts w:ascii="Arial" w:cs="Arial" w:eastAsia="Arial" w:hAnsi="Arial"/>
                <w:sz w:val="9"/>
                <w:szCs w:val="9"/>
                <w:color w:val="auto"/>
              </w:rPr>
              <w:t>(P + 5.50%) / (3.25%)</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8.75%/1.50%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11/18/2021</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11/18/2025</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16,568</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16,448</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16,448</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-7762875</wp:posOffset>
            </wp:positionV>
            <wp:extent cx="2603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-7762875</wp:posOffset>
            </wp:positionV>
            <wp:extent cx="2540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-6074410</wp:posOffset>
            </wp:positionV>
            <wp:extent cx="2603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-6074410</wp:posOffset>
            </wp:positionV>
            <wp:extent cx="2540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-5791200</wp:posOffset>
            </wp:positionV>
            <wp:extent cx="2603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-5791200</wp:posOffset>
            </wp:positionV>
            <wp:extent cx="2540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-5508625</wp:posOffset>
            </wp:positionV>
            <wp:extent cx="2603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-5508625</wp:posOffset>
            </wp:positionV>
            <wp:extent cx="2540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-4617085</wp:posOffset>
            </wp:positionV>
            <wp:extent cx="2603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-4617085</wp:posOffset>
            </wp:positionV>
            <wp:extent cx="2540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-2516505</wp:posOffset>
            </wp:positionV>
            <wp:extent cx="2603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-2516505</wp:posOffset>
            </wp:positionV>
            <wp:extent cx="2540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-1676400</wp:posOffset>
            </wp:positionV>
            <wp:extent cx="2603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-1676400</wp:posOffset>
            </wp:positionV>
            <wp:extent cx="2540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-982345</wp:posOffset>
            </wp:positionV>
            <wp:extent cx="2603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-982345</wp:posOffset>
            </wp:positionV>
            <wp:extent cx="2540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-699135</wp:posOffset>
            </wp:positionV>
            <wp:extent cx="2603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-699135</wp:posOffset>
            </wp:positionV>
            <wp:extent cx="2540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-416560</wp:posOffset>
            </wp:positionV>
            <wp:extent cx="2603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-416560</wp:posOffset>
            </wp:positionV>
            <wp:extent cx="2540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400" cy="5715"/>
                    </a:xfrm>
                    <a:prstGeom prst="rect">
                      <a:avLst/>
                    </a:prstGeom>
                    <a:noFill/>
                  </pic:spPr>
                </pic:pic>
              </a:graphicData>
            </a:graphic>
          </wp:anchor>
        </w:drawing>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NGT Acquisition Holdings, LLC (dba Techniks Industries)</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Component Manufacturing</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Common Equity (378 units) (j)</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5/24/2017</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500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204</w:t>
            </w:r>
          </w:p>
        </w:tc>
        <w:tc>
          <w:tcPr>
            <w:tcW w:w="700" w:type="dxa"/>
            <w:vAlign w:val="bottom"/>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5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rPr>
              <w:t>OMC Investors, LLC (dba Ohio Medical Corporation)</w:t>
            </w:r>
          </w:p>
        </w:tc>
        <w:tc>
          <w:tcPr>
            <w:tcW w:w="3180" w:type="dxa"/>
            <w:vAlign w:val="bottom"/>
          </w:tcPr>
          <w:p>
            <w:pPr>
              <w:ind w:left="100"/>
              <w:spacing w:after="0"/>
              <w:rPr>
                <w:sz w:val="20"/>
                <w:szCs w:val="20"/>
                <w:color w:val="auto"/>
              </w:rPr>
            </w:pPr>
            <w:r>
              <w:rPr>
                <w:rFonts w:ascii="Arial" w:cs="Arial" w:eastAsia="Arial" w:hAnsi="Arial"/>
                <w:sz w:val="9"/>
                <w:szCs w:val="9"/>
                <w:color w:val="auto"/>
              </w:rPr>
              <w:t>Healthcare Products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13.00%/0.00%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1/26/2021</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6/30/2024</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5,000</w:t>
            </w: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4,963</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5,000</w:t>
            </w: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Common Equity (5,000 units)</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1/15/2016</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209</w:t>
            </w: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743</w:t>
            </w:r>
          </w:p>
        </w:tc>
        <w:tc>
          <w:tcPr>
            <w:tcW w:w="700" w:type="dxa"/>
            <w:vAlign w:val="bottom"/>
          </w:tcPr>
          <w:p>
            <w:pPr>
              <w:spacing w:after="0"/>
              <w:rPr>
                <w:sz w:val="9"/>
                <w:szCs w:val="9"/>
                <w:color w:val="auto"/>
              </w:rPr>
            </w:pPr>
          </w:p>
        </w:tc>
      </w:tr>
      <w:tr>
        <w:trPr>
          <w:trHeight w:val="102"/>
        </w:trPr>
        <w:tc>
          <w:tcPr>
            <w:tcW w:w="2560" w:type="dxa"/>
            <w:vAlign w:val="bottom"/>
            <w:shd w:val="clear" w:color="auto" w:fill="CFF0FC"/>
          </w:tcPr>
          <w:p>
            <w:pPr>
              <w:spacing w:after="0"/>
              <w:rPr>
                <w:sz w:val="8"/>
                <w:szCs w:val="8"/>
                <w:color w:val="auto"/>
              </w:rPr>
            </w:pPr>
          </w:p>
        </w:tc>
        <w:tc>
          <w:tcPr>
            <w:tcW w:w="31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5,172</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5,743</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rPr>
              <w:t>Palisade Company, LLC</w:t>
            </w:r>
          </w:p>
        </w:tc>
        <w:tc>
          <w:tcPr>
            <w:tcW w:w="3180" w:type="dxa"/>
            <w:vAlign w:val="bottom"/>
          </w:tcPr>
          <w:p>
            <w:pPr>
              <w:ind w:left="100"/>
              <w:spacing w:after="0"/>
              <w:rPr>
                <w:sz w:val="20"/>
                <w:szCs w:val="20"/>
                <w:color w:val="auto"/>
              </w:rPr>
            </w:pPr>
            <w:r>
              <w:rPr>
                <w:rFonts w:ascii="Arial" w:cs="Arial" w:eastAsia="Arial" w:hAnsi="Arial"/>
                <w:sz w:val="9"/>
                <w:szCs w:val="9"/>
                <w:color w:val="auto"/>
              </w:rPr>
              <w:t>Information Technology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(50 shares) (j)</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11/15/2018</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1,224</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Palmetto Moon, LLC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Retail</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Common Equity (499 units) (j)</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11/3/2016</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265</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895</w:t>
            </w:r>
          </w:p>
        </w:tc>
        <w:tc>
          <w:tcPr>
            <w:tcW w:w="700" w:type="dxa"/>
            <w:vAlign w:val="bottom"/>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5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rPr>
              <w:t>Pool &amp; Electrical Products, LLC (n)</w:t>
            </w:r>
          </w:p>
        </w:tc>
        <w:tc>
          <w:tcPr>
            <w:tcW w:w="3180" w:type="dxa"/>
            <w:vAlign w:val="bottom"/>
          </w:tcPr>
          <w:p>
            <w:pPr>
              <w:ind w:left="100"/>
              <w:spacing w:after="0"/>
              <w:rPr>
                <w:sz w:val="20"/>
                <w:szCs w:val="20"/>
                <w:color w:val="auto"/>
              </w:rPr>
            </w:pPr>
            <w:r>
              <w:rPr>
                <w:rFonts w:ascii="Arial" w:cs="Arial" w:eastAsia="Arial" w:hAnsi="Arial"/>
                <w:sz w:val="9"/>
                <w:szCs w:val="9"/>
                <w:color w:val="auto"/>
              </w:rPr>
              <w:t>Specialty Distribution</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(15,000 units) (h)(j)</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10/28/2020</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549</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4,466</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Power Grid Components, Inc.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Specialty Distribution</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Second Lien Debt (k)</w:t>
            </w:r>
          </w:p>
        </w:tc>
        <w:tc>
          <w:tcPr>
            <w:tcW w:w="318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11.00%/1.00%</w:t>
            </w:r>
          </w:p>
        </w:tc>
        <w:tc>
          <w:tcPr>
            <w:tcW w:w="800" w:type="dxa"/>
            <w:vAlign w:val="bottom"/>
          </w:tcPr>
          <w:p>
            <w:pPr>
              <w:ind w:left="200"/>
              <w:spacing w:after="0"/>
              <w:rPr>
                <w:sz w:val="20"/>
                <w:szCs w:val="20"/>
                <w:color w:val="auto"/>
              </w:rPr>
            </w:pPr>
            <w:r>
              <w:rPr>
                <w:rFonts w:ascii="Arial" w:cs="Arial" w:eastAsia="Arial" w:hAnsi="Arial"/>
                <w:sz w:val="9"/>
                <w:szCs w:val="9"/>
                <w:color w:val="auto"/>
              </w:rPr>
              <w:t>4/12/2018</w:t>
            </w:r>
          </w:p>
        </w:tc>
        <w:tc>
          <w:tcPr>
            <w:tcW w:w="980" w:type="dxa"/>
            <w:vAlign w:val="bottom"/>
          </w:tcPr>
          <w:p>
            <w:pPr>
              <w:ind w:left="180"/>
              <w:spacing w:after="0"/>
              <w:rPr>
                <w:sz w:val="20"/>
                <w:szCs w:val="20"/>
                <w:color w:val="auto"/>
              </w:rPr>
            </w:pPr>
            <w:r>
              <w:rPr>
                <w:rFonts w:ascii="Arial" w:cs="Arial" w:eastAsia="Arial" w:hAnsi="Arial"/>
                <w:sz w:val="9"/>
                <w:szCs w:val="9"/>
                <w:color w:val="auto"/>
              </w:rPr>
              <w:t>12/2/2025</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17,570</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17,510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17,570</w:t>
            </w: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Preferred Equity (392 shares) (j)</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4/12/2018</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392</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564</w:t>
            </w: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Preferred Equity (48 shares) (j)</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12/2/2019</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70</w:t>
            </w:r>
          </w:p>
        </w:tc>
        <w:tc>
          <w:tcPr>
            <w:tcW w:w="700" w:type="dxa"/>
            <w:vAlign w:val="bottom"/>
          </w:tcPr>
          <w:p>
            <w:pPr>
              <w:spacing w:after="0"/>
              <w:rPr>
                <w:sz w:val="9"/>
                <w:szCs w:val="9"/>
                <w:color w:val="auto"/>
              </w:rPr>
            </w:pPr>
          </w:p>
        </w:tc>
      </w:tr>
      <w:tr>
        <w:trPr>
          <w:trHeight w:val="108"/>
        </w:trPr>
        <w:tc>
          <w:tcPr>
            <w:tcW w:w="2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(10,622 shares) (j)</w:t>
            </w:r>
          </w:p>
        </w:tc>
        <w:tc>
          <w:tcPr>
            <w:tcW w:w="31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4/12/2018</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462</w:t>
            </w:r>
          </w:p>
        </w:tc>
        <w:tc>
          <w:tcPr>
            <w:tcW w:w="1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259</w:t>
            </w:r>
          </w:p>
        </w:tc>
        <w:tc>
          <w:tcPr>
            <w:tcW w:w="700" w:type="dxa"/>
            <w:vAlign w:val="bottom"/>
            <w:tcBorders>
              <w:bottom w:val="single" w:sz="8" w:color="CFF0FC"/>
            </w:tcBorders>
            <w:shd w:val="clear" w:color="auto" w:fill="CFF0FC"/>
          </w:tcPr>
          <w:p>
            <w:pPr>
              <w:spacing w:after="0"/>
              <w:rPr>
                <w:sz w:val="9"/>
                <w:szCs w:val="9"/>
                <w:color w:val="auto"/>
              </w:rPr>
            </w:pPr>
          </w:p>
        </w:tc>
      </w:tr>
      <w:tr>
        <w:trPr>
          <w:trHeight w:val="102"/>
        </w:trPr>
        <w:tc>
          <w:tcPr>
            <w:tcW w:w="2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18,412</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18,463</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PowerGrid Services Acquisition, LLC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Utilities: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180" w:type="dxa"/>
            <w:vAlign w:val="bottom"/>
          </w:tcPr>
          <w:p>
            <w:pPr>
              <w:ind w:left="2140"/>
              <w:spacing w:after="0"/>
              <w:rPr>
                <w:sz w:val="20"/>
                <w:szCs w:val="20"/>
                <w:color w:val="auto"/>
              </w:rPr>
            </w:pPr>
            <w:r>
              <w:rPr>
                <w:rFonts w:ascii="Arial" w:cs="Arial" w:eastAsia="Arial" w:hAnsi="Arial"/>
                <w:sz w:val="9"/>
                <w:szCs w:val="9"/>
                <w:color w:val="auto"/>
              </w:rPr>
              <w:t>(L + 9.50%) / (1.00%)</w:t>
            </w:r>
          </w:p>
        </w:tc>
        <w:tc>
          <w:tcPr>
            <w:tcW w:w="920" w:type="dxa"/>
            <w:vAlign w:val="bottom"/>
          </w:tcPr>
          <w:p>
            <w:pPr>
              <w:ind w:left="180"/>
              <w:spacing w:after="0"/>
              <w:rPr>
                <w:sz w:val="20"/>
                <w:szCs w:val="20"/>
                <w:color w:val="auto"/>
              </w:rPr>
            </w:pPr>
            <w:r>
              <w:rPr>
                <w:rFonts w:ascii="Arial" w:cs="Arial" w:eastAsia="Arial" w:hAnsi="Arial"/>
                <w:sz w:val="9"/>
                <w:szCs w:val="9"/>
                <w:color w:val="auto"/>
              </w:rPr>
              <w:t>10.50%/0.00%</w:t>
            </w:r>
          </w:p>
        </w:tc>
        <w:tc>
          <w:tcPr>
            <w:tcW w:w="800" w:type="dxa"/>
            <w:vAlign w:val="bottom"/>
          </w:tcPr>
          <w:p>
            <w:pPr>
              <w:ind w:left="200"/>
              <w:spacing w:after="0"/>
              <w:rPr>
                <w:sz w:val="20"/>
                <w:szCs w:val="20"/>
                <w:color w:val="auto"/>
              </w:rPr>
            </w:pPr>
            <w:r>
              <w:rPr>
                <w:rFonts w:ascii="Arial" w:cs="Arial" w:eastAsia="Arial" w:hAnsi="Arial"/>
                <w:sz w:val="9"/>
                <w:szCs w:val="9"/>
                <w:color w:val="auto"/>
              </w:rPr>
              <w:t>9/21/2021</w:t>
            </w:r>
          </w:p>
        </w:tc>
        <w:tc>
          <w:tcPr>
            <w:tcW w:w="980" w:type="dxa"/>
            <w:vAlign w:val="bottom"/>
          </w:tcPr>
          <w:p>
            <w:pPr>
              <w:ind w:left="180"/>
              <w:spacing w:after="0"/>
              <w:rPr>
                <w:sz w:val="20"/>
                <w:szCs w:val="20"/>
                <w:color w:val="auto"/>
              </w:rPr>
            </w:pPr>
            <w:r>
              <w:rPr>
                <w:rFonts w:ascii="Arial" w:cs="Arial" w:eastAsia="Arial" w:hAnsi="Arial"/>
                <w:sz w:val="9"/>
                <w:szCs w:val="9"/>
                <w:color w:val="auto"/>
              </w:rPr>
              <w:t>3/21/2029</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10,831</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10,779</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10,779</w:t>
            </w:r>
          </w:p>
        </w:tc>
        <w:tc>
          <w:tcPr>
            <w:tcW w:w="700" w:type="dxa"/>
            <w:vAlign w:val="bottom"/>
          </w:tcPr>
          <w:p>
            <w:pPr>
              <w:spacing w:after="0"/>
              <w:rPr>
                <w:sz w:val="9"/>
                <w:szCs w:val="9"/>
                <w:color w:val="auto"/>
              </w:rPr>
            </w:pPr>
          </w:p>
        </w:tc>
      </w:tr>
      <w:tr>
        <w:trPr>
          <w:trHeight w:val="108"/>
        </w:trPr>
        <w:tc>
          <w:tcPr>
            <w:tcW w:w="2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(5,000 units) (h)(j)</w:t>
            </w:r>
          </w:p>
        </w:tc>
        <w:tc>
          <w:tcPr>
            <w:tcW w:w="31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9/21/2021</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1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700" w:type="dxa"/>
            <w:vAlign w:val="bottom"/>
            <w:tcBorders>
              <w:bottom w:val="single" w:sz="8" w:color="CFF0FC"/>
            </w:tcBorders>
            <w:shd w:val="clear" w:color="auto" w:fill="CFF0FC"/>
          </w:tcPr>
          <w:p>
            <w:pPr>
              <w:spacing w:after="0"/>
              <w:rPr>
                <w:sz w:val="9"/>
                <w:szCs w:val="9"/>
                <w:color w:val="auto"/>
              </w:rPr>
            </w:pPr>
          </w:p>
        </w:tc>
      </w:tr>
      <w:tr>
        <w:trPr>
          <w:trHeight w:val="102"/>
        </w:trPr>
        <w:tc>
          <w:tcPr>
            <w:tcW w:w="2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11,279</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11,279</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2 %</w:t>
            </w: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Prime AE Group, Inc.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Business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First Lien Debt (j)</w:t>
            </w:r>
          </w:p>
        </w:tc>
        <w:tc>
          <w:tcPr>
            <w:tcW w:w="3180" w:type="dxa"/>
            <w:vAlign w:val="bottom"/>
          </w:tcPr>
          <w:p>
            <w:pPr>
              <w:ind w:left="2140"/>
              <w:spacing w:after="0"/>
              <w:rPr>
                <w:sz w:val="20"/>
                <w:szCs w:val="20"/>
                <w:color w:val="auto"/>
              </w:rPr>
            </w:pPr>
            <w:r>
              <w:rPr>
                <w:rFonts w:ascii="Arial" w:cs="Arial" w:eastAsia="Arial" w:hAnsi="Arial"/>
                <w:sz w:val="9"/>
                <w:szCs w:val="9"/>
                <w:color w:val="auto"/>
              </w:rPr>
              <w:t>(L + 6.25%) / (2.00%)</w:t>
            </w:r>
          </w:p>
        </w:tc>
        <w:tc>
          <w:tcPr>
            <w:tcW w:w="920" w:type="dxa"/>
            <w:vAlign w:val="bottom"/>
          </w:tcPr>
          <w:p>
            <w:pPr>
              <w:ind w:left="180"/>
              <w:spacing w:after="0"/>
              <w:rPr>
                <w:sz w:val="20"/>
                <w:szCs w:val="20"/>
                <w:color w:val="auto"/>
              </w:rPr>
            </w:pPr>
            <w:r>
              <w:rPr>
                <w:rFonts w:ascii="Arial" w:cs="Arial" w:eastAsia="Arial" w:hAnsi="Arial"/>
                <w:sz w:val="9"/>
                <w:szCs w:val="9"/>
                <w:color w:val="auto"/>
              </w:rPr>
              <w:t>8.25%/0.00%</w:t>
            </w:r>
          </w:p>
        </w:tc>
        <w:tc>
          <w:tcPr>
            <w:tcW w:w="800" w:type="dxa"/>
            <w:vAlign w:val="bottom"/>
          </w:tcPr>
          <w:p>
            <w:pPr>
              <w:ind w:left="200"/>
              <w:spacing w:after="0"/>
              <w:rPr>
                <w:sz w:val="20"/>
                <w:szCs w:val="20"/>
                <w:color w:val="auto"/>
              </w:rPr>
            </w:pPr>
            <w:r>
              <w:rPr>
                <w:rFonts w:ascii="Arial" w:cs="Arial" w:eastAsia="Arial" w:hAnsi="Arial"/>
                <w:sz w:val="9"/>
                <w:szCs w:val="9"/>
                <w:color w:val="auto"/>
              </w:rPr>
              <w:t>11/25/2019</w:t>
            </w:r>
          </w:p>
        </w:tc>
        <w:tc>
          <w:tcPr>
            <w:tcW w:w="980" w:type="dxa"/>
            <w:vAlign w:val="bottom"/>
          </w:tcPr>
          <w:p>
            <w:pPr>
              <w:ind w:left="180"/>
              <w:spacing w:after="0"/>
              <w:rPr>
                <w:sz w:val="20"/>
                <w:szCs w:val="20"/>
                <w:color w:val="auto"/>
              </w:rPr>
            </w:pPr>
            <w:r>
              <w:rPr>
                <w:rFonts w:ascii="Arial" w:cs="Arial" w:eastAsia="Arial" w:hAnsi="Arial"/>
                <w:sz w:val="9"/>
                <w:szCs w:val="9"/>
                <w:color w:val="auto"/>
              </w:rPr>
              <w:t>11/25/2024</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6,167</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6,055</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6,167</w:t>
            </w:r>
          </w:p>
        </w:tc>
        <w:tc>
          <w:tcPr>
            <w:tcW w:w="700" w:type="dxa"/>
            <w:vAlign w:val="bottom"/>
          </w:tcPr>
          <w:p>
            <w:pPr>
              <w:spacing w:after="0"/>
              <w:rPr>
                <w:sz w:val="9"/>
                <w:szCs w:val="9"/>
                <w:color w:val="auto"/>
              </w:rPr>
            </w:pPr>
          </w:p>
        </w:tc>
      </w:tr>
      <w:tr>
        <w:trPr>
          <w:trHeight w:val="108"/>
        </w:trPr>
        <w:tc>
          <w:tcPr>
            <w:tcW w:w="2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Preferred Equity (900,000 shares) (j)</w:t>
            </w:r>
          </w:p>
        </w:tc>
        <w:tc>
          <w:tcPr>
            <w:tcW w:w="31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11/25/2019</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900</w:t>
            </w:r>
          </w:p>
        </w:tc>
        <w:tc>
          <w:tcPr>
            <w:tcW w:w="1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462</w:t>
            </w:r>
          </w:p>
        </w:tc>
        <w:tc>
          <w:tcPr>
            <w:tcW w:w="700" w:type="dxa"/>
            <w:vAlign w:val="bottom"/>
            <w:tcBorders>
              <w:bottom w:val="single" w:sz="8" w:color="CFF0FC"/>
            </w:tcBorders>
            <w:shd w:val="clear" w:color="auto" w:fill="CFF0FC"/>
          </w:tcPr>
          <w:p>
            <w:pPr>
              <w:spacing w:after="0"/>
              <w:rPr>
                <w:sz w:val="9"/>
                <w:szCs w:val="9"/>
                <w:color w:val="auto"/>
              </w:rPr>
            </w:pPr>
          </w:p>
        </w:tc>
      </w:tr>
      <w:tr>
        <w:trPr>
          <w:trHeight w:val="102"/>
        </w:trPr>
        <w:tc>
          <w:tcPr>
            <w:tcW w:w="2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6,955</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6,629</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2 %</w:t>
            </w: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Pugh Lubricants, LLC (n)</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Specialty Distribution</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Common Equity (3,062 units) (h)(j)</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11/10/2016</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700" w:type="dxa"/>
            <w:vAlign w:val="bottom"/>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5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rPr>
              <w:t>Rhino Assembly Company, LLC</w:t>
            </w:r>
          </w:p>
        </w:tc>
        <w:tc>
          <w:tcPr>
            <w:tcW w:w="3180" w:type="dxa"/>
            <w:vAlign w:val="bottom"/>
          </w:tcPr>
          <w:p>
            <w:pPr>
              <w:ind w:left="100"/>
              <w:spacing w:after="0"/>
              <w:rPr>
                <w:sz w:val="20"/>
                <w:szCs w:val="20"/>
                <w:color w:val="auto"/>
              </w:rPr>
            </w:pPr>
            <w:r>
              <w:rPr>
                <w:rFonts w:ascii="Arial" w:cs="Arial" w:eastAsia="Arial" w:hAnsi="Arial"/>
                <w:sz w:val="9"/>
                <w:szCs w:val="9"/>
                <w:color w:val="auto"/>
              </w:rPr>
              <w:t>Specialty Distribution</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 (k)</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12.00%/1.00%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8/11/2017</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2/11/2023</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13,804</w:t>
            </w: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13,791</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13,804</w:t>
            </w: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w w:val="95"/>
              </w:rPr>
              <w:t>Delayed Draw Commitment ($875 unfunded commitment) (i)(j)</w:t>
            </w:r>
          </w:p>
        </w:tc>
        <w:tc>
          <w:tcPr>
            <w:tcW w:w="318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12.00%/1.00%</w:t>
            </w:r>
          </w:p>
        </w:tc>
        <w:tc>
          <w:tcPr>
            <w:tcW w:w="800" w:type="dxa"/>
            <w:vAlign w:val="bottom"/>
          </w:tcPr>
          <w:p>
            <w:pPr>
              <w:ind w:left="200"/>
              <w:spacing w:after="0"/>
              <w:rPr>
                <w:sz w:val="20"/>
                <w:szCs w:val="20"/>
                <w:color w:val="auto"/>
              </w:rPr>
            </w:pPr>
            <w:r>
              <w:rPr>
                <w:rFonts w:ascii="Arial" w:cs="Arial" w:eastAsia="Arial" w:hAnsi="Arial"/>
                <w:sz w:val="9"/>
                <w:szCs w:val="9"/>
                <w:color w:val="auto"/>
              </w:rPr>
              <w:t>8/11/2017</w:t>
            </w:r>
          </w:p>
        </w:tc>
        <w:tc>
          <w:tcPr>
            <w:tcW w:w="980" w:type="dxa"/>
            <w:vAlign w:val="bottom"/>
          </w:tcPr>
          <w:p>
            <w:pPr>
              <w:ind w:left="180"/>
              <w:spacing w:after="0"/>
              <w:rPr>
                <w:sz w:val="20"/>
                <w:szCs w:val="20"/>
                <w:color w:val="auto"/>
              </w:rPr>
            </w:pPr>
            <w:r>
              <w:rPr>
                <w:rFonts w:ascii="Arial" w:cs="Arial" w:eastAsia="Arial" w:hAnsi="Arial"/>
                <w:sz w:val="9"/>
                <w:szCs w:val="9"/>
                <w:color w:val="auto"/>
              </w:rPr>
              <w:t>5/17/2022</w:t>
            </w:r>
          </w:p>
        </w:tc>
        <w:tc>
          <w:tcPr>
            <w:tcW w:w="920" w:type="dxa"/>
            <w:vAlign w:val="bottom"/>
            <w:gridSpan w:val="2"/>
          </w:tcPr>
          <w:p>
            <w:pPr>
              <w:jc w:val="right"/>
              <w:ind w:right="255"/>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(Class A Units) (8,864 units) (h)(j)</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8/11/2017</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925</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1,115</w:t>
            </w: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Preferred Equity (Units N/A) (h)(j)</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12/10/2020</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268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282</w:t>
            </w:r>
          </w:p>
        </w:tc>
        <w:tc>
          <w:tcPr>
            <w:tcW w:w="700" w:type="dxa"/>
            <w:vAlign w:val="bottom"/>
          </w:tcPr>
          <w:p>
            <w:pPr>
              <w:spacing w:after="0"/>
              <w:rPr>
                <w:sz w:val="9"/>
                <w:szCs w:val="9"/>
                <w:color w:val="auto"/>
              </w:rPr>
            </w:pPr>
          </w:p>
        </w:tc>
      </w:tr>
      <w:tr>
        <w:trPr>
          <w:trHeight w:val="108"/>
        </w:trPr>
        <w:tc>
          <w:tcPr>
            <w:tcW w:w="2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(Class W Units) (710 units) (h)(j)</w:t>
            </w:r>
          </w:p>
        </w:tc>
        <w:tc>
          <w:tcPr>
            <w:tcW w:w="31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12/10/2020</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FF0FC"/>
            </w:tcBorders>
            <w:shd w:val="clear" w:color="auto" w:fill="CFF0FC"/>
          </w:tcPr>
          <w:p>
            <w:pPr>
              <w:spacing w:after="0"/>
              <w:rPr>
                <w:sz w:val="9"/>
                <w:szCs w:val="9"/>
                <w:color w:val="auto"/>
              </w:rPr>
            </w:pPr>
          </w:p>
        </w:tc>
      </w:tr>
      <w:tr>
        <w:trPr>
          <w:trHeight w:val="101"/>
        </w:trPr>
        <w:tc>
          <w:tcPr>
            <w:tcW w:w="2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14,984</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15,201</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3 %</w:t>
            </w: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Road Safety Services, Inc.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Business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Second Lien Debt</w:t>
            </w:r>
          </w:p>
        </w:tc>
        <w:tc>
          <w:tcPr>
            <w:tcW w:w="318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11.25%/2.00%</w:t>
            </w:r>
          </w:p>
        </w:tc>
        <w:tc>
          <w:tcPr>
            <w:tcW w:w="800" w:type="dxa"/>
            <w:vAlign w:val="bottom"/>
          </w:tcPr>
          <w:p>
            <w:pPr>
              <w:ind w:left="200"/>
              <w:spacing w:after="0"/>
              <w:rPr>
                <w:sz w:val="20"/>
                <w:szCs w:val="20"/>
                <w:color w:val="auto"/>
              </w:rPr>
            </w:pPr>
            <w:r>
              <w:rPr>
                <w:rFonts w:ascii="Arial" w:cs="Arial" w:eastAsia="Arial" w:hAnsi="Arial"/>
                <w:sz w:val="9"/>
                <w:szCs w:val="9"/>
                <w:color w:val="auto"/>
              </w:rPr>
              <w:t>9/18/2018</w:t>
            </w:r>
          </w:p>
        </w:tc>
        <w:tc>
          <w:tcPr>
            <w:tcW w:w="980" w:type="dxa"/>
            <w:vAlign w:val="bottom"/>
          </w:tcPr>
          <w:p>
            <w:pPr>
              <w:ind w:left="180"/>
              <w:spacing w:after="0"/>
              <w:rPr>
                <w:sz w:val="20"/>
                <w:szCs w:val="20"/>
                <w:color w:val="auto"/>
              </w:rPr>
            </w:pPr>
            <w:r>
              <w:rPr>
                <w:rFonts w:ascii="Arial" w:cs="Arial" w:eastAsia="Arial" w:hAnsi="Arial"/>
                <w:sz w:val="9"/>
                <w:szCs w:val="9"/>
                <w:color w:val="auto"/>
              </w:rPr>
              <w:t>9/18/2025</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15,525</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15,481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15,525</w:t>
            </w:r>
          </w:p>
        </w:tc>
        <w:tc>
          <w:tcPr>
            <w:tcW w:w="700" w:type="dxa"/>
            <w:vAlign w:val="bottom"/>
          </w:tcPr>
          <w:p>
            <w:pPr>
              <w:spacing w:after="0"/>
              <w:rPr>
                <w:sz w:val="9"/>
                <w:szCs w:val="9"/>
                <w:color w:val="auto"/>
              </w:rPr>
            </w:pPr>
          </w:p>
        </w:tc>
      </w:tr>
      <w:tr>
        <w:trPr>
          <w:trHeight w:val="108"/>
        </w:trPr>
        <w:tc>
          <w:tcPr>
            <w:tcW w:w="2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(779 units)</w:t>
            </w:r>
          </w:p>
        </w:tc>
        <w:tc>
          <w:tcPr>
            <w:tcW w:w="31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9/18/2018</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1,121</w:t>
            </w:r>
          </w:p>
        </w:tc>
        <w:tc>
          <w:tcPr>
            <w:tcW w:w="1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1,285</w:t>
            </w:r>
          </w:p>
        </w:tc>
        <w:tc>
          <w:tcPr>
            <w:tcW w:w="700" w:type="dxa"/>
            <w:vAlign w:val="bottom"/>
            <w:tcBorders>
              <w:bottom w:val="single" w:sz="8" w:color="CFF0FC"/>
            </w:tcBorders>
            <w:shd w:val="clear" w:color="auto" w:fill="CFF0FC"/>
          </w:tcPr>
          <w:p>
            <w:pPr>
              <w:spacing w:after="0"/>
              <w:rPr>
                <w:sz w:val="9"/>
                <w:szCs w:val="9"/>
                <w:color w:val="auto"/>
              </w:rPr>
            </w:pPr>
          </w:p>
        </w:tc>
      </w:tr>
      <w:tr>
        <w:trPr>
          <w:trHeight w:val="102"/>
        </w:trPr>
        <w:tc>
          <w:tcPr>
            <w:tcW w:w="2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16,602</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16,810</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SES Investors, LLC (dba SES Foam)</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Building Products Manufacturing</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Common Equity (6,000 units) (h)(j)</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9/8/2016</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404</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4,089</w:t>
            </w:r>
          </w:p>
        </w:tc>
        <w:tc>
          <w:tcPr>
            <w:tcW w:w="700" w:type="dxa"/>
            <w:vAlign w:val="bottom"/>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25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rPr>
              <w:t>SpendMend LLC</w:t>
            </w:r>
          </w:p>
        </w:tc>
        <w:tc>
          <w:tcPr>
            <w:tcW w:w="3180" w:type="dxa"/>
            <w:vAlign w:val="bottom"/>
          </w:tcPr>
          <w:p>
            <w:pPr>
              <w:ind w:left="100"/>
              <w:spacing w:after="0"/>
              <w:rPr>
                <w:sz w:val="20"/>
                <w:szCs w:val="20"/>
                <w:color w:val="auto"/>
              </w:rPr>
            </w:pPr>
            <w:r>
              <w:rPr>
                <w:rFonts w:ascii="Arial" w:cs="Arial" w:eastAsia="Arial" w:hAnsi="Arial"/>
                <w:sz w:val="9"/>
                <w:szCs w:val="9"/>
                <w:color w:val="auto"/>
              </w:rPr>
              <w:t>Business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(1,000,000 units)</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1/8/2018</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994</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6,257</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Suited Connector LLC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Information Technology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180" w:type="dxa"/>
            <w:vAlign w:val="bottom"/>
          </w:tcPr>
          <w:p>
            <w:pPr>
              <w:spacing w:after="0"/>
              <w:rPr>
                <w:sz w:val="9"/>
                <w:szCs w:val="9"/>
                <w:color w:val="auto"/>
              </w:rPr>
            </w:pPr>
          </w:p>
        </w:tc>
        <w:tc>
          <w:tcPr>
            <w:tcW w:w="920" w:type="dxa"/>
            <w:vAlign w:val="bottom"/>
          </w:tcPr>
          <w:p>
            <w:pPr>
              <w:ind w:left="180"/>
              <w:spacing w:after="0"/>
              <w:rPr>
                <w:sz w:val="20"/>
                <w:szCs w:val="20"/>
                <w:color w:val="auto"/>
              </w:rPr>
            </w:pPr>
            <w:r>
              <w:rPr>
                <w:rFonts w:ascii="Arial" w:cs="Arial" w:eastAsia="Arial" w:hAnsi="Arial"/>
                <w:sz w:val="9"/>
                <w:szCs w:val="9"/>
                <w:color w:val="auto"/>
              </w:rPr>
              <w:t>12.00%/0.00%</w:t>
            </w:r>
          </w:p>
        </w:tc>
        <w:tc>
          <w:tcPr>
            <w:tcW w:w="800" w:type="dxa"/>
            <w:vAlign w:val="bottom"/>
          </w:tcPr>
          <w:p>
            <w:pPr>
              <w:ind w:left="200"/>
              <w:spacing w:after="0"/>
              <w:rPr>
                <w:sz w:val="20"/>
                <w:szCs w:val="20"/>
                <w:color w:val="auto"/>
              </w:rPr>
            </w:pPr>
            <w:r>
              <w:rPr>
                <w:rFonts w:ascii="Arial" w:cs="Arial" w:eastAsia="Arial" w:hAnsi="Arial"/>
                <w:sz w:val="9"/>
                <w:szCs w:val="9"/>
                <w:color w:val="auto"/>
              </w:rPr>
              <w:t>10/29/2021</w:t>
            </w:r>
          </w:p>
        </w:tc>
        <w:tc>
          <w:tcPr>
            <w:tcW w:w="980" w:type="dxa"/>
            <w:vAlign w:val="bottom"/>
          </w:tcPr>
          <w:p>
            <w:pPr>
              <w:ind w:left="180"/>
              <w:spacing w:after="0"/>
              <w:rPr>
                <w:sz w:val="20"/>
                <w:szCs w:val="20"/>
                <w:color w:val="auto"/>
              </w:rPr>
            </w:pPr>
            <w:r>
              <w:rPr>
                <w:rFonts w:ascii="Arial" w:cs="Arial" w:eastAsia="Arial" w:hAnsi="Arial"/>
                <w:sz w:val="9"/>
                <w:szCs w:val="9"/>
                <w:color w:val="auto"/>
              </w:rPr>
              <w:t>6/1/2028</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16,000</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15,921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15,921</w:t>
            </w:r>
          </w:p>
        </w:tc>
        <w:tc>
          <w:tcPr>
            <w:tcW w:w="700" w:type="dxa"/>
            <w:vAlign w:val="bottom"/>
          </w:tcPr>
          <w:p>
            <w:pPr>
              <w:spacing w:after="0"/>
              <w:rPr>
                <w:sz w:val="9"/>
                <w:szCs w:val="9"/>
                <w:color w:val="auto"/>
              </w:rPr>
            </w:pPr>
          </w:p>
        </w:tc>
      </w:tr>
      <w:tr>
        <w:trPr>
          <w:trHeight w:val="108"/>
        </w:trPr>
        <w:tc>
          <w:tcPr>
            <w:tcW w:w="2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(7,500 units) (h)(j)</w:t>
            </w:r>
          </w:p>
        </w:tc>
        <w:tc>
          <w:tcPr>
            <w:tcW w:w="31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12/1/2021</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750</w:t>
            </w:r>
          </w:p>
        </w:tc>
        <w:tc>
          <w:tcPr>
            <w:tcW w:w="1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750</w:t>
            </w:r>
          </w:p>
        </w:tc>
        <w:tc>
          <w:tcPr>
            <w:tcW w:w="700" w:type="dxa"/>
            <w:vAlign w:val="bottom"/>
            <w:tcBorders>
              <w:bottom w:val="single" w:sz="8" w:color="CFF0FC"/>
            </w:tcBorders>
            <w:shd w:val="clear" w:color="auto" w:fill="CFF0FC"/>
          </w:tcPr>
          <w:p>
            <w:pPr>
              <w:spacing w:after="0"/>
              <w:rPr>
                <w:sz w:val="9"/>
                <w:szCs w:val="9"/>
                <w:color w:val="auto"/>
              </w:rPr>
            </w:pPr>
          </w:p>
        </w:tc>
      </w:tr>
      <w:tr>
        <w:trPr>
          <w:trHeight w:val="102"/>
        </w:trPr>
        <w:tc>
          <w:tcPr>
            <w:tcW w:w="2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16,671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16,671</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3 %</w:t>
            </w: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TransGo, LLC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Component Manufacturing</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Common Equity (500 units) (j)</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2/28/2017</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428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1,878</w:t>
            </w:r>
          </w:p>
        </w:tc>
        <w:tc>
          <w:tcPr>
            <w:tcW w:w="700" w:type="dxa"/>
            <w:vAlign w:val="bottom"/>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25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rPr>
              <w:t>The Tranzonic Companies</w:t>
            </w:r>
          </w:p>
        </w:tc>
        <w:tc>
          <w:tcPr>
            <w:tcW w:w="3180" w:type="dxa"/>
            <w:vAlign w:val="bottom"/>
          </w:tcPr>
          <w:p>
            <w:pPr>
              <w:ind w:left="100"/>
              <w:spacing w:after="0"/>
              <w:rPr>
                <w:sz w:val="20"/>
                <w:szCs w:val="20"/>
                <w:color w:val="auto"/>
              </w:rPr>
            </w:pPr>
            <w:r>
              <w:rPr>
                <w:rFonts w:ascii="Arial" w:cs="Arial" w:eastAsia="Arial" w:hAnsi="Arial"/>
                <w:sz w:val="9"/>
                <w:szCs w:val="9"/>
                <w:color w:val="auto"/>
              </w:rPr>
              <w:t>Specialty Distribution</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Preferred Equity (5,653 units) (j)</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3/27/2018</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565</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802</w:t>
            </w: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Common Equity (1 units) (j)</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3/27/2018</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1,231</w:t>
            </w:r>
          </w:p>
        </w:tc>
        <w:tc>
          <w:tcPr>
            <w:tcW w:w="700" w:type="dxa"/>
            <w:vAlign w:val="bottom"/>
          </w:tcPr>
          <w:p>
            <w:pPr>
              <w:spacing w:after="0"/>
              <w:rPr>
                <w:sz w:val="9"/>
                <w:szCs w:val="9"/>
                <w:color w:val="auto"/>
              </w:rPr>
            </w:pPr>
          </w:p>
        </w:tc>
      </w:tr>
      <w:tr>
        <w:trPr>
          <w:trHeight w:val="102"/>
        </w:trPr>
        <w:tc>
          <w:tcPr>
            <w:tcW w:w="2560" w:type="dxa"/>
            <w:vAlign w:val="bottom"/>
            <w:shd w:val="clear" w:color="auto" w:fill="CFF0FC"/>
          </w:tcPr>
          <w:p>
            <w:pPr>
              <w:spacing w:after="0"/>
              <w:rPr>
                <w:sz w:val="8"/>
                <w:szCs w:val="8"/>
                <w:color w:val="auto"/>
              </w:rPr>
            </w:pPr>
          </w:p>
        </w:tc>
        <w:tc>
          <w:tcPr>
            <w:tcW w:w="31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565</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2,033</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rPr>
              <w:t>UBEO, LLC</w:t>
            </w:r>
          </w:p>
        </w:tc>
        <w:tc>
          <w:tcPr>
            <w:tcW w:w="3180" w:type="dxa"/>
            <w:vAlign w:val="bottom"/>
          </w:tcPr>
          <w:p>
            <w:pPr>
              <w:ind w:left="100"/>
              <w:spacing w:after="0"/>
              <w:rPr>
                <w:sz w:val="20"/>
                <w:szCs w:val="20"/>
                <w:color w:val="auto"/>
              </w:rPr>
            </w:pPr>
            <w:r>
              <w:rPr>
                <w:rFonts w:ascii="Arial" w:cs="Arial" w:eastAsia="Arial" w:hAnsi="Arial"/>
                <w:sz w:val="9"/>
                <w:szCs w:val="9"/>
                <w:color w:val="auto"/>
              </w:rPr>
              <w:t>Business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(705,000 units) (h)(j)</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4/3/2018</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645</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884</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United Biologics, LLC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Healthcare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Preferred Equity (98,377 units) (h)(j)</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4/1/2012</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1,008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9"/>
                <w:szCs w:val="9"/>
                <w:color w:val="auto"/>
              </w:rPr>
            </w:pPr>
          </w:p>
        </w:tc>
      </w:tr>
      <w:tr>
        <w:trPr>
          <w:trHeight w:val="108"/>
        </w:trPr>
        <w:tc>
          <w:tcPr>
            <w:tcW w:w="2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Warrant (57,469 units) (j)(m)</w:t>
            </w:r>
          </w:p>
        </w:tc>
        <w:tc>
          <w:tcPr>
            <w:tcW w:w="31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9"/>
                <w:szCs w:val="9"/>
                <w:color w:val="auto"/>
              </w:rPr>
              <w:t>3/5/2012</w:t>
            </w: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566</w:t>
            </w:r>
          </w:p>
        </w:tc>
        <w:tc>
          <w:tcPr>
            <w:tcW w:w="1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FF0FC"/>
            </w:tcBorders>
            <w:shd w:val="clear" w:color="auto" w:fill="CFF0FC"/>
          </w:tcPr>
          <w:p>
            <w:pPr>
              <w:spacing w:after="0"/>
              <w:rPr>
                <w:sz w:val="9"/>
                <w:szCs w:val="9"/>
                <w:color w:val="auto"/>
              </w:rPr>
            </w:pPr>
          </w:p>
        </w:tc>
      </w:tr>
      <w:tr>
        <w:trPr>
          <w:trHeight w:val="101"/>
        </w:trPr>
        <w:tc>
          <w:tcPr>
            <w:tcW w:w="2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1,574</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0 %</w:t>
            </w: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UPG Company, LLC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Component Manufacturing</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First Lien Debt (j)(al)</w:t>
            </w:r>
          </w:p>
        </w:tc>
        <w:tc>
          <w:tcPr>
            <w:tcW w:w="3180" w:type="dxa"/>
            <w:vAlign w:val="bottom"/>
          </w:tcPr>
          <w:p>
            <w:pPr>
              <w:ind w:left="2140"/>
              <w:spacing w:after="0"/>
              <w:rPr>
                <w:sz w:val="20"/>
                <w:szCs w:val="20"/>
                <w:color w:val="auto"/>
              </w:rPr>
            </w:pPr>
            <w:r>
              <w:rPr>
                <w:rFonts w:ascii="Arial" w:cs="Arial" w:eastAsia="Arial" w:hAnsi="Arial"/>
                <w:sz w:val="9"/>
                <w:szCs w:val="9"/>
                <w:color w:val="auto"/>
              </w:rPr>
              <w:t>(L + 8.25%) / (0.50%)</w:t>
            </w:r>
          </w:p>
        </w:tc>
        <w:tc>
          <w:tcPr>
            <w:tcW w:w="920" w:type="dxa"/>
            <w:vAlign w:val="bottom"/>
          </w:tcPr>
          <w:p>
            <w:pPr>
              <w:ind w:left="180"/>
              <w:spacing w:after="0"/>
              <w:rPr>
                <w:sz w:val="20"/>
                <w:szCs w:val="20"/>
                <w:color w:val="auto"/>
              </w:rPr>
            </w:pPr>
            <w:r>
              <w:rPr>
                <w:rFonts w:ascii="Arial" w:cs="Arial" w:eastAsia="Arial" w:hAnsi="Arial"/>
                <w:sz w:val="9"/>
                <w:szCs w:val="9"/>
                <w:color w:val="auto"/>
              </w:rPr>
              <w:t>8.75%/0.00%</w:t>
            </w:r>
          </w:p>
        </w:tc>
        <w:tc>
          <w:tcPr>
            <w:tcW w:w="800" w:type="dxa"/>
            <w:vAlign w:val="bottom"/>
          </w:tcPr>
          <w:p>
            <w:pPr>
              <w:ind w:left="200"/>
              <w:spacing w:after="0"/>
              <w:rPr>
                <w:sz w:val="20"/>
                <w:szCs w:val="20"/>
                <w:color w:val="auto"/>
              </w:rPr>
            </w:pPr>
            <w:r>
              <w:rPr>
                <w:rFonts w:ascii="Arial" w:cs="Arial" w:eastAsia="Arial" w:hAnsi="Arial"/>
                <w:sz w:val="9"/>
                <w:szCs w:val="9"/>
                <w:color w:val="auto"/>
              </w:rPr>
              <w:t>6/21/2021</w:t>
            </w:r>
          </w:p>
        </w:tc>
        <w:tc>
          <w:tcPr>
            <w:tcW w:w="980" w:type="dxa"/>
            <w:vAlign w:val="bottom"/>
          </w:tcPr>
          <w:p>
            <w:pPr>
              <w:ind w:left="180"/>
              <w:spacing w:after="0"/>
              <w:rPr>
                <w:sz w:val="20"/>
                <w:szCs w:val="20"/>
                <w:color w:val="auto"/>
              </w:rPr>
            </w:pPr>
            <w:r>
              <w:rPr>
                <w:rFonts w:ascii="Arial" w:cs="Arial" w:eastAsia="Arial" w:hAnsi="Arial"/>
                <w:sz w:val="9"/>
                <w:szCs w:val="9"/>
                <w:color w:val="auto"/>
              </w:rPr>
              <w:t>6/21/2024</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12,000</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11,922</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12,000</w:t>
            </w:r>
          </w:p>
        </w:tc>
        <w:tc>
          <w:tcPr>
            <w:tcW w:w="700" w:type="dxa"/>
            <w:vAlign w:val="bottom"/>
          </w:tcPr>
          <w:p>
            <w:pPr>
              <w:jc w:val="right"/>
              <w:spacing w:after="0"/>
              <w:rPr>
                <w:sz w:val="20"/>
                <w:szCs w:val="20"/>
                <w:color w:val="auto"/>
              </w:rPr>
            </w:pPr>
            <w:r>
              <w:rPr>
                <w:rFonts w:ascii="Arial" w:cs="Arial" w:eastAsia="Arial" w:hAnsi="Arial"/>
                <w:sz w:val="9"/>
                <w:szCs w:val="9"/>
                <w:color w:val="auto"/>
              </w:rPr>
              <w:t>3 %</w:t>
            </w:r>
          </w:p>
        </w:tc>
      </w:tr>
      <w:tr>
        <w:trPr>
          <w:trHeight w:val="108"/>
        </w:trPr>
        <w:tc>
          <w:tcPr>
            <w:tcW w:w="25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rPr>
              <w:t>Virginia Tile Company, LLC</w:t>
            </w:r>
          </w:p>
        </w:tc>
        <w:tc>
          <w:tcPr>
            <w:tcW w:w="3180" w:type="dxa"/>
            <w:vAlign w:val="bottom"/>
          </w:tcPr>
          <w:p>
            <w:pPr>
              <w:ind w:left="100"/>
              <w:spacing w:after="0"/>
              <w:rPr>
                <w:sz w:val="20"/>
                <w:szCs w:val="20"/>
                <w:color w:val="auto"/>
              </w:rPr>
            </w:pPr>
            <w:r>
              <w:rPr>
                <w:rFonts w:ascii="Arial" w:cs="Arial" w:eastAsia="Arial" w:hAnsi="Arial"/>
                <w:sz w:val="9"/>
                <w:szCs w:val="9"/>
                <w:color w:val="auto"/>
              </w:rPr>
              <w:t>Specialty Distribution</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(17 units) (j)</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12/19/2014</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342</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933</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Western's Smokehouse, LLC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Consumer Products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First Lien Debt (j)(ab)</w:t>
            </w:r>
          </w:p>
        </w:tc>
        <w:tc>
          <w:tcPr>
            <w:tcW w:w="3180" w:type="dxa"/>
            <w:vAlign w:val="bottom"/>
          </w:tcPr>
          <w:p>
            <w:pPr>
              <w:ind w:left="2140"/>
              <w:spacing w:after="0"/>
              <w:rPr>
                <w:sz w:val="20"/>
                <w:szCs w:val="20"/>
                <w:color w:val="auto"/>
              </w:rPr>
            </w:pPr>
            <w:r>
              <w:rPr>
                <w:rFonts w:ascii="Arial" w:cs="Arial" w:eastAsia="Arial" w:hAnsi="Arial"/>
                <w:sz w:val="9"/>
                <w:szCs w:val="9"/>
                <w:color w:val="auto"/>
              </w:rPr>
              <w:t>(L + 6.50%) / (1.25%)</w:t>
            </w:r>
          </w:p>
        </w:tc>
        <w:tc>
          <w:tcPr>
            <w:tcW w:w="920" w:type="dxa"/>
            <w:vAlign w:val="bottom"/>
          </w:tcPr>
          <w:p>
            <w:pPr>
              <w:ind w:left="180"/>
              <w:spacing w:after="0"/>
              <w:rPr>
                <w:sz w:val="20"/>
                <w:szCs w:val="20"/>
                <w:color w:val="auto"/>
              </w:rPr>
            </w:pPr>
            <w:r>
              <w:rPr>
                <w:rFonts w:ascii="Arial" w:cs="Arial" w:eastAsia="Arial" w:hAnsi="Arial"/>
                <w:sz w:val="9"/>
                <w:szCs w:val="9"/>
                <w:color w:val="auto"/>
              </w:rPr>
              <w:t>7.75%/0.00%</w:t>
            </w:r>
          </w:p>
        </w:tc>
        <w:tc>
          <w:tcPr>
            <w:tcW w:w="800" w:type="dxa"/>
            <w:vAlign w:val="bottom"/>
          </w:tcPr>
          <w:p>
            <w:pPr>
              <w:ind w:left="200"/>
              <w:spacing w:after="0"/>
              <w:rPr>
                <w:sz w:val="20"/>
                <w:szCs w:val="20"/>
                <w:color w:val="auto"/>
              </w:rPr>
            </w:pPr>
            <w:r>
              <w:rPr>
                <w:rFonts w:ascii="Arial" w:cs="Arial" w:eastAsia="Arial" w:hAnsi="Arial"/>
                <w:sz w:val="9"/>
                <w:szCs w:val="9"/>
                <w:color w:val="auto"/>
              </w:rPr>
              <w:t>2/28/2020</w:t>
            </w:r>
          </w:p>
        </w:tc>
        <w:tc>
          <w:tcPr>
            <w:tcW w:w="980" w:type="dxa"/>
            <w:vAlign w:val="bottom"/>
          </w:tcPr>
          <w:p>
            <w:pPr>
              <w:ind w:left="180"/>
              <w:spacing w:after="0"/>
              <w:rPr>
                <w:sz w:val="20"/>
                <w:szCs w:val="20"/>
                <w:color w:val="auto"/>
              </w:rPr>
            </w:pPr>
            <w:r>
              <w:rPr>
                <w:rFonts w:ascii="Arial" w:cs="Arial" w:eastAsia="Arial" w:hAnsi="Arial"/>
                <w:sz w:val="9"/>
                <w:szCs w:val="9"/>
                <w:color w:val="auto"/>
              </w:rPr>
              <w:t>12/23/2024</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9,625</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9,532</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9,625</w:t>
            </w:r>
          </w:p>
        </w:tc>
        <w:tc>
          <w:tcPr>
            <w:tcW w:w="700" w:type="dxa"/>
            <w:vAlign w:val="bottom"/>
          </w:tcPr>
          <w:p>
            <w:pPr>
              <w:jc w:val="right"/>
              <w:spacing w:after="0"/>
              <w:rPr>
                <w:sz w:val="20"/>
                <w:szCs w:val="20"/>
                <w:color w:val="auto"/>
              </w:rPr>
            </w:pPr>
            <w:r>
              <w:rPr>
                <w:rFonts w:ascii="Arial" w:cs="Arial" w:eastAsia="Arial" w:hAnsi="Arial"/>
                <w:sz w:val="9"/>
                <w:szCs w:val="9"/>
                <w:color w:val="auto"/>
              </w:rPr>
              <w:t>2 %</w:t>
            </w:r>
          </w:p>
        </w:tc>
      </w:tr>
      <w:tr>
        <w:trPr>
          <w:trHeight w:val="108"/>
        </w:trPr>
        <w:tc>
          <w:tcPr>
            <w:tcW w:w="25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rPr>
              <w:t>Winona Foods, Inc.</w:t>
            </w:r>
          </w:p>
        </w:tc>
        <w:tc>
          <w:tcPr>
            <w:tcW w:w="3180" w:type="dxa"/>
            <w:vAlign w:val="bottom"/>
          </w:tcPr>
          <w:p>
            <w:pPr>
              <w:ind w:left="100"/>
              <w:spacing w:after="0"/>
              <w:rPr>
                <w:sz w:val="20"/>
                <w:szCs w:val="20"/>
                <w:color w:val="auto"/>
              </w:rPr>
            </w:pPr>
            <w:r>
              <w:rPr>
                <w:rFonts w:ascii="Arial" w:cs="Arial" w:eastAsia="Arial" w:hAnsi="Arial"/>
                <w:sz w:val="9"/>
                <w:szCs w:val="9"/>
                <w:color w:val="auto"/>
              </w:rPr>
              <w:t>Specialty Distribution</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(j)(am)</w:t>
            </w:r>
          </w:p>
        </w:tc>
        <w:tc>
          <w:tcPr>
            <w:tcW w:w="3180" w:type="dxa"/>
            <w:vAlign w:val="bottom"/>
            <w:shd w:val="clear" w:color="auto" w:fill="CFF0FC"/>
          </w:tcPr>
          <w:p>
            <w:pPr>
              <w:ind w:left="2140"/>
              <w:spacing w:after="0"/>
              <w:rPr>
                <w:sz w:val="20"/>
                <w:szCs w:val="20"/>
                <w:color w:val="auto"/>
              </w:rPr>
            </w:pPr>
            <w:r>
              <w:rPr>
                <w:rFonts w:ascii="Arial" w:cs="Arial" w:eastAsia="Arial" w:hAnsi="Arial"/>
                <w:sz w:val="9"/>
                <w:szCs w:val="9"/>
                <w:color w:val="auto"/>
              </w:rPr>
              <w:t>(L + 12.00%) / (1.00%)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13.00%/0.00%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4/1/2021</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4/1/2026</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4,000</w:t>
            </w: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3,879</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4,000</w:t>
            </w: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First Lien Debt</w:t>
            </w:r>
          </w:p>
        </w:tc>
        <w:tc>
          <w:tcPr>
            <w:tcW w:w="3180" w:type="dxa"/>
            <w:vAlign w:val="bottom"/>
          </w:tcPr>
          <w:p>
            <w:pPr>
              <w:ind w:left="2140"/>
              <w:spacing w:after="0"/>
              <w:rPr>
                <w:sz w:val="20"/>
                <w:szCs w:val="20"/>
                <w:color w:val="auto"/>
              </w:rPr>
            </w:pPr>
            <w:r>
              <w:rPr>
                <w:rFonts w:ascii="Arial" w:cs="Arial" w:eastAsia="Arial" w:hAnsi="Arial"/>
                <w:sz w:val="9"/>
                <w:szCs w:val="9"/>
                <w:color w:val="auto"/>
              </w:rPr>
              <w:t>(L + 13.00%) / (1.00%)</w:t>
            </w:r>
          </w:p>
        </w:tc>
        <w:tc>
          <w:tcPr>
            <w:tcW w:w="920" w:type="dxa"/>
            <w:vAlign w:val="bottom"/>
          </w:tcPr>
          <w:p>
            <w:pPr>
              <w:ind w:left="180"/>
              <w:spacing w:after="0"/>
              <w:rPr>
                <w:sz w:val="20"/>
                <w:szCs w:val="20"/>
                <w:color w:val="auto"/>
              </w:rPr>
            </w:pPr>
            <w:r>
              <w:rPr>
                <w:rFonts w:ascii="Arial" w:cs="Arial" w:eastAsia="Arial" w:hAnsi="Arial"/>
                <w:sz w:val="9"/>
                <w:szCs w:val="9"/>
                <w:color w:val="auto"/>
              </w:rPr>
              <w:t>14.00%/0.00%</w:t>
            </w:r>
          </w:p>
        </w:tc>
        <w:tc>
          <w:tcPr>
            <w:tcW w:w="800" w:type="dxa"/>
            <w:vAlign w:val="bottom"/>
          </w:tcPr>
          <w:p>
            <w:pPr>
              <w:ind w:left="200"/>
              <w:spacing w:after="0"/>
              <w:rPr>
                <w:sz w:val="20"/>
                <w:szCs w:val="20"/>
                <w:color w:val="auto"/>
              </w:rPr>
            </w:pPr>
            <w:r>
              <w:rPr>
                <w:rFonts w:ascii="Arial" w:cs="Arial" w:eastAsia="Arial" w:hAnsi="Arial"/>
                <w:sz w:val="9"/>
                <w:szCs w:val="9"/>
                <w:color w:val="auto"/>
              </w:rPr>
              <w:t>4/1/2021</w:t>
            </w:r>
          </w:p>
        </w:tc>
        <w:tc>
          <w:tcPr>
            <w:tcW w:w="980" w:type="dxa"/>
            <w:vAlign w:val="bottom"/>
          </w:tcPr>
          <w:p>
            <w:pPr>
              <w:ind w:left="180"/>
              <w:spacing w:after="0"/>
              <w:rPr>
                <w:sz w:val="20"/>
                <w:szCs w:val="20"/>
                <w:color w:val="auto"/>
              </w:rPr>
            </w:pPr>
            <w:r>
              <w:rPr>
                <w:rFonts w:ascii="Arial" w:cs="Arial" w:eastAsia="Arial" w:hAnsi="Arial"/>
                <w:sz w:val="9"/>
                <w:szCs w:val="9"/>
                <w:color w:val="auto"/>
              </w:rPr>
              <w:t>4/1/2026</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7,000</w:t>
            </w: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6,955</w:t>
            </w: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7,000</w:t>
            </w:r>
          </w:p>
        </w:tc>
        <w:tc>
          <w:tcPr>
            <w:tcW w:w="700" w:type="dxa"/>
            <w:vAlign w:val="bottom"/>
          </w:tcPr>
          <w:p>
            <w:pPr>
              <w:spacing w:after="0"/>
              <w:rPr>
                <w:sz w:val="9"/>
                <w:szCs w:val="9"/>
                <w:color w:val="auto"/>
              </w:rPr>
            </w:pPr>
          </w:p>
        </w:tc>
      </w:tr>
      <w:tr>
        <w:trPr>
          <w:trHeight w:val="102"/>
        </w:trPr>
        <w:tc>
          <w:tcPr>
            <w:tcW w:w="2560" w:type="dxa"/>
            <w:vAlign w:val="bottom"/>
            <w:shd w:val="clear" w:color="auto" w:fill="CFF0FC"/>
          </w:tcPr>
          <w:p>
            <w:pPr>
              <w:spacing w:after="0"/>
              <w:rPr>
                <w:sz w:val="8"/>
                <w:szCs w:val="8"/>
                <w:color w:val="auto"/>
              </w:rPr>
            </w:pPr>
          </w:p>
        </w:tc>
        <w:tc>
          <w:tcPr>
            <w:tcW w:w="31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10,834</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11,000</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w w:val="98"/>
              </w:rPr>
              <w:t>Wonderware Holdings, LLC (dba CORE Business Technologies)</w:t>
            </w:r>
          </w:p>
        </w:tc>
        <w:tc>
          <w:tcPr>
            <w:tcW w:w="3180" w:type="dxa"/>
            <w:vAlign w:val="bottom"/>
          </w:tcPr>
          <w:p>
            <w:pPr>
              <w:ind w:left="100"/>
              <w:spacing w:after="0"/>
              <w:rPr>
                <w:sz w:val="20"/>
                <w:szCs w:val="20"/>
                <w:color w:val="auto"/>
              </w:rPr>
            </w:pPr>
            <w:r>
              <w:rPr>
                <w:rFonts w:ascii="Arial" w:cs="Arial" w:eastAsia="Arial" w:hAnsi="Arial"/>
                <w:sz w:val="9"/>
                <w:szCs w:val="9"/>
                <w:color w:val="auto"/>
              </w:rPr>
              <w:t>Information Technology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($2,000 unfunded commitment) (k)(z)</w:t>
            </w:r>
          </w:p>
        </w:tc>
        <w:tc>
          <w:tcPr>
            <w:tcW w:w="3180" w:type="dxa"/>
            <w:vAlign w:val="bottom"/>
            <w:shd w:val="clear" w:color="auto" w:fill="CFF0FC"/>
          </w:tcPr>
          <w:p>
            <w:pPr>
              <w:ind w:left="2140"/>
              <w:spacing w:after="0"/>
              <w:rPr>
                <w:sz w:val="20"/>
                <w:szCs w:val="20"/>
                <w:color w:val="auto"/>
              </w:rPr>
            </w:pPr>
            <w:r>
              <w:rPr>
                <w:rFonts w:ascii="Arial" w:cs="Arial" w:eastAsia="Arial" w:hAnsi="Arial"/>
                <w:sz w:val="9"/>
                <w:szCs w:val="9"/>
                <w:color w:val="auto"/>
              </w:rPr>
              <w:t>(L + 7.25%) / (1.00%)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8.25%/0.00%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2/10/2021</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2/9/2026</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6,500</w:t>
            </w: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6,460</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6,500</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Worldwide Express Operations, LLC</w:t>
            </w:r>
          </w:p>
        </w:tc>
        <w:tc>
          <w:tcPr>
            <w:tcW w:w="3180" w:type="dxa"/>
            <w:vAlign w:val="bottom"/>
            <w:shd w:val="clear" w:color="auto" w:fill="CFF0FC"/>
          </w:tcPr>
          <w:p>
            <w:pPr>
              <w:ind w:left="100"/>
              <w:spacing w:after="0"/>
              <w:rPr>
                <w:sz w:val="20"/>
                <w:szCs w:val="20"/>
                <w:color w:val="auto"/>
              </w:rPr>
            </w:pPr>
            <w:r>
              <w:rPr>
                <w:rFonts w:ascii="Arial" w:cs="Arial" w:eastAsia="Arial" w:hAnsi="Arial"/>
                <w:sz w:val="9"/>
                <w:szCs w:val="9"/>
                <w:color w:val="auto"/>
              </w:rPr>
              <w:t>Transportation services</w:t>
            </w: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180" w:type="dxa"/>
            <w:vAlign w:val="bottom"/>
          </w:tcPr>
          <w:p>
            <w:pPr>
              <w:ind w:left="2140"/>
              <w:spacing w:after="0"/>
              <w:rPr>
                <w:sz w:val="20"/>
                <w:szCs w:val="20"/>
                <w:color w:val="auto"/>
              </w:rPr>
            </w:pPr>
            <w:r>
              <w:rPr>
                <w:rFonts w:ascii="Arial" w:cs="Arial" w:eastAsia="Arial" w:hAnsi="Arial"/>
                <w:sz w:val="9"/>
                <w:szCs w:val="9"/>
                <w:color w:val="auto"/>
              </w:rPr>
              <w:t>(L + 7.00%) / (0.75%)</w:t>
            </w:r>
          </w:p>
        </w:tc>
        <w:tc>
          <w:tcPr>
            <w:tcW w:w="920" w:type="dxa"/>
            <w:vAlign w:val="bottom"/>
          </w:tcPr>
          <w:p>
            <w:pPr>
              <w:ind w:left="180"/>
              <w:spacing w:after="0"/>
              <w:rPr>
                <w:sz w:val="20"/>
                <w:szCs w:val="20"/>
                <w:color w:val="auto"/>
              </w:rPr>
            </w:pPr>
            <w:r>
              <w:rPr>
                <w:rFonts w:ascii="Arial" w:cs="Arial" w:eastAsia="Arial" w:hAnsi="Arial"/>
                <w:sz w:val="9"/>
                <w:szCs w:val="9"/>
                <w:color w:val="auto"/>
              </w:rPr>
              <w:t>7.75%/0.00%</w:t>
            </w:r>
          </w:p>
        </w:tc>
        <w:tc>
          <w:tcPr>
            <w:tcW w:w="800" w:type="dxa"/>
            <w:vAlign w:val="bottom"/>
          </w:tcPr>
          <w:p>
            <w:pPr>
              <w:ind w:left="200"/>
              <w:spacing w:after="0"/>
              <w:rPr>
                <w:sz w:val="20"/>
                <w:szCs w:val="20"/>
                <w:color w:val="auto"/>
              </w:rPr>
            </w:pPr>
            <w:r>
              <w:rPr>
                <w:rFonts w:ascii="Arial" w:cs="Arial" w:eastAsia="Arial" w:hAnsi="Arial"/>
                <w:sz w:val="9"/>
                <w:szCs w:val="9"/>
                <w:color w:val="auto"/>
              </w:rPr>
              <w:t>8/2/2021</w:t>
            </w:r>
          </w:p>
        </w:tc>
        <w:tc>
          <w:tcPr>
            <w:tcW w:w="980" w:type="dxa"/>
            <w:vAlign w:val="bottom"/>
          </w:tcPr>
          <w:p>
            <w:pPr>
              <w:ind w:left="180"/>
              <w:spacing w:after="0"/>
              <w:rPr>
                <w:sz w:val="20"/>
                <w:szCs w:val="20"/>
                <w:color w:val="auto"/>
              </w:rPr>
            </w:pPr>
            <w:r>
              <w:rPr>
                <w:rFonts w:ascii="Arial" w:cs="Arial" w:eastAsia="Arial" w:hAnsi="Arial"/>
                <w:sz w:val="9"/>
                <w:szCs w:val="9"/>
                <w:color w:val="auto"/>
              </w:rPr>
              <w:t>7/26/2029</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20,000</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19,383</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19,383</w:t>
            </w: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(795,000) (j)</w:t>
            </w:r>
          </w:p>
        </w:tc>
        <w:tc>
          <w:tcPr>
            <w:tcW w:w="3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7/21/2021</w:t>
            </w:r>
          </w:p>
        </w:tc>
        <w:tc>
          <w:tcPr>
            <w:tcW w:w="9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795</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795</w:t>
            </w:r>
          </w:p>
        </w:tc>
        <w:tc>
          <w:tcPr>
            <w:tcW w:w="700" w:type="dxa"/>
            <w:vAlign w:val="bottom"/>
            <w:shd w:val="clear" w:color="auto" w:fill="CFF0FC"/>
          </w:tcPr>
          <w:p>
            <w:pPr>
              <w:spacing w:after="0"/>
              <w:rPr>
                <w:sz w:val="9"/>
                <w:szCs w:val="9"/>
                <w:color w:val="auto"/>
              </w:rPr>
            </w:pPr>
          </w:p>
        </w:tc>
      </w:tr>
      <w:tr>
        <w:trPr>
          <w:trHeight w:val="108"/>
        </w:trPr>
        <w:tc>
          <w:tcPr>
            <w:tcW w:w="2560" w:type="dxa"/>
            <w:vAlign w:val="bottom"/>
          </w:tcPr>
          <w:p>
            <w:pPr>
              <w:ind w:left="160"/>
              <w:spacing w:after="0"/>
              <w:rPr>
                <w:sz w:val="20"/>
                <w:szCs w:val="20"/>
                <w:color w:val="auto"/>
              </w:rPr>
            </w:pPr>
            <w:r>
              <w:rPr>
                <w:rFonts w:ascii="Arial" w:cs="Arial" w:eastAsia="Arial" w:hAnsi="Arial"/>
                <w:sz w:val="9"/>
                <w:szCs w:val="9"/>
                <w:color w:val="auto"/>
              </w:rPr>
              <w:t>Common Equity (752,380 units) (h)(j)</w:t>
            </w: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ind w:left="200"/>
              <w:spacing w:after="0"/>
              <w:rPr>
                <w:sz w:val="20"/>
                <w:szCs w:val="20"/>
                <w:color w:val="auto"/>
              </w:rPr>
            </w:pPr>
            <w:r>
              <w:rPr>
                <w:rFonts w:ascii="Arial" w:cs="Arial" w:eastAsia="Arial" w:hAnsi="Arial"/>
                <w:sz w:val="9"/>
                <w:szCs w:val="9"/>
                <w:color w:val="auto"/>
              </w:rPr>
              <w:t>7/26/2021</w:t>
            </w: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225</w:t>
            </w: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225</w:t>
            </w:r>
          </w:p>
        </w:tc>
        <w:tc>
          <w:tcPr>
            <w:tcW w:w="700" w:type="dxa"/>
            <w:vAlign w:val="bottom"/>
          </w:tcPr>
          <w:p>
            <w:pPr>
              <w:spacing w:after="0"/>
              <w:rPr>
                <w:sz w:val="9"/>
                <w:szCs w:val="9"/>
                <w:color w:val="auto"/>
              </w:rPr>
            </w:pPr>
          </w:p>
        </w:tc>
      </w:tr>
      <w:tr>
        <w:trPr>
          <w:trHeight w:val="102"/>
        </w:trPr>
        <w:tc>
          <w:tcPr>
            <w:tcW w:w="2560" w:type="dxa"/>
            <w:vAlign w:val="bottom"/>
            <w:shd w:val="clear" w:color="auto" w:fill="CFF0FC"/>
          </w:tcPr>
          <w:p>
            <w:pPr>
              <w:spacing w:after="0"/>
              <w:rPr>
                <w:sz w:val="8"/>
                <w:szCs w:val="8"/>
                <w:color w:val="auto"/>
              </w:rPr>
            </w:pPr>
          </w:p>
        </w:tc>
        <w:tc>
          <w:tcPr>
            <w:tcW w:w="31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20,403</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20,403</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r>
      <w:tr>
        <w:trPr>
          <w:trHeight w:val="108"/>
        </w:trPr>
        <w:tc>
          <w:tcPr>
            <w:tcW w:w="2560" w:type="dxa"/>
            <w:vAlign w:val="bottom"/>
          </w:tcPr>
          <w:p>
            <w:pPr>
              <w:ind w:left="20"/>
              <w:spacing w:after="0"/>
              <w:rPr>
                <w:sz w:val="20"/>
                <w:szCs w:val="20"/>
                <w:color w:val="auto"/>
              </w:rPr>
            </w:pPr>
            <w:r>
              <w:rPr>
                <w:rFonts w:ascii="Arial" w:cs="Arial" w:eastAsia="Arial" w:hAnsi="Arial"/>
                <w:sz w:val="9"/>
                <w:szCs w:val="9"/>
                <w:i w:val="1"/>
                <w:iCs w:val="1"/>
                <w:color w:val="auto"/>
              </w:rPr>
              <w:t>Xeeva, Inc.</w:t>
            </w:r>
          </w:p>
        </w:tc>
        <w:tc>
          <w:tcPr>
            <w:tcW w:w="3180" w:type="dxa"/>
            <w:vAlign w:val="bottom"/>
          </w:tcPr>
          <w:p>
            <w:pPr>
              <w:ind w:left="100"/>
              <w:spacing w:after="0"/>
              <w:rPr>
                <w:sz w:val="20"/>
                <w:szCs w:val="20"/>
                <w:color w:val="auto"/>
              </w:rPr>
            </w:pPr>
            <w:r>
              <w:rPr>
                <w:rFonts w:ascii="Arial" w:cs="Arial" w:eastAsia="Arial" w:hAnsi="Arial"/>
                <w:sz w:val="9"/>
                <w:szCs w:val="9"/>
                <w:color w:val="auto"/>
              </w:rPr>
              <w:t>Information Technology Services</w:t>
            </w: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8"/>
        </w:trPr>
        <w:tc>
          <w:tcPr>
            <w:tcW w:w="256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3180" w:type="dxa"/>
            <w:vAlign w:val="bottom"/>
            <w:shd w:val="clear" w:color="auto" w:fill="CFF0FC"/>
          </w:tcPr>
          <w:p>
            <w:pPr>
              <w:ind w:left="2140"/>
              <w:spacing w:after="0"/>
              <w:rPr>
                <w:sz w:val="20"/>
                <w:szCs w:val="20"/>
                <w:color w:val="auto"/>
              </w:rPr>
            </w:pPr>
            <w:r>
              <w:rPr>
                <w:rFonts w:ascii="Arial" w:cs="Arial" w:eastAsia="Arial" w:hAnsi="Arial"/>
                <w:sz w:val="9"/>
                <w:szCs w:val="9"/>
                <w:color w:val="auto"/>
              </w:rPr>
              <w:t>(L + 10.50%) / (1.50%)</w:t>
            </w:r>
          </w:p>
        </w:tc>
        <w:tc>
          <w:tcPr>
            <w:tcW w:w="920" w:type="dxa"/>
            <w:vAlign w:val="bottom"/>
            <w:shd w:val="clear" w:color="auto" w:fill="CFF0FC"/>
          </w:tcPr>
          <w:p>
            <w:pPr>
              <w:ind w:left="180"/>
              <w:spacing w:after="0"/>
              <w:rPr>
                <w:sz w:val="20"/>
                <w:szCs w:val="20"/>
                <w:color w:val="auto"/>
              </w:rPr>
            </w:pPr>
            <w:r>
              <w:rPr>
                <w:rFonts w:ascii="Arial" w:cs="Arial" w:eastAsia="Arial" w:hAnsi="Arial"/>
                <w:sz w:val="9"/>
                <w:szCs w:val="9"/>
                <w:color w:val="auto"/>
              </w:rPr>
              <w:t>12.00%/0.00%</w:t>
            </w:r>
          </w:p>
        </w:tc>
        <w:tc>
          <w:tcPr>
            <w:tcW w:w="800" w:type="dxa"/>
            <w:vAlign w:val="bottom"/>
            <w:shd w:val="clear" w:color="auto" w:fill="CFF0FC"/>
          </w:tcPr>
          <w:p>
            <w:pPr>
              <w:ind w:left="200"/>
              <w:spacing w:after="0"/>
              <w:rPr>
                <w:sz w:val="20"/>
                <w:szCs w:val="20"/>
                <w:color w:val="auto"/>
              </w:rPr>
            </w:pPr>
            <w:r>
              <w:rPr>
                <w:rFonts w:ascii="Arial" w:cs="Arial" w:eastAsia="Arial" w:hAnsi="Arial"/>
                <w:sz w:val="9"/>
                <w:szCs w:val="9"/>
                <w:color w:val="auto"/>
              </w:rPr>
              <w:t>2/11/2021</w:t>
            </w:r>
          </w:p>
        </w:tc>
        <w:tc>
          <w:tcPr>
            <w:tcW w:w="980" w:type="dxa"/>
            <w:vAlign w:val="bottom"/>
            <w:shd w:val="clear" w:color="auto" w:fill="CFF0FC"/>
          </w:tcPr>
          <w:p>
            <w:pPr>
              <w:ind w:left="180"/>
              <w:spacing w:after="0"/>
              <w:rPr>
                <w:sz w:val="20"/>
                <w:szCs w:val="20"/>
                <w:color w:val="auto"/>
              </w:rPr>
            </w:pPr>
            <w:r>
              <w:rPr>
                <w:rFonts w:ascii="Arial" w:cs="Arial" w:eastAsia="Arial" w:hAnsi="Arial"/>
                <w:sz w:val="9"/>
                <w:szCs w:val="9"/>
                <w:color w:val="auto"/>
              </w:rPr>
              <w:t>2/11/2026</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8,900</w:t>
            </w: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8,857</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8,900</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2 %</w:t>
            </w:r>
          </w:p>
        </w:tc>
      </w:tr>
      <w:tr>
        <w:trPr>
          <w:trHeight w:val="108"/>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42"/>
        </w:trPr>
        <w:tc>
          <w:tcPr>
            <w:tcW w:w="2560" w:type="dxa"/>
            <w:vAlign w:val="bottom"/>
            <w:tcBorders>
              <w:bottom w:val="single" w:sz="8" w:color="CFF0FC"/>
            </w:tcBorders>
            <w:shd w:val="clear" w:color="auto" w:fill="CFF0FC"/>
          </w:tcPr>
          <w:p>
            <w:pPr>
              <w:ind w:left="20"/>
              <w:spacing w:after="0" w:line="102" w:lineRule="exact"/>
              <w:rPr>
                <w:sz w:val="20"/>
                <w:szCs w:val="20"/>
                <w:color w:val="auto"/>
              </w:rPr>
            </w:pPr>
            <w:r>
              <w:rPr>
                <w:rFonts w:ascii="Arial" w:cs="Arial" w:eastAsia="Arial" w:hAnsi="Arial"/>
                <w:sz w:val="9"/>
                <w:szCs w:val="9"/>
                <w:b w:val="1"/>
                <w:bCs w:val="1"/>
                <w:color w:val="auto"/>
              </w:rPr>
              <w:t>Total Non-control/Non-affiliate Investments</w:t>
            </w:r>
          </w:p>
        </w:tc>
        <w:tc>
          <w:tcPr>
            <w:tcW w:w="31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559,434</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579,689</w:t>
            </w:r>
          </w:p>
        </w:tc>
        <w:tc>
          <w:tcPr>
            <w:tcW w:w="700" w:type="dxa"/>
            <w:vAlign w:val="bottom"/>
            <w:tcBorders>
              <w:bottom w:val="single" w:sz="8" w:color="CFF0FC"/>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119 %</w:t>
            </w:r>
          </w:p>
        </w:tc>
      </w:tr>
      <w:tr>
        <w:trPr>
          <w:trHeight w:val="88"/>
        </w:trPr>
        <w:tc>
          <w:tcPr>
            <w:tcW w:w="25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2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42"/>
        </w:trPr>
        <w:tc>
          <w:tcPr>
            <w:tcW w:w="2560" w:type="dxa"/>
            <w:vAlign w:val="bottom"/>
            <w:tcBorders>
              <w:bottom w:val="single" w:sz="8" w:color="CFF0FC"/>
            </w:tcBorders>
            <w:shd w:val="clear" w:color="auto" w:fill="CFF0FC"/>
          </w:tcPr>
          <w:p>
            <w:pPr>
              <w:ind w:left="20"/>
              <w:spacing w:after="0" w:line="102" w:lineRule="exact"/>
              <w:rPr>
                <w:sz w:val="20"/>
                <w:szCs w:val="20"/>
                <w:color w:val="auto"/>
              </w:rPr>
            </w:pPr>
            <w:r>
              <w:rPr>
                <w:rFonts w:ascii="Arial" w:cs="Arial" w:eastAsia="Arial" w:hAnsi="Arial"/>
                <w:sz w:val="9"/>
                <w:szCs w:val="9"/>
                <w:b w:val="1"/>
                <w:bCs w:val="1"/>
                <w:color w:val="auto"/>
              </w:rPr>
              <w:t>Total Investments</w:t>
            </w:r>
          </w:p>
        </w:tc>
        <w:tc>
          <w:tcPr>
            <w:tcW w:w="31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621,786</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719,124</w:t>
            </w:r>
          </w:p>
        </w:tc>
        <w:tc>
          <w:tcPr>
            <w:tcW w:w="700" w:type="dxa"/>
            <w:vAlign w:val="bottom"/>
            <w:tcBorders>
              <w:bottom w:val="single" w:sz="8" w:color="CFF0FC"/>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-5225415</wp:posOffset>
            </wp:positionV>
            <wp:extent cx="2603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-5225415</wp:posOffset>
            </wp:positionV>
            <wp:extent cx="2540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-4942840</wp:posOffset>
            </wp:positionV>
            <wp:extent cx="2603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-4942840</wp:posOffset>
            </wp:positionV>
            <wp:extent cx="2540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-4659630</wp:posOffset>
            </wp:positionV>
            <wp:extent cx="2603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-4659630</wp:posOffset>
            </wp:positionV>
            <wp:extent cx="2540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-3965575</wp:posOffset>
            </wp:positionV>
            <wp:extent cx="2603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-3965575</wp:posOffset>
            </wp:positionV>
            <wp:extent cx="2540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-3682365</wp:posOffset>
            </wp:positionV>
            <wp:extent cx="2603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-3682365</wp:posOffset>
            </wp:positionV>
            <wp:extent cx="2540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-2988310</wp:posOffset>
            </wp:positionV>
            <wp:extent cx="2603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-2988310</wp:posOffset>
            </wp:positionV>
            <wp:extent cx="2540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-2011045</wp:posOffset>
            </wp:positionV>
            <wp:extent cx="2603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-2011045</wp:posOffset>
            </wp:positionV>
            <wp:extent cx="2540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-196215</wp:posOffset>
            </wp:positionV>
            <wp:extent cx="260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-179070</wp:posOffset>
            </wp:positionV>
            <wp:extent cx="260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-196215</wp:posOffset>
            </wp:positionV>
            <wp:extent cx="254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-179070</wp:posOffset>
            </wp:positionV>
            <wp:extent cx="254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260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260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-24765</wp:posOffset>
            </wp:positionV>
            <wp:extent cx="254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-7620</wp:posOffset>
            </wp:positionV>
            <wp:extent cx="254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37" w:lineRule="exact"/>
        <w:rPr>
          <w:sz w:val="20"/>
          <w:szCs w:val="20"/>
          <w:color w:val="auto"/>
        </w:rPr>
      </w:pPr>
    </w:p>
    <w:p>
      <w:pPr>
        <w:ind w:left="220" w:hanging="199"/>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spacing w:after="0" w:line="21" w:lineRule="exact"/>
        <w:rPr>
          <w:rFonts w:ascii="Arial" w:cs="Arial" w:eastAsia="Arial" w:hAnsi="Arial"/>
          <w:sz w:val="14"/>
          <w:szCs w:val="14"/>
          <w:color w:val="auto"/>
        </w:rPr>
      </w:pPr>
    </w:p>
    <w:p>
      <w:pPr>
        <w:ind w:left="220" w:hanging="199"/>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spacing w:after="0" w:line="14" w:lineRule="exact"/>
        <w:rPr>
          <w:rFonts w:ascii="Arial" w:cs="Arial" w:eastAsia="Arial" w:hAnsi="Arial"/>
          <w:sz w:val="14"/>
          <w:szCs w:val="14"/>
          <w:color w:val="auto"/>
        </w:rPr>
      </w:pPr>
    </w:p>
    <w:p>
      <w:pPr>
        <w:ind w:left="220" w:hanging="199"/>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spacing w:after="0" w:line="14" w:lineRule="exact"/>
        <w:rPr>
          <w:rFonts w:ascii="Arial" w:cs="Arial" w:eastAsia="Arial" w:hAnsi="Arial"/>
          <w:sz w:val="14"/>
          <w:szCs w:val="14"/>
          <w:color w:val="auto"/>
        </w:rPr>
      </w:pPr>
    </w:p>
    <w:p>
      <w:pPr>
        <w:ind w:left="20" w:right="160" w:firstLine="1"/>
        <w:spacing w:after="0" w:line="260" w:lineRule="auto"/>
        <w:tabs>
          <w:tab w:leader="none" w:pos="224" w:val="left"/>
        </w:tabs>
        <w:numPr>
          <w:ilvl w:val="0"/>
          <w:numId w:val="51"/>
        </w:numPr>
        <w:rPr>
          <w:rFonts w:ascii="Arial" w:cs="Arial" w:eastAsia="Arial" w:hAnsi="Arial"/>
          <w:sz w:val="13"/>
          <w:szCs w:val="13"/>
          <w:color w:val="auto"/>
        </w:rPr>
      </w:pPr>
      <w:r>
        <w:rPr>
          <w:rFonts w:ascii="Arial" w:cs="Arial" w:eastAsia="Arial" w:hAnsi="Arial"/>
          <w:sz w:val="13"/>
          <w:szCs w:val="13"/>
          <w:color w:val="auto"/>
        </w:rPr>
        <w:t>Variable rate investments bear interest at a rate indexed to LIBOR (L) or Prime (P), which are reset monthly, bimonthly, quarterly, or semi-annually. Certain variable rate investments also include a LIBOR or Prime interest rate floor. For each investment, the Company has provided the spread over the reference rate and the LIBOR or Prime floor, if any, as of December 31, 2021.</w:t>
      </w:r>
    </w:p>
    <w:p>
      <w:pPr>
        <w:ind w:left="20" w:right="280" w:firstLine="1"/>
        <w:spacing w:after="0" w:line="241" w:lineRule="auto"/>
        <w:tabs>
          <w:tab w:leader="none" w:pos="2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Rate includes the cash interest or dividend rate and paid-in-kind interest or dividend rate, if any, as of December 31, 2021. Generally, payment-in-kind interest can be paid-in-kind or all in cash.</w:t>
      </w:r>
    </w:p>
    <w:p>
      <w:pPr>
        <w:ind w:left="200" w:hanging="179"/>
        <w:spacing w:after="0"/>
        <w:tabs>
          <w:tab w:leader="none" w:pos="2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Investment date represents the date of the initial investment in the security.</w:t>
      </w:r>
    </w:p>
    <w:p>
      <w:pPr>
        <w:spacing w:after="0" w:line="14" w:lineRule="exact"/>
        <w:rPr>
          <w:rFonts w:ascii="Arial" w:cs="Arial" w:eastAsia="Arial" w:hAnsi="Arial"/>
          <w:sz w:val="14"/>
          <w:szCs w:val="14"/>
          <w:color w:val="auto"/>
        </w:rPr>
      </w:pPr>
    </w:p>
    <w:p>
      <w:pPr>
        <w:ind w:left="20" w:right="100" w:firstLine="1"/>
        <w:spacing w:after="0" w:line="234" w:lineRule="auto"/>
        <w:tabs>
          <w:tab w:leader="none" w:pos="224"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4"/>
          <w:szCs w:val="14"/>
          <w:color w:val="auto"/>
        </w:rPr>
      </w:pPr>
    </w:p>
    <w:p>
      <w:pPr>
        <w:ind w:left="220" w:hanging="199"/>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Investment is held by a taxable subsidiary of the Company.</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8" w:name="page89"/>
    <w:bookmarkEnd w:id="88"/>
    <w:p>
      <w:pPr>
        <w:ind w:right="200" w:firstLine="1"/>
        <w:spacing w:after="0" w:line="246" w:lineRule="auto"/>
        <w:tabs>
          <w:tab w:leader="none" w:pos="172"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December 31, 2021. The Company is earning 0.50% interest on the unfunded balance of the commitment. The interest rate disclosed represents the rate which will be earned if the commitment is funded.</w:t>
      </w:r>
    </w:p>
    <w:p>
      <w:pPr>
        <w:ind w:right="460" w:firstLine="1"/>
        <w:spacing w:after="0" w:line="241" w:lineRule="auto"/>
        <w:tabs>
          <w:tab w:leader="none" w:pos="17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420" w:firstLine="1"/>
        <w:spacing w:after="0" w:line="241" w:lineRule="auto"/>
        <w:tabs>
          <w:tab w:leader="none" w:pos="204"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220" w:firstLine="1"/>
        <w:spacing w:after="0" w:line="234" w:lineRule="auto"/>
        <w:tabs>
          <w:tab w:leader="none" w:pos="172"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1" w:lineRule="exact"/>
        <w:rPr>
          <w:rFonts w:ascii="Arial" w:cs="Arial" w:eastAsia="Arial" w:hAnsi="Arial"/>
          <w:sz w:val="14"/>
          <w:szCs w:val="14"/>
          <w:color w:val="auto"/>
        </w:rPr>
      </w:pPr>
    </w:p>
    <w:p>
      <w:pPr>
        <w:ind w:right="100" w:firstLine="1"/>
        <w:spacing w:after="0" w:line="241" w:lineRule="auto"/>
        <w:tabs>
          <w:tab w:leader="none" w:pos="244" w:val="left"/>
        </w:tabs>
        <w:numPr>
          <w:ilvl w:val="0"/>
          <w:numId w:val="52"/>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200" w:hanging="199"/>
        <w:spacing w:after="0"/>
        <w:tabs>
          <w:tab w:leader="none" w:pos="2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spacing w:after="0" w:line="14" w:lineRule="exact"/>
        <w:rPr>
          <w:rFonts w:ascii="Arial" w:cs="Arial" w:eastAsia="Arial" w:hAnsi="Arial"/>
          <w:sz w:val="14"/>
          <w:szCs w:val="14"/>
          <w:color w:val="auto"/>
        </w:rPr>
      </w:pPr>
    </w:p>
    <w:p>
      <w:pPr>
        <w:ind w:right="220" w:firstLine="1"/>
        <w:spacing w:after="0" w:line="234" w:lineRule="auto"/>
        <w:tabs>
          <w:tab w:leader="none" w:pos="204"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1" w:lineRule="exact"/>
        <w:rPr>
          <w:rFonts w:ascii="Arial" w:cs="Arial" w:eastAsia="Arial" w:hAnsi="Arial"/>
          <w:sz w:val="14"/>
          <w:szCs w:val="14"/>
          <w:color w:val="auto"/>
        </w:rPr>
      </w:pPr>
    </w:p>
    <w:p>
      <w:pPr>
        <w:ind w:left="200" w:hanging="199"/>
        <w:spacing w:after="0"/>
        <w:tabs>
          <w:tab w:leader="none" w:pos="2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security, the Company is entitled to receive an additional interest amount of 4.07% on its “last out” tranche of the</w:t>
      </w:r>
    </w:p>
    <w:p>
      <w:pPr>
        <w:spacing w:after="0" w:line="4" w:lineRule="exact"/>
        <w:rPr>
          <w:rFonts w:ascii="Arial" w:cs="Arial" w:eastAsia="Arial" w:hAnsi="Arial"/>
          <w:sz w:val="13"/>
          <w:szCs w:val="13"/>
          <w:color w:val="auto"/>
        </w:rPr>
      </w:pPr>
    </w:p>
    <w:p>
      <w:pPr>
        <w:ind w:right="160"/>
        <w:spacing w:after="0" w:line="237" w:lineRule="auto"/>
        <w:rPr>
          <w:rFonts w:ascii="Arial" w:cs="Arial" w:eastAsia="Arial" w:hAnsi="Arial"/>
          <w:sz w:val="13"/>
          <w:szCs w:val="13"/>
          <w:color w:val="auto"/>
        </w:rPr>
      </w:pPr>
      <w:r>
        <w:rPr>
          <w:rFonts w:ascii="Arial" w:cs="Arial" w:eastAsia="Arial" w:hAnsi="Arial"/>
          <w:sz w:val="14"/>
          <w:szCs w:val="14"/>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0" w:hanging="199"/>
        <w:spacing w:after="0"/>
        <w:tabs>
          <w:tab w:leader="none" w:pos="2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Warrant entitles the Company to purchase 4.79% of the outstanding principal of Junior Subordinated Notes prior to exercise, and is non-income producing.</w:t>
      </w:r>
    </w:p>
    <w:p>
      <w:pPr>
        <w:spacing w:after="0" w:line="14" w:lineRule="exact"/>
        <w:rPr>
          <w:rFonts w:ascii="Arial" w:cs="Arial" w:eastAsia="Arial" w:hAnsi="Arial"/>
          <w:sz w:val="14"/>
          <w:szCs w:val="14"/>
          <w:color w:val="auto"/>
        </w:rPr>
      </w:pPr>
    </w:p>
    <w:p>
      <w:pPr>
        <w:ind w:right="160" w:firstLine="1"/>
        <w:spacing w:after="0" w:line="234" w:lineRule="auto"/>
        <w:tabs>
          <w:tab w:leader="none" w:pos="1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firstLine="1"/>
        <w:spacing w:after="0" w:line="234" w:lineRule="auto"/>
        <w:tabs>
          <w:tab w:leader="none" w:pos="188"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2.64%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240" w:firstLine="1"/>
        <w:spacing w:after="0" w:line="234" w:lineRule="auto"/>
        <w:tabs>
          <w:tab w:leader="none" w:pos="172"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4"/>
          <w:szCs w:val="14"/>
          <w:color w:val="auto"/>
        </w:rPr>
      </w:pPr>
    </w:p>
    <w:p>
      <w:pPr>
        <w:ind w:right="220" w:firstLine="1"/>
        <w:spacing w:after="0" w:line="234" w:lineRule="auto"/>
        <w:tabs>
          <w:tab w:leader="none" w:pos="204"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cash interest amount of 2.99% and PIK interest amount of 1.00%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200" w:hanging="199"/>
        <w:spacing w:after="0"/>
        <w:tabs>
          <w:tab w:leader="none" w:pos="2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security, the Company is entitled to receive an additional interest amount of 7.56% on its “last out” tranche of the</w:t>
      </w:r>
    </w:p>
    <w:p>
      <w:pPr>
        <w:spacing w:after="0" w:line="4" w:lineRule="exact"/>
        <w:rPr>
          <w:rFonts w:ascii="Arial" w:cs="Arial" w:eastAsia="Arial" w:hAnsi="Arial"/>
          <w:sz w:val="13"/>
          <w:szCs w:val="13"/>
          <w:color w:val="auto"/>
        </w:rPr>
      </w:pPr>
    </w:p>
    <w:p>
      <w:pPr>
        <w:ind w:right="160"/>
        <w:spacing w:after="0" w:line="237" w:lineRule="auto"/>
        <w:rPr>
          <w:rFonts w:ascii="Arial" w:cs="Arial" w:eastAsia="Arial" w:hAnsi="Arial"/>
          <w:sz w:val="13"/>
          <w:szCs w:val="13"/>
          <w:color w:val="auto"/>
        </w:rPr>
      </w:pPr>
      <w:r>
        <w:rPr>
          <w:rFonts w:ascii="Arial" w:cs="Arial" w:eastAsia="Arial" w:hAnsi="Arial"/>
          <w:sz w:val="14"/>
          <w:szCs w:val="14"/>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1"/>
        <w:spacing w:after="0" w:line="234" w:lineRule="auto"/>
        <w:tabs>
          <w:tab w:leader="none" w:pos="236"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7.05%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200" w:hanging="199"/>
        <w:spacing w:after="0"/>
        <w:tabs>
          <w:tab w:leader="none" w:pos="2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security, the Company is entitled to receive an additional interest amount of 2.81% on its “last out” tranche of the</w:t>
      </w:r>
    </w:p>
    <w:p>
      <w:pPr>
        <w:spacing w:after="0" w:line="4" w:lineRule="exact"/>
        <w:rPr>
          <w:rFonts w:ascii="Arial" w:cs="Arial" w:eastAsia="Arial" w:hAnsi="Arial"/>
          <w:sz w:val="13"/>
          <w:szCs w:val="13"/>
          <w:color w:val="auto"/>
        </w:rPr>
      </w:pPr>
    </w:p>
    <w:p>
      <w:pPr>
        <w:ind w:right="160"/>
        <w:spacing w:after="0" w:line="237" w:lineRule="auto"/>
        <w:rPr>
          <w:rFonts w:ascii="Arial" w:cs="Arial" w:eastAsia="Arial" w:hAnsi="Arial"/>
          <w:sz w:val="13"/>
          <w:szCs w:val="13"/>
          <w:color w:val="auto"/>
        </w:rPr>
      </w:pPr>
      <w:r>
        <w:rPr>
          <w:rFonts w:ascii="Arial" w:cs="Arial" w:eastAsia="Arial" w:hAnsi="Arial"/>
          <w:sz w:val="14"/>
          <w:szCs w:val="14"/>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0" w:hanging="199"/>
        <w:spacing w:after="0"/>
        <w:tabs>
          <w:tab w:leader="none" w:pos="2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Investment was on PIK only non-accrual status as of December 31, 2021, meaning the Company has ceased recognizing PIK interest income on the investment.</w:t>
      </w:r>
    </w:p>
    <w:p>
      <w:pPr>
        <w:spacing w:after="0" w:line="14" w:lineRule="exact"/>
        <w:rPr>
          <w:rFonts w:ascii="Arial" w:cs="Arial" w:eastAsia="Arial" w:hAnsi="Arial"/>
          <w:sz w:val="14"/>
          <w:szCs w:val="14"/>
          <w:color w:val="auto"/>
        </w:rPr>
      </w:pPr>
    </w:p>
    <w:p>
      <w:pPr>
        <w:ind w:right="160" w:firstLine="1"/>
        <w:spacing w:after="0" w:line="234" w:lineRule="auto"/>
        <w:tabs>
          <w:tab w:leader="none" w:pos="196"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5.70%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firstLine="1"/>
        <w:spacing w:after="0" w:line="234"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1" w:lineRule="exact"/>
        <w:rPr>
          <w:rFonts w:ascii="Arial" w:cs="Arial" w:eastAsia="Arial" w:hAnsi="Arial"/>
          <w:sz w:val="14"/>
          <w:szCs w:val="14"/>
          <w:color w:val="auto"/>
        </w:rPr>
      </w:pP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(ab) In addition to the interest earned based on the stated interest rate of this security, the Company is entitled to receive an additional interest amount of 3.43%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00"/>
        <w:spacing w:after="0" w:line="241" w:lineRule="auto"/>
        <w:rPr>
          <w:rFonts w:ascii="Arial" w:cs="Arial" w:eastAsia="Arial" w:hAnsi="Arial"/>
          <w:sz w:val="14"/>
          <w:szCs w:val="14"/>
          <w:color w:val="auto"/>
        </w:rPr>
      </w:pPr>
      <w:r>
        <w:rPr>
          <w:rFonts w:ascii="Arial" w:cs="Arial" w:eastAsia="Arial" w:hAnsi="Arial"/>
          <w:sz w:val="14"/>
          <w:szCs w:val="14"/>
          <w:color w:val="auto"/>
        </w:rPr>
        <w:t>(ac) The disclosed commitment represents the unfunded amount as of December 31, 2021. The Company is earning 1.00% interest on the unfunded balance of the commitment. The interest rate disclosed represents the rate earned on the outstanding, funded balance of the commitment.</w:t>
      </w: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(ad) In addition to the interest earned based on the stated interest rate of this security, the Company is entitled to receive an additional interest amount of 3.29%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(af)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(ag) In addition to the interest earned based on the stated interest rate of this security, the Company is entitled to receive an additional interest amount of 5.60%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(ah) In addition to the interest earned based on the stated interest rate of this security, the Company is entitled to receive an additional interest amount of 1.74%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(ai) In addition to the interest earned based on the stated interest rate of this security, the Company is entitled to receive an additional interest amount of 4.86%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89" w:name="page90"/>
    <w:bookmarkEnd w:id="89"/>
    <w:p>
      <w:pPr>
        <w:ind w:right="160"/>
        <w:spacing w:after="0" w:line="238" w:lineRule="auto"/>
        <w:rPr>
          <w:sz w:val="20"/>
          <w:szCs w:val="20"/>
          <w:color w:val="auto"/>
        </w:rPr>
      </w:pPr>
      <w:r>
        <w:rPr>
          <w:rFonts w:ascii="Arial" w:cs="Arial" w:eastAsia="Arial" w:hAnsi="Arial"/>
          <w:sz w:val="14"/>
          <w:szCs w:val="14"/>
          <w:color w:val="auto"/>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spacing w:after="0" w:line="234" w:lineRule="auto"/>
        <w:rPr>
          <w:sz w:val="20"/>
          <w:szCs w:val="20"/>
          <w:color w:val="auto"/>
        </w:rPr>
      </w:pPr>
      <w:r>
        <w:rPr>
          <w:rFonts w:ascii="Arial" w:cs="Arial" w:eastAsia="Arial" w:hAnsi="Arial"/>
          <w:sz w:val="14"/>
          <w:szCs w:val="14"/>
          <w:color w:val="auto"/>
        </w:rPr>
        <w:t>(al) In addition to the interest earned based on the stated interest rate of this security, the Company is entitled to receive an additional interest amount of 3.46%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4"/>
          <w:szCs w:val="14"/>
          <w:color w:val="auto"/>
        </w:rPr>
        <w:t>(am) In addition to the interest earned based on the stated interest rate of this security, the Company is entitled to receive an additional interest amount of 7.54%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4"/>
          <w:szCs w:val="14"/>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4"/>
          <w:szCs w:val="14"/>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2021, total non-qualifying assets at fair value represented 0.04% of the Company's total assets calculated in accordance with the 1940 Act.</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4"/>
          <w:szCs w:val="14"/>
          <w:color w:val="auto"/>
        </w:rPr>
        <w:t>(ap) In addition to the interest earned based on the stated interest rate of this security, the Company is entitled to receive an additional cash interest amount of 2.25% and PIK interest amount of 1.87%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jc w:val="center"/>
        <w:spacing w:after="0" w:line="234" w:lineRule="auto"/>
        <w:rPr>
          <w:sz w:val="20"/>
          <w:szCs w:val="20"/>
          <w:color w:val="auto"/>
        </w:rPr>
      </w:pPr>
      <w:r>
        <w:rPr>
          <w:rFonts w:ascii="Arial" w:cs="Arial" w:eastAsia="Arial" w:hAnsi="Arial"/>
          <w:sz w:val="18"/>
          <w:szCs w:val="18"/>
          <w:b w:val="1"/>
          <w:bCs w:val="1"/>
          <w:color w:val="auto"/>
        </w:rPr>
        <w:t>December 31, 2020</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shares)</w:t>
      </w:r>
    </w:p>
    <w:tbl>
      <w:tblPr>
        <w:tblLayout w:type="fixed"/>
        <w:tblInd w:w="0" w:type="dxa"/>
        <w:tblCellMar>
          <w:top w:w="0" w:type="dxa"/>
          <w:left w:w="0" w:type="dxa"/>
          <w:bottom w:w="0" w:type="dxa"/>
          <w:right w:w="0" w:type="dxa"/>
        </w:tblCellMar>
      </w:tblPr>
      <w:tr>
        <w:trPr>
          <w:trHeight w:val="99"/>
        </w:trPr>
        <w:tc>
          <w:tcPr>
            <w:tcW w:w="2420" w:type="dxa"/>
            <w:vAlign w:val="bottom"/>
            <w:gridSpan w:val="4"/>
          </w:tcPr>
          <w:p>
            <w:pPr>
              <w:ind w:left="20"/>
              <w:spacing w:after="0" w:line="99" w:lineRule="exact"/>
              <w:rPr>
                <w:sz w:val="20"/>
                <w:szCs w:val="20"/>
                <w:color w:val="auto"/>
              </w:rPr>
            </w:pPr>
            <w:r>
              <w:rPr>
                <w:rFonts w:ascii="Arial" w:cs="Arial" w:eastAsia="Arial" w:hAnsi="Arial"/>
                <w:sz w:val="9"/>
                <w:szCs w:val="9"/>
                <w:b w:val="1"/>
                <w:bCs w:val="1"/>
                <w:color w:val="auto"/>
              </w:rPr>
              <w:t>Portfolio Company (a)(b)</w:t>
            </w:r>
          </w:p>
        </w:tc>
        <w:tc>
          <w:tcPr>
            <w:tcW w:w="1880" w:type="dxa"/>
            <w:vAlign w:val="bottom"/>
          </w:tcPr>
          <w:p>
            <w:pPr>
              <w:spacing w:after="0"/>
              <w:rPr>
                <w:sz w:val="8"/>
                <w:szCs w:val="8"/>
                <w:color w:val="auto"/>
              </w:rPr>
            </w:pPr>
          </w:p>
        </w:tc>
        <w:tc>
          <w:tcPr>
            <w:tcW w:w="1400" w:type="dxa"/>
            <w:vAlign w:val="bottom"/>
          </w:tcPr>
          <w:p>
            <w:pPr>
              <w:ind w:left="360"/>
              <w:spacing w:after="0" w:line="99" w:lineRule="exact"/>
              <w:rPr>
                <w:sz w:val="20"/>
                <w:szCs w:val="20"/>
                <w:color w:val="auto"/>
              </w:rPr>
            </w:pPr>
            <w:r>
              <w:rPr>
                <w:rFonts w:ascii="Arial" w:cs="Arial" w:eastAsia="Arial" w:hAnsi="Arial"/>
                <w:sz w:val="9"/>
                <w:szCs w:val="9"/>
                <w:b w:val="1"/>
                <w:bCs w:val="1"/>
                <w:color w:val="auto"/>
              </w:rPr>
              <w:t>Variable Index</w:t>
            </w:r>
          </w:p>
        </w:tc>
        <w:tc>
          <w:tcPr>
            <w:tcW w:w="940" w:type="dxa"/>
            <w:vAlign w:val="bottom"/>
          </w:tcPr>
          <w:p>
            <w:pPr>
              <w:ind w:left="200"/>
              <w:spacing w:after="0" w:line="99" w:lineRule="exact"/>
              <w:rPr>
                <w:sz w:val="20"/>
                <w:szCs w:val="20"/>
                <w:color w:val="auto"/>
              </w:rPr>
            </w:pPr>
            <w:r>
              <w:rPr>
                <w:rFonts w:ascii="Arial" w:cs="Arial" w:eastAsia="Arial" w:hAnsi="Arial"/>
                <w:sz w:val="9"/>
                <w:szCs w:val="9"/>
                <w:b w:val="1"/>
                <w:bCs w:val="1"/>
                <w:color w:val="auto"/>
              </w:rPr>
              <w:t>Rate (e)</w:t>
            </w:r>
          </w:p>
        </w:tc>
        <w:tc>
          <w:tcPr>
            <w:tcW w:w="82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Investment</w:t>
            </w: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jc w:val="right"/>
              <w:ind w:right="95"/>
              <w:spacing w:after="0" w:line="99" w:lineRule="exact"/>
              <w:rPr>
                <w:sz w:val="20"/>
                <w:szCs w:val="20"/>
                <w:color w:val="auto"/>
              </w:rPr>
            </w:pPr>
            <w:r>
              <w:rPr>
                <w:rFonts w:ascii="Arial" w:cs="Arial" w:eastAsia="Arial" w:hAnsi="Arial"/>
                <w:sz w:val="9"/>
                <w:szCs w:val="9"/>
                <w:b w:val="1"/>
                <w:bCs w:val="1"/>
                <w:color w:val="auto"/>
                <w:w w:val="99"/>
              </w:rPr>
              <w:t>Principal</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ind w:right="155"/>
              <w:spacing w:after="0" w:line="99" w:lineRule="exact"/>
              <w:rPr>
                <w:sz w:val="20"/>
                <w:szCs w:val="20"/>
                <w:color w:val="auto"/>
              </w:rPr>
            </w:pPr>
            <w:r>
              <w:rPr>
                <w:rFonts w:ascii="Arial" w:cs="Arial" w:eastAsia="Arial" w:hAnsi="Arial"/>
                <w:sz w:val="9"/>
                <w:szCs w:val="9"/>
                <w:b w:val="1"/>
                <w:bCs w:val="1"/>
                <w:color w:val="auto"/>
              </w:rPr>
              <w:t>Fair</w:t>
            </w:r>
          </w:p>
        </w:tc>
        <w:tc>
          <w:tcPr>
            <w:tcW w:w="60" w:type="dxa"/>
            <w:vAlign w:val="bottom"/>
          </w:tcPr>
          <w:p>
            <w:pPr>
              <w:spacing w:after="0"/>
              <w:rPr>
                <w:sz w:val="8"/>
                <w:szCs w:val="8"/>
                <w:color w:val="auto"/>
              </w:rPr>
            </w:pPr>
          </w:p>
        </w:tc>
        <w:tc>
          <w:tcPr>
            <w:tcW w:w="660" w:type="dxa"/>
            <w:vAlign w:val="bottom"/>
            <w:gridSpan w:val="2"/>
          </w:tcPr>
          <w:p>
            <w:pPr>
              <w:jc w:val="right"/>
              <w:ind w:right="240"/>
              <w:spacing w:after="0" w:line="99" w:lineRule="exact"/>
              <w:rPr>
                <w:sz w:val="20"/>
                <w:szCs w:val="20"/>
                <w:color w:val="auto"/>
              </w:rPr>
            </w:pPr>
            <w:r>
              <w:rPr>
                <w:rFonts w:ascii="Arial" w:cs="Arial" w:eastAsia="Arial" w:hAnsi="Arial"/>
                <w:sz w:val="9"/>
                <w:szCs w:val="9"/>
                <w:b w:val="1"/>
                <w:bCs w:val="1"/>
                <w:color w:val="auto"/>
                <w:w w:val="90"/>
              </w:rPr>
              <w:t>Percent of</w:t>
            </w:r>
          </w:p>
        </w:tc>
        <w:tc>
          <w:tcPr>
            <w:tcW w:w="0" w:type="dxa"/>
            <w:vAlign w:val="bottom"/>
          </w:tcPr>
          <w:p>
            <w:pPr>
              <w:spacing w:after="0"/>
              <w:rPr>
                <w:sz w:val="1"/>
                <w:szCs w:val="1"/>
                <w:color w:val="auto"/>
              </w:rPr>
            </w:pPr>
          </w:p>
        </w:tc>
      </w:tr>
      <w:tr>
        <w:trPr>
          <w:trHeight w:val="117"/>
        </w:trPr>
        <w:tc>
          <w:tcPr>
            <w:tcW w:w="2420" w:type="dxa"/>
            <w:vAlign w:val="bottom"/>
            <w:gridSpan w:val="4"/>
          </w:tcPr>
          <w:p>
            <w:pPr>
              <w:ind w:left="20"/>
              <w:spacing w:after="0"/>
              <w:rPr>
                <w:sz w:val="20"/>
                <w:szCs w:val="20"/>
                <w:color w:val="auto"/>
              </w:rPr>
            </w:pPr>
            <w:r>
              <w:rPr>
                <w:rFonts w:ascii="Arial" w:cs="Arial" w:eastAsia="Arial" w:hAnsi="Arial"/>
                <w:sz w:val="9"/>
                <w:szCs w:val="9"/>
                <w:b w:val="1"/>
                <w:bCs w:val="1"/>
                <w:color w:val="auto"/>
              </w:rPr>
              <w:t>Investment Type (c)</w:t>
            </w:r>
          </w:p>
        </w:tc>
        <w:tc>
          <w:tcPr>
            <w:tcW w:w="1880" w:type="dxa"/>
            <w:vAlign w:val="bottom"/>
          </w:tcPr>
          <w:p>
            <w:pPr>
              <w:ind w:left="180"/>
              <w:spacing w:after="0"/>
              <w:rPr>
                <w:sz w:val="20"/>
                <w:szCs w:val="20"/>
                <w:color w:val="auto"/>
              </w:rPr>
            </w:pPr>
            <w:r>
              <w:rPr>
                <w:rFonts w:ascii="Arial" w:cs="Arial" w:eastAsia="Arial" w:hAnsi="Arial"/>
                <w:sz w:val="9"/>
                <w:szCs w:val="9"/>
                <w:b w:val="1"/>
                <w:bCs w:val="1"/>
                <w:color w:val="auto"/>
              </w:rPr>
              <w:t>Industry</w:t>
            </w:r>
          </w:p>
        </w:tc>
        <w:tc>
          <w:tcPr>
            <w:tcW w:w="1400" w:type="dxa"/>
            <w:vAlign w:val="bottom"/>
          </w:tcPr>
          <w:p>
            <w:pPr>
              <w:ind w:left="360"/>
              <w:spacing w:after="0"/>
              <w:rPr>
                <w:sz w:val="20"/>
                <w:szCs w:val="20"/>
                <w:color w:val="auto"/>
              </w:rPr>
            </w:pPr>
            <w:r>
              <w:rPr>
                <w:rFonts w:ascii="Arial" w:cs="Arial" w:eastAsia="Arial" w:hAnsi="Arial"/>
                <w:sz w:val="9"/>
                <w:szCs w:val="9"/>
                <w:b w:val="1"/>
                <w:bCs w:val="1"/>
                <w:color w:val="auto"/>
              </w:rPr>
              <w:t>Spread / Floor (d)</w:t>
            </w:r>
          </w:p>
        </w:tc>
        <w:tc>
          <w:tcPr>
            <w:tcW w:w="940" w:type="dxa"/>
            <w:vAlign w:val="bottom"/>
          </w:tcPr>
          <w:p>
            <w:pPr>
              <w:ind w:left="200"/>
              <w:spacing w:after="0"/>
              <w:rPr>
                <w:sz w:val="20"/>
                <w:szCs w:val="20"/>
                <w:color w:val="auto"/>
              </w:rPr>
            </w:pPr>
            <w:r>
              <w:rPr>
                <w:rFonts w:ascii="Arial" w:cs="Arial" w:eastAsia="Arial" w:hAnsi="Arial"/>
                <w:sz w:val="9"/>
                <w:szCs w:val="9"/>
                <w:b w:val="1"/>
                <w:bCs w:val="1"/>
                <w:color w:val="auto"/>
              </w:rPr>
              <w:t>Cash/PIK</w:t>
            </w:r>
          </w:p>
        </w:tc>
        <w:tc>
          <w:tcPr>
            <w:tcW w:w="820" w:type="dxa"/>
            <w:vAlign w:val="bottom"/>
          </w:tcPr>
          <w:p>
            <w:pPr>
              <w:ind w:left="220"/>
              <w:spacing w:after="0"/>
              <w:rPr>
                <w:sz w:val="20"/>
                <w:szCs w:val="20"/>
                <w:color w:val="auto"/>
              </w:rPr>
            </w:pPr>
            <w:r>
              <w:rPr>
                <w:rFonts w:ascii="Arial" w:cs="Arial" w:eastAsia="Arial" w:hAnsi="Arial"/>
                <w:sz w:val="9"/>
                <w:szCs w:val="9"/>
                <w:b w:val="1"/>
                <w:bCs w:val="1"/>
                <w:color w:val="auto"/>
              </w:rPr>
              <w:t>Date (f)</w:t>
            </w:r>
          </w:p>
        </w:tc>
        <w:tc>
          <w:tcPr>
            <w:tcW w:w="800" w:type="dxa"/>
            <w:vAlign w:val="bottom"/>
          </w:tcPr>
          <w:p>
            <w:pPr>
              <w:ind w:left="180"/>
              <w:spacing w:after="0"/>
              <w:rPr>
                <w:sz w:val="20"/>
                <w:szCs w:val="20"/>
                <w:color w:val="auto"/>
              </w:rPr>
            </w:pPr>
            <w:r>
              <w:rPr>
                <w:rFonts w:ascii="Arial" w:cs="Arial" w:eastAsia="Arial" w:hAnsi="Arial"/>
                <w:sz w:val="9"/>
                <w:szCs w:val="9"/>
                <w:b w:val="1"/>
                <w:bCs w:val="1"/>
                <w:color w:val="auto"/>
              </w:rPr>
              <w:t>Maturity</w:t>
            </w:r>
          </w:p>
        </w:tc>
        <w:tc>
          <w:tcPr>
            <w:tcW w:w="260" w:type="dxa"/>
            <w:vAlign w:val="bottom"/>
          </w:tcPr>
          <w:p>
            <w:pPr>
              <w:spacing w:after="0"/>
              <w:rPr>
                <w:sz w:val="10"/>
                <w:szCs w:val="10"/>
                <w:color w:val="auto"/>
              </w:rPr>
            </w:pPr>
          </w:p>
        </w:tc>
        <w:tc>
          <w:tcPr>
            <w:tcW w:w="540" w:type="dxa"/>
            <w:vAlign w:val="bottom"/>
          </w:tcPr>
          <w:p>
            <w:pPr>
              <w:jc w:val="right"/>
              <w:ind w:right="115"/>
              <w:spacing w:after="0"/>
              <w:rPr>
                <w:sz w:val="20"/>
                <w:szCs w:val="20"/>
                <w:color w:val="auto"/>
              </w:rPr>
            </w:pPr>
            <w:r>
              <w:rPr>
                <w:rFonts w:ascii="Arial" w:cs="Arial" w:eastAsia="Arial" w:hAnsi="Arial"/>
                <w:sz w:val="9"/>
                <w:szCs w:val="9"/>
                <w:b w:val="1"/>
                <w:bCs w:val="1"/>
                <w:color w:val="auto"/>
              </w:rPr>
              <w:t>Amount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ind w:right="155"/>
              <w:spacing w:after="0"/>
              <w:rPr>
                <w:sz w:val="20"/>
                <w:szCs w:val="20"/>
                <w:color w:val="auto"/>
              </w:rPr>
            </w:pPr>
            <w:r>
              <w:rPr>
                <w:rFonts w:ascii="Arial" w:cs="Arial" w:eastAsia="Arial" w:hAnsi="Arial"/>
                <w:sz w:val="9"/>
                <w:szCs w:val="9"/>
                <w:b w:val="1"/>
                <w:bCs w:val="1"/>
                <w:color w:val="auto"/>
              </w:rPr>
              <w:t>Cost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75"/>
              <w:spacing w:after="0"/>
              <w:rPr>
                <w:sz w:val="20"/>
                <w:szCs w:val="20"/>
                <w:color w:val="auto"/>
              </w:rPr>
            </w:pPr>
            <w:r>
              <w:rPr>
                <w:rFonts w:ascii="Arial" w:cs="Arial" w:eastAsia="Arial" w:hAnsi="Arial"/>
                <w:sz w:val="9"/>
                <w:szCs w:val="9"/>
                <w:b w:val="1"/>
                <w:bCs w:val="1"/>
                <w:color w:val="auto"/>
                <w:w w:val="94"/>
              </w:rPr>
              <w:t>Value (g)</w:t>
            </w:r>
          </w:p>
        </w:tc>
        <w:tc>
          <w:tcPr>
            <w:tcW w:w="60" w:type="dxa"/>
            <w:vAlign w:val="bottom"/>
          </w:tcPr>
          <w:p>
            <w:pPr>
              <w:spacing w:after="0"/>
              <w:rPr>
                <w:sz w:val="10"/>
                <w:szCs w:val="1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0"/>
              </w:rPr>
              <w:t>Net Assets</w:t>
            </w:r>
          </w:p>
        </w:tc>
        <w:tc>
          <w:tcPr>
            <w:tcW w:w="0" w:type="dxa"/>
            <w:vAlign w:val="bottom"/>
          </w:tcPr>
          <w:p>
            <w:pPr>
              <w:spacing w:after="0"/>
              <w:rPr>
                <w:sz w:val="1"/>
                <w:szCs w:val="1"/>
                <w:color w:val="auto"/>
              </w:rPr>
            </w:pPr>
          </w:p>
        </w:tc>
      </w:tr>
      <w:tr>
        <w:trPr>
          <w:trHeight w:val="102"/>
        </w:trPr>
        <w:tc>
          <w:tcPr>
            <w:tcW w:w="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DBEEF4"/>
            </w:tcBorders>
            <w:shd w:val="clear" w:color="auto" w:fill="DBEEF4"/>
          </w:tcPr>
          <w:p>
            <w:pPr>
              <w:spacing w:after="0"/>
              <w:rPr>
                <w:sz w:val="8"/>
                <w:szCs w:val="8"/>
                <w:color w:val="auto"/>
              </w:rPr>
            </w:pPr>
          </w:p>
        </w:tc>
        <w:tc>
          <w:tcPr>
            <w:tcW w:w="900" w:type="dxa"/>
            <w:vAlign w:val="bottom"/>
            <w:tcBorders>
              <w:bottom w:val="single" w:sz="8" w:color="auto"/>
            </w:tcBorders>
            <w:shd w:val="clear" w:color="auto" w:fill="DBEEF4"/>
          </w:tcPr>
          <w:p>
            <w:pPr>
              <w:spacing w:after="0" w:line="95" w:lineRule="exact"/>
              <w:rPr>
                <w:sz w:val="20"/>
                <w:szCs w:val="20"/>
                <w:color w:val="auto"/>
              </w:rPr>
            </w:pPr>
            <w:r>
              <w:rPr>
                <w:rFonts w:ascii="Arial" w:cs="Arial" w:eastAsia="Arial" w:hAnsi="Arial"/>
                <w:sz w:val="9"/>
                <w:szCs w:val="9"/>
                <w:b w:val="1"/>
                <w:bCs w:val="1"/>
                <w:color w:val="auto"/>
                <w:w w:val="89"/>
              </w:rPr>
              <w:t>Control Investments (t)</w:t>
            </w:r>
          </w:p>
        </w:tc>
        <w:tc>
          <w:tcPr>
            <w:tcW w:w="1500" w:type="dxa"/>
            <w:vAlign w:val="bottom"/>
            <w:tcBorders>
              <w:bottom w:val="single" w:sz="8" w:color="DBEEF4"/>
            </w:tcBorders>
            <w:gridSpan w:val="2"/>
            <w:shd w:val="clear" w:color="auto" w:fill="DBEEF4"/>
          </w:tcPr>
          <w:p>
            <w:pPr>
              <w:spacing w:after="0"/>
              <w:rPr>
                <w:sz w:val="8"/>
                <w:szCs w:val="8"/>
                <w:color w:val="auto"/>
              </w:rPr>
            </w:pPr>
          </w:p>
        </w:tc>
        <w:tc>
          <w:tcPr>
            <w:tcW w:w="1880" w:type="dxa"/>
            <w:vAlign w:val="bottom"/>
            <w:tcBorders>
              <w:bottom w:val="single" w:sz="8" w:color="DBEEF4"/>
            </w:tcBorders>
            <w:shd w:val="clear" w:color="auto" w:fill="DBEEF4"/>
          </w:tcPr>
          <w:p>
            <w:pPr>
              <w:spacing w:after="0"/>
              <w:rPr>
                <w:sz w:val="8"/>
                <w:szCs w:val="8"/>
                <w:color w:val="auto"/>
              </w:rPr>
            </w:pPr>
          </w:p>
        </w:tc>
        <w:tc>
          <w:tcPr>
            <w:tcW w:w="1400" w:type="dxa"/>
            <w:vAlign w:val="bottom"/>
            <w:tcBorders>
              <w:bottom w:val="single" w:sz="8" w:color="DBEEF4"/>
            </w:tcBorders>
            <w:shd w:val="clear" w:color="auto" w:fill="DBEEF4"/>
          </w:tcPr>
          <w:p>
            <w:pPr>
              <w:spacing w:after="0"/>
              <w:rPr>
                <w:sz w:val="8"/>
                <w:szCs w:val="8"/>
                <w:color w:val="auto"/>
              </w:rPr>
            </w:pPr>
          </w:p>
        </w:tc>
        <w:tc>
          <w:tcPr>
            <w:tcW w:w="940" w:type="dxa"/>
            <w:vAlign w:val="bottom"/>
            <w:tcBorders>
              <w:bottom w:val="single" w:sz="8" w:color="DBEEF4"/>
            </w:tcBorders>
            <w:shd w:val="clear" w:color="auto" w:fill="DBEEF4"/>
          </w:tcPr>
          <w:p>
            <w:pPr>
              <w:spacing w:after="0"/>
              <w:rPr>
                <w:sz w:val="8"/>
                <w:szCs w:val="8"/>
                <w:color w:val="auto"/>
              </w:rPr>
            </w:pPr>
          </w:p>
        </w:tc>
        <w:tc>
          <w:tcPr>
            <w:tcW w:w="820" w:type="dxa"/>
            <w:vAlign w:val="bottom"/>
            <w:tcBorders>
              <w:bottom w:val="single" w:sz="8" w:color="DBEEF4"/>
            </w:tcBorders>
            <w:shd w:val="clear" w:color="auto" w:fill="DBEEF4"/>
          </w:tcPr>
          <w:p>
            <w:pPr>
              <w:spacing w:after="0"/>
              <w:rPr>
                <w:sz w:val="8"/>
                <w:szCs w:val="8"/>
                <w:color w:val="auto"/>
              </w:rPr>
            </w:pPr>
          </w:p>
        </w:tc>
        <w:tc>
          <w:tcPr>
            <w:tcW w:w="800" w:type="dxa"/>
            <w:vAlign w:val="bottom"/>
            <w:tcBorders>
              <w:bottom w:val="single" w:sz="8" w:color="DBEEF4"/>
            </w:tcBorders>
            <w:shd w:val="clear" w:color="auto" w:fill="DBEEF4"/>
          </w:tcPr>
          <w:p>
            <w:pPr>
              <w:spacing w:after="0"/>
              <w:rPr>
                <w:sz w:val="8"/>
                <w:szCs w:val="8"/>
                <w:color w:val="auto"/>
              </w:rPr>
            </w:pPr>
          </w:p>
        </w:tc>
        <w:tc>
          <w:tcPr>
            <w:tcW w:w="260" w:type="dxa"/>
            <w:vAlign w:val="bottom"/>
            <w:tcBorders>
              <w:bottom w:val="single" w:sz="8" w:color="DBEEF4"/>
            </w:tcBorders>
            <w:shd w:val="clear" w:color="auto" w:fill="DBEEF4"/>
          </w:tcPr>
          <w:p>
            <w:pPr>
              <w:spacing w:after="0"/>
              <w:rPr>
                <w:sz w:val="8"/>
                <w:szCs w:val="8"/>
                <w:color w:val="auto"/>
              </w:rPr>
            </w:pPr>
          </w:p>
        </w:tc>
        <w:tc>
          <w:tcPr>
            <w:tcW w:w="540" w:type="dxa"/>
            <w:vAlign w:val="bottom"/>
            <w:tcBorders>
              <w:bottom w:val="single" w:sz="8" w:color="DBEEF4"/>
            </w:tcBorders>
            <w:shd w:val="clear" w:color="auto" w:fill="DBEEF4"/>
          </w:tcPr>
          <w:p>
            <w:pPr>
              <w:spacing w:after="0"/>
              <w:rPr>
                <w:sz w:val="8"/>
                <w:szCs w:val="8"/>
                <w:color w:val="auto"/>
              </w:rPr>
            </w:pPr>
          </w:p>
        </w:tc>
        <w:tc>
          <w:tcPr>
            <w:tcW w:w="60" w:type="dxa"/>
            <w:vAlign w:val="bottom"/>
            <w:tcBorders>
              <w:bottom w:val="single" w:sz="8" w:color="DBEEF4"/>
            </w:tcBorders>
            <w:shd w:val="clear" w:color="auto" w:fill="DBEEF4"/>
          </w:tcPr>
          <w:p>
            <w:pPr>
              <w:spacing w:after="0"/>
              <w:rPr>
                <w:sz w:val="8"/>
                <w:szCs w:val="8"/>
                <w:color w:val="auto"/>
              </w:rPr>
            </w:pPr>
          </w:p>
        </w:tc>
        <w:tc>
          <w:tcPr>
            <w:tcW w:w="60" w:type="dxa"/>
            <w:vAlign w:val="bottom"/>
            <w:tcBorders>
              <w:bottom w:val="single" w:sz="8" w:color="DBEEF4"/>
            </w:tcBorders>
            <w:shd w:val="clear" w:color="auto" w:fill="DBEEF4"/>
          </w:tcPr>
          <w:p>
            <w:pPr>
              <w:spacing w:after="0"/>
              <w:rPr>
                <w:sz w:val="8"/>
                <w:szCs w:val="8"/>
                <w:color w:val="auto"/>
              </w:rPr>
            </w:pPr>
          </w:p>
        </w:tc>
        <w:tc>
          <w:tcPr>
            <w:tcW w:w="140" w:type="dxa"/>
            <w:vAlign w:val="bottom"/>
            <w:tcBorders>
              <w:bottom w:val="single" w:sz="8" w:color="DBEEF4"/>
            </w:tcBorders>
            <w:shd w:val="clear" w:color="auto" w:fill="DBEEF4"/>
          </w:tcPr>
          <w:p>
            <w:pPr>
              <w:spacing w:after="0"/>
              <w:rPr>
                <w:sz w:val="8"/>
                <w:szCs w:val="8"/>
                <w:color w:val="auto"/>
              </w:rPr>
            </w:pPr>
          </w:p>
        </w:tc>
        <w:tc>
          <w:tcPr>
            <w:tcW w:w="460" w:type="dxa"/>
            <w:vAlign w:val="bottom"/>
            <w:tcBorders>
              <w:bottom w:val="single" w:sz="8" w:color="DBEEF4"/>
            </w:tcBorders>
            <w:shd w:val="clear" w:color="auto" w:fill="DBEEF4"/>
          </w:tcPr>
          <w:p>
            <w:pPr>
              <w:spacing w:after="0"/>
              <w:rPr>
                <w:sz w:val="8"/>
                <w:szCs w:val="8"/>
                <w:color w:val="auto"/>
              </w:rPr>
            </w:pPr>
          </w:p>
        </w:tc>
        <w:tc>
          <w:tcPr>
            <w:tcW w:w="160" w:type="dxa"/>
            <w:vAlign w:val="bottom"/>
            <w:tcBorders>
              <w:bottom w:val="single" w:sz="8" w:color="DBEEF4"/>
            </w:tcBorders>
            <w:shd w:val="clear" w:color="auto" w:fill="DBEEF4"/>
          </w:tcPr>
          <w:p>
            <w:pPr>
              <w:spacing w:after="0"/>
              <w:rPr>
                <w:sz w:val="8"/>
                <w:szCs w:val="8"/>
                <w:color w:val="auto"/>
              </w:rPr>
            </w:pPr>
          </w:p>
        </w:tc>
        <w:tc>
          <w:tcPr>
            <w:tcW w:w="80" w:type="dxa"/>
            <w:vAlign w:val="bottom"/>
            <w:tcBorders>
              <w:bottom w:val="single" w:sz="8" w:color="DBEEF4"/>
            </w:tcBorders>
            <w:shd w:val="clear" w:color="auto" w:fill="DBEEF4"/>
          </w:tcPr>
          <w:p>
            <w:pPr>
              <w:spacing w:after="0"/>
              <w:rPr>
                <w:sz w:val="8"/>
                <w:szCs w:val="8"/>
                <w:color w:val="auto"/>
              </w:rPr>
            </w:pPr>
          </w:p>
        </w:tc>
        <w:tc>
          <w:tcPr>
            <w:tcW w:w="500" w:type="dxa"/>
            <w:vAlign w:val="bottom"/>
            <w:tcBorders>
              <w:bottom w:val="single" w:sz="8" w:color="DBEEF4"/>
            </w:tcBorders>
            <w:shd w:val="clear" w:color="auto" w:fill="DBEEF4"/>
          </w:tcPr>
          <w:p>
            <w:pPr>
              <w:spacing w:after="0"/>
              <w:rPr>
                <w:sz w:val="8"/>
                <w:szCs w:val="8"/>
                <w:color w:val="auto"/>
              </w:rPr>
            </w:pPr>
          </w:p>
        </w:tc>
        <w:tc>
          <w:tcPr>
            <w:tcW w:w="60" w:type="dxa"/>
            <w:vAlign w:val="bottom"/>
            <w:tcBorders>
              <w:bottom w:val="single" w:sz="8" w:color="DBEEF4"/>
            </w:tcBorders>
            <w:shd w:val="clear" w:color="auto" w:fill="DBEEF4"/>
          </w:tcPr>
          <w:p>
            <w:pPr>
              <w:spacing w:after="0"/>
              <w:rPr>
                <w:sz w:val="8"/>
                <w:szCs w:val="8"/>
                <w:color w:val="auto"/>
              </w:rPr>
            </w:pPr>
          </w:p>
        </w:tc>
        <w:tc>
          <w:tcPr>
            <w:tcW w:w="480" w:type="dxa"/>
            <w:vAlign w:val="bottom"/>
            <w:tcBorders>
              <w:bottom w:val="single" w:sz="8" w:color="DBEEF4"/>
            </w:tcBorders>
            <w:shd w:val="clear" w:color="auto" w:fill="DBEEF4"/>
          </w:tcPr>
          <w:p>
            <w:pPr>
              <w:spacing w:after="0"/>
              <w:rPr>
                <w:sz w:val="8"/>
                <w:szCs w:val="8"/>
                <w:color w:val="auto"/>
              </w:rPr>
            </w:pPr>
          </w:p>
        </w:tc>
        <w:tc>
          <w:tcPr>
            <w:tcW w:w="180" w:type="dxa"/>
            <w:vAlign w:val="bottom"/>
            <w:tcBorders>
              <w:bottom w:val="single" w:sz="8" w:color="DBEEF4"/>
            </w:tcBorders>
            <w:shd w:val="clear" w:color="auto" w:fill="DBEEF4"/>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20" w:type="dxa"/>
            <w:vAlign w:val="bottom"/>
            <w:gridSpan w:val="4"/>
          </w:tcPr>
          <w:p>
            <w:pPr>
              <w:ind w:left="20"/>
              <w:spacing w:after="0" w:line="102" w:lineRule="exact"/>
              <w:rPr>
                <w:sz w:val="20"/>
                <w:szCs w:val="20"/>
                <w:color w:val="auto"/>
              </w:rPr>
            </w:pPr>
            <w:r>
              <w:rPr>
                <w:rFonts w:ascii="Arial" w:cs="Arial" w:eastAsia="Arial" w:hAnsi="Arial"/>
                <w:sz w:val="9"/>
                <w:szCs w:val="9"/>
                <w:i w:val="1"/>
                <w:iCs w:val="1"/>
                <w:color w:val="auto"/>
              </w:rPr>
              <w:t>FDS Avionics Corp. (dba Flight Display Systems)</w:t>
            </w:r>
          </w:p>
        </w:tc>
        <w:tc>
          <w:tcPr>
            <w:tcW w:w="1880" w:type="dxa"/>
            <w:vAlign w:val="bottom"/>
          </w:tcPr>
          <w:p>
            <w:pPr>
              <w:ind w:left="180"/>
              <w:spacing w:after="0" w:line="102" w:lineRule="exact"/>
              <w:rPr>
                <w:sz w:val="20"/>
                <w:szCs w:val="20"/>
                <w:color w:val="auto"/>
              </w:rPr>
            </w:pPr>
            <w:r>
              <w:rPr>
                <w:rFonts w:ascii="Arial" w:cs="Arial" w:eastAsia="Arial" w:hAnsi="Arial"/>
                <w:sz w:val="9"/>
                <w:szCs w:val="9"/>
                <w:color w:val="auto"/>
              </w:rPr>
              <w:t>Aerospace &amp; Defense Manufacturing</w:t>
            </w: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Second Lien Debt</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6.00%/9.00%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11/5/2014</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12/31/2021</w:t>
            </w:r>
          </w:p>
        </w:tc>
        <w:tc>
          <w:tcPr>
            <w:tcW w:w="260" w:type="dxa"/>
            <w:vAlign w:val="bottom"/>
            <w:shd w:val="clear" w:color="auto" w:fill="DBEEF4"/>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4,836</w:t>
            </w:r>
          </w:p>
        </w:tc>
        <w:tc>
          <w:tcPr>
            <w:tcW w:w="260" w:type="dxa"/>
            <w:vAlign w:val="bottom"/>
            <w:gridSpan w:val="3"/>
            <w:shd w:val="clear" w:color="auto" w:fill="DBEEF4"/>
          </w:tcPr>
          <w:p>
            <w:pPr>
              <w:jc w:val="right"/>
              <w:ind w:right="35"/>
              <w:spacing w:after="0"/>
              <w:rPr>
                <w:sz w:val="20"/>
                <w:szCs w:val="20"/>
                <w:color w:val="auto"/>
              </w:rPr>
            </w:pPr>
            <w:r>
              <w:rPr>
                <w:rFonts w:ascii="Arial" w:cs="Arial" w:eastAsia="Arial" w:hAnsi="Arial"/>
                <w:sz w:val="9"/>
                <w:szCs w:val="9"/>
                <w:color w:val="auto"/>
              </w:rPr>
              <w:t>$</w:t>
            </w: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4,836</w:t>
            </w:r>
          </w:p>
        </w:tc>
        <w:tc>
          <w:tcPr>
            <w:tcW w:w="240" w:type="dxa"/>
            <w:vAlign w:val="bottom"/>
            <w:gridSpan w:val="2"/>
            <w:shd w:val="clear" w:color="auto" w:fill="DBEEF4"/>
          </w:tcPr>
          <w:p>
            <w:pPr>
              <w:jc w:val="right"/>
              <w:ind w:right="18"/>
              <w:spacing w:after="0"/>
              <w:rPr>
                <w:sz w:val="20"/>
                <w:szCs w:val="20"/>
                <w:color w:val="auto"/>
              </w:rPr>
            </w:pPr>
            <w:r>
              <w:rPr>
                <w:rFonts w:ascii="Arial" w:cs="Arial" w:eastAsia="Arial" w:hAnsi="Arial"/>
                <w:sz w:val="9"/>
                <w:szCs w:val="9"/>
                <w:color w:val="auto"/>
              </w:rPr>
              <w:t>$</w:t>
            </w: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4,836</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Revolving Loan ($30 unfunded commitment)</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6.00%/9.00%</w:t>
            </w:r>
          </w:p>
        </w:tc>
        <w:tc>
          <w:tcPr>
            <w:tcW w:w="820" w:type="dxa"/>
            <w:vAlign w:val="bottom"/>
          </w:tcPr>
          <w:p>
            <w:pPr>
              <w:ind w:left="220"/>
              <w:spacing w:after="0"/>
              <w:rPr>
                <w:sz w:val="20"/>
                <w:szCs w:val="20"/>
                <w:color w:val="auto"/>
              </w:rPr>
            </w:pPr>
            <w:r>
              <w:rPr>
                <w:rFonts w:ascii="Arial" w:cs="Arial" w:eastAsia="Arial" w:hAnsi="Arial"/>
                <w:sz w:val="9"/>
                <w:szCs w:val="9"/>
                <w:color w:val="auto"/>
              </w:rPr>
              <w:t>4/12/2018</w:t>
            </w:r>
          </w:p>
        </w:tc>
        <w:tc>
          <w:tcPr>
            <w:tcW w:w="800" w:type="dxa"/>
            <w:vAlign w:val="bottom"/>
          </w:tcPr>
          <w:p>
            <w:pPr>
              <w:ind w:left="180"/>
              <w:spacing w:after="0"/>
              <w:rPr>
                <w:sz w:val="20"/>
                <w:szCs w:val="20"/>
                <w:color w:val="auto"/>
              </w:rPr>
            </w:pPr>
            <w:r>
              <w:rPr>
                <w:rFonts w:ascii="Arial" w:cs="Arial" w:eastAsia="Arial" w:hAnsi="Arial"/>
                <w:sz w:val="9"/>
                <w:szCs w:val="9"/>
                <w:color w:val="auto"/>
              </w:rPr>
              <w:t>12/31/2021</w:t>
            </w:r>
          </w:p>
        </w:tc>
        <w:tc>
          <w:tcPr>
            <w:tcW w:w="2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286</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286</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286</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Common Equity (7,478 shares) (j)</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11/10/2017</w:t>
            </w: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748</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Preferred Equity (2,550 shares)</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12/26/2019</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2,550</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2,269</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DBEEF4"/>
          </w:tcPr>
          <w:p>
            <w:pPr>
              <w:spacing w:after="0"/>
              <w:rPr>
                <w:sz w:val="8"/>
                <w:szCs w:val="8"/>
                <w:color w:val="auto"/>
              </w:rPr>
            </w:pPr>
          </w:p>
        </w:tc>
        <w:tc>
          <w:tcPr>
            <w:tcW w:w="90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8,420</w:t>
            </w: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7,391</w:t>
            </w:r>
          </w:p>
        </w:tc>
        <w:tc>
          <w:tcPr>
            <w:tcW w:w="720" w:type="dxa"/>
            <w:vAlign w:val="bottom"/>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US GreenFiber, LLC</w:t>
            </w:r>
          </w:p>
        </w:tc>
        <w:tc>
          <w:tcPr>
            <w:tcW w:w="1880" w:type="dxa"/>
            <w:vAlign w:val="bottom"/>
          </w:tcPr>
          <w:p>
            <w:pPr>
              <w:ind w:left="180"/>
              <w:spacing w:after="0"/>
              <w:rPr>
                <w:sz w:val="20"/>
                <w:szCs w:val="20"/>
                <w:color w:val="auto"/>
              </w:rPr>
            </w:pPr>
            <w:r>
              <w:rPr>
                <w:rFonts w:ascii="Arial" w:cs="Arial" w:eastAsia="Arial" w:hAnsi="Arial"/>
                <w:sz w:val="9"/>
                <w:szCs w:val="9"/>
                <w:color w:val="auto"/>
              </w:rPr>
              <w:t>Building Products Manufacturing</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Second Lien Debt (j)</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8.00%/5.00%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7/3/2014</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8/30/2024</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15,382</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15,378</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13,078</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Second Lien Debt (j)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8.50%/6.50%</w:t>
            </w:r>
          </w:p>
        </w:tc>
        <w:tc>
          <w:tcPr>
            <w:tcW w:w="820" w:type="dxa"/>
            <w:vAlign w:val="bottom"/>
          </w:tcPr>
          <w:p>
            <w:pPr>
              <w:ind w:left="220"/>
              <w:spacing w:after="0"/>
              <w:rPr>
                <w:sz w:val="20"/>
                <w:szCs w:val="20"/>
                <w:color w:val="auto"/>
              </w:rPr>
            </w:pPr>
            <w:r>
              <w:rPr>
                <w:rFonts w:ascii="Arial" w:cs="Arial" w:eastAsia="Arial" w:hAnsi="Arial"/>
                <w:sz w:val="9"/>
                <w:szCs w:val="9"/>
                <w:color w:val="auto"/>
              </w:rPr>
              <w:t>11/9/2018</w:t>
            </w:r>
          </w:p>
        </w:tc>
        <w:tc>
          <w:tcPr>
            <w:tcW w:w="800" w:type="dxa"/>
            <w:vAlign w:val="bottom"/>
          </w:tcPr>
          <w:p>
            <w:pPr>
              <w:ind w:left="180"/>
              <w:spacing w:after="0"/>
              <w:rPr>
                <w:sz w:val="20"/>
                <w:szCs w:val="20"/>
                <w:color w:val="auto"/>
              </w:rPr>
            </w:pPr>
            <w:r>
              <w:rPr>
                <w:rFonts w:ascii="Arial" w:cs="Arial" w:eastAsia="Arial" w:hAnsi="Arial"/>
                <w:sz w:val="9"/>
                <w:szCs w:val="9"/>
                <w:color w:val="auto"/>
              </w:rPr>
              <w:t>8/30/2024</w:t>
            </w:r>
          </w:p>
        </w:tc>
        <w:tc>
          <w:tcPr>
            <w:tcW w:w="2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5,028</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5,028</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5,183</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Second Lien Debt (j)</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8.50%/6.50%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8/10/2020</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8/30/2024</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2,533</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2,533</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2,601</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(2,522 units) (h)(j)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7/3/2014</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586</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Common Equity (425,508 units) (j)</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8/30/2019</w:t>
            </w: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1</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(1,022,813 units) (h)(j)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7/1/2020</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1,023</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DBEEF4"/>
          </w:tcPr>
          <w:p>
            <w:pPr>
              <w:spacing w:after="0"/>
              <w:rPr>
                <w:sz w:val="8"/>
                <w:szCs w:val="8"/>
                <w:color w:val="auto"/>
              </w:rPr>
            </w:pPr>
          </w:p>
        </w:tc>
        <w:tc>
          <w:tcPr>
            <w:tcW w:w="90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24,549</w:t>
            </w: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20,862</w:t>
            </w:r>
          </w:p>
        </w:tc>
        <w:tc>
          <w:tcPr>
            <w:tcW w:w="720" w:type="dxa"/>
            <w:vAlign w:val="bottom"/>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420" w:type="dxa"/>
            <w:vAlign w:val="bottom"/>
            <w:tcBorders>
              <w:bottom w:val="single" w:sz="8" w:color="DBEEF4"/>
            </w:tcBorders>
            <w:gridSpan w:val="4"/>
            <w:shd w:val="clear" w:color="auto" w:fill="DBEEF4"/>
          </w:tcPr>
          <w:p>
            <w:pPr>
              <w:ind w:left="20"/>
              <w:spacing w:after="0" w:line="102" w:lineRule="exact"/>
              <w:rPr>
                <w:sz w:val="20"/>
                <w:szCs w:val="20"/>
                <w:color w:val="auto"/>
              </w:rPr>
            </w:pPr>
            <w:r>
              <w:rPr>
                <w:rFonts w:ascii="Arial" w:cs="Arial" w:eastAsia="Arial" w:hAnsi="Arial"/>
                <w:sz w:val="9"/>
                <w:szCs w:val="9"/>
                <w:b w:val="1"/>
                <w:bCs w:val="1"/>
                <w:color w:val="auto"/>
              </w:rPr>
              <w:t>Total Control Investments</w:t>
            </w:r>
          </w:p>
        </w:tc>
        <w:tc>
          <w:tcPr>
            <w:tcW w:w="1880" w:type="dxa"/>
            <w:vAlign w:val="bottom"/>
            <w:tcBorders>
              <w:bottom w:val="single" w:sz="8" w:color="DBEEF4"/>
            </w:tcBorders>
            <w:shd w:val="clear" w:color="auto" w:fill="DBEEF4"/>
          </w:tcPr>
          <w:p>
            <w:pPr>
              <w:spacing w:after="0"/>
              <w:rPr>
                <w:sz w:val="12"/>
                <w:szCs w:val="12"/>
                <w:color w:val="auto"/>
              </w:rPr>
            </w:pPr>
          </w:p>
        </w:tc>
        <w:tc>
          <w:tcPr>
            <w:tcW w:w="1400" w:type="dxa"/>
            <w:vAlign w:val="bottom"/>
            <w:tcBorders>
              <w:bottom w:val="single" w:sz="8" w:color="DBEEF4"/>
            </w:tcBorders>
            <w:shd w:val="clear" w:color="auto" w:fill="DBEEF4"/>
          </w:tcPr>
          <w:p>
            <w:pPr>
              <w:spacing w:after="0"/>
              <w:rPr>
                <w:sz w:val="12"/>
                <w:szCs w:val="12"/>
                <w:color w:val="auto"/>
              </w:rPr>
            </w:pPr>
          </w:p>
        </w:tc>
        <w:tc>
          <w:tcPr>
            <w:tcW w:w="940" w:type="dxa"/>
            <w:vAlign w:val="bottom"/>
            <w:tcBorders>
              <w:bottom w:val="single" w:sz="8" w:color="DBEEF4"/>
            </w:tcBorders>
            <w:shd w:val="clear" w:color="auto" w:fill="DBEEF4"/>
          </w:tcPr>
          <w:p>
            <w:pPr>
              <w:spacing w:after="0"/>
              <w:rPr>
                <w:sz w:val="12"/>
                <w:szCs w:val="12"/>
                <w:color w:val="auto"/>
              </w:rPr>
            </w:pPr>
          </w:p>
        </w:tc>
        <w:tc>
          <w:tcPr>
            <w:tcW w:w="820" w:type="dxa"/>
            <w:vAlign w:val="bottom"/>
            <w:tcBorders>
              <w:bottom w:val="single" w:sz="8" w:color="DBEEF4"/>
            </w:tcBorders>
            <w:shd w:val="clear" w:color="auto" w:fill="DBEEF4"/>
          </w:tcPr>
          <w:p>
            <w:pPr>
              <w:spacing w:after="0"/>
              <w:rPr>
                <w:sz w:val="12"/>
                <w:szCs w:val="12"/>
                <w:color w:val="auto"/>
              </w:rPr>
            </w:pPr>
          </w:p>
        </w:tc>
        <w:tc>
          <w:tcPr>
            <w:tcW w:w="800" w:type="dxa"/>
            <w:vAlign w:val="bottom"/>
            <w:tcBorders>
              <w:bottom w:val="single" w:sz="8" w:color="DBEEF4"/>
            </w:tcBorders>
            <w:shd w:val="clear" w:color="auto" w:fill="DBEEF4"/>
          </w:tcPr>
          <w:p>
            <w:pPr>
              <w:spacing w:after="0"/>
              <w:rPr>
                <w:sz w:val="12"/>
                <w:szCs w:val="12"/>
                <w:color w:val="auto"/>
              </w:rPr>
            </w:pPr>
          </w:p>
        </w:tc>
        <w:tc>
          <w:tcPr>
            <w:tcW w:w="260" w:type="dxa"/>
            <w:vAlign w:val="bottom"/>
            <w:tcBorders>
              <w:bottom w:val="single" w:sz="8" w:color="DBEEF4"/>
            </w:tcBorders>
            <w:shd w:val="clear" w:color="auto" w:fill="DBEEF4"/>
          </w:tcPr>
          <w:p>
            <w:pPr>
              <w:spacing w:after="0"/>
              <w:rPr>
                <w:sz w:val="12"/>
                <w:szCs w:val="12"/>
                <w:color w:val="auto"/>
              </w:rPr>
            </w:pPr>
          </w:p>
        </w:tc>
        <w:tc>
          <w:tcPr>
            <w:tcW w:w="540" w:type="dxa"/>
            <w:vAlign w:val="bottom"/>
            <w:tcBorders>
              <w:bottom w:val="single" w:sz="8" w:color="DBEEF4"/>
            </w:tcBorders>
            <w:shd w:val="clear" w:color="auto" w:fill="DBEEF4"/>
          </w:tcPr>
          <w:p>
            <w:pPr>
              <w:spacing w:after="0"/>
              <w:rPr>
                <w:sz w:val="12"/>
                <w:szCs w:val="12"/>
                <w:color w:val="auto"/>
              </w:rPr>
            </w:pPr>
          </w:p>
        </w:tc>
        <w:tc>
          <w:tcPr>
            <w:tcW w:w="120" w:type="dxa"/>
            <w:vAlign w:val="bottom"/>
            <w:tcBorders>
              <w:bottom w:val="single" w:sz="8" w:color="DBEEF4"/>
            </w:tcBorders>
            <w:gridSpan w:val="2"/>
            <w:shd w:val="clear" w:color="auto" w:fill="DBEEF4"/>
          </w:tcPr>
          <w:p>
            <w:pPr>
              <w:spacing w:after="0"/>
              <w:rPr>
                <w:sz w:val="12"/>
                <w:szCs w:val="12"/>
                <w:color w:val="auto"/>
              </w:rPr>
            </w:pPr>
          </w:p>
        </w:tc>
        <w:tc>
          <w:tcPr>
            <w:tcW w:w="140" w:type="dxa"/>
            <w:vAlign w:val="bottom"/>
            <w:tcBorders>
              <w:top w:val="single" w:sz="8" w:color="auto"/>
              <w:bottom w:val="single" w:sz="8" w:color="auto"/>
            </w:tcBorders>
            <w:shd w:val="clear" w:color="auto" w:fill="DBEEF4"/>
          </w:tcPr>
          <w:p>
            <w:pPr>
              <w:jc w:val="right"/>
              <w:ind w:right="35"/>
              <w:spacing w:after="0" w:line="102" w:lineRule="exact"/>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32,969</w:t>
            </w:r>
          </w:p>
        </w:tc>
        <w:tc>
          <w:tcPr>
            <w:tcW w:w="160" w:type="dxa"/>
            <w:vAlign w:val="bottom"/>
            <w:tcBorders>
              <w:bottom w:val="single" w:sz="8" w:color="DBEEF4"/>
            </w:tcBorders>
            <w:shd w:val="clear" w:color="auto" w:fill="DBEEF4"/>
          </w:tcPr>
          <w:p>
            <w:pPr>
              <w:spacing w:after="0"/>
              <w:rPr>
                <w:sz w:val="12"/>
                <w:szCs w:val="12"/>
                <w:color w:val="auto"/>
              </w:rPr>
            </w:pPr>
          </w:p>
        </w:tc>
        <w:tc>
          <w:tcPr>
            <w:tcW w:w="80" w:type="dxa"/>
            <w:vAlign w:val="bottom"/>
            <w:tcBorders>
              <w:top w:val="single" w:sz="8" w:color="auto"/>
              <w:bottom w:val="single" w:sz="8" w:color="auto"/>
            </w:tcBorders>
            <w:shd w:val="clear" w:color="auto" w:fill="DBEEF4"/>
          </w:tcPr>
          <w:p>
            <w:pPr>
              <w:jc w:val="right"/>
              <w:ind w:right="18"/>
              <w:spacing w:after="0"/>
              <w:rPr>
                <w:sz w:val="20"/>
                <w:szCs w:val="20"/>
                <w:color w:val="auto"/>
              </w:rPr>
            </w:pPr>
            <w:r>
              <w:rPr>
                <w:rFonts w:ascii="Arial" w:cs="Arial" w:eastAsia="Arial" w:hAnsi="Arial"/>
                <w:sz w:val="4"/>
                <w:szCs w:val="4"/>
                <w:color w:val="auto"/>
                <w:w w:val="87"/>
              </w:rPr>
              <w:t>$</w:t>
            </w:r>
          </w:p>
        </w:tc>
        <w:tc>
          <w:tcPr>
            <w:tcW w:w="500" w:type="dxa"/>
            <w:vAlign w:val="bottom"/>
            <w:tcBorders>
              <w:top w:val="single" w:sz="8" w:color="auto"/>
              <w:bottom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28,253</w:t>
            </w:r>
          </w:p>
        </w:tc>
        <w:tc>
          <w:tcPr>
            <w:tcW w:w="720" w:type="dxa"/>
            <w:vAlign w:val="bottom"/>
            <w:tcBorders>
              <w:bottom w:val="single" w:sz="8" w:color="DBEEF4"/>
            </w:tcBorders>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7 %</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DBEEF4"/>
          </w:tcPr>
          <w:p>
            <w:pPr>
              <w:spacing w:after="0"/>
              <w:rPr>
                <w:sz w:val="8"/>
                <w:szCs w:val="8"/>
                <w:color w:val="auto"/>
              </w:rPr>
            </w:pPr>
          </w:p>
        </w:tc>
        <w:tc>
          <w:tcPr>
            <w:tcW w:w="2400" w:type="dxa"/>
            <w:vAlign w:val="bottom"/>
            <w:gridSpan w:val="3"/>
            <w:shd w:val="clear" w:color="auto" w:fill="DBEEF4"/>
          </w:tcPr>
          <w:p>
            <w:pPr>
              <w:spacing w:after="0" w:line="95" w:lineRule="exact"/>
              <w:rPr>
                <w:sz w:val="20"/>
                <w:szCs w:val="20"/>
                <w:color w:val="auto"/>
              </w:rPr>
            </w:pPr>
            <w:r>
              <w:rPr>
                <w:rFonts w:ascii="Arial" w:cs="Arial" w:eastAsia="Arial" w:hAnsi="Arial"/>
                <w:sz w:val="9"/>
                <w:szCs w:val="9"/>
                <w:b w:val="1"/>
                <w:bCs w:val="1"/>
                <w:color w:val="auto"/>
              </w:rPr>
              <w:t>Affiliate Investments (l)</w:t>
            </w: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spacing w:after="0"/>
              <w:rPr>
                <w:sz w:val="8"/>
                <w:szCs w:val="8"/>
                <w:color w:val="auto"/>
              </w:rPr>
            </w:pP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480" w:type="dxa"/>
            <w:vAlign w:val="bottom"/>
            <w:shd w:val="clear" w:color="auto" w:fill="DBEEF4"/>
          </w:tcPr>
          <w:p>
            <w:pPr>
              <w:spacing w:after="0"/>
              <w:rPr>
                <w:sz w:val="8"/>
                <w:szCs w:val="8"/>
                <w:color w:val="auto"/>
              </w:rPr>
            </w:pPr>
          </w:p>
        </w:tc>
        <w:tc>
          <w:tcPr>
            <w:tcW w:w="180" w:type="dxa"/>
            <w:vAlign w:val="bottom"/>
            <w:shd w:val="clear" w:color="auto" w:fill="DBEEF4"/>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Borders>
              <w:top w:val="single" w:sz="8" w:color="DBEEF4"/>
            </w:tcBorders>
          </w:tcPr>
          <w:p>
            <w:pPr>
              <w:spacing w:after="0"/>
              <w:rPr>
                <w:sz w:val="8"/>
                <w:szCs w:val="8"/>
                <w:color w:val="auto"/>
              </w:rPr>
            </w:pPr>
          </w:p>
        </w:tc>
        <w:tc>
          <w:tcPr>
            <w:tcW w:w="900" w:type="dxa"/>
            <w:vAlign w:val="bottom"/>
            <w:tcBorders>
              <w:top w:val="single" w:sz="8" w:color="auto"/>
            </w:tcBorders>
          </w:tcPr>
          <w:p>
            <w:pPr>
              <w:spacing w:after="0" w:line="102" w:lineRule="exact"/>
              <w:rPr>
                <w:sz w:val="20"/>
                <w:szCs w:val="20"/>
                <w:color w:val="auto"/>
              </w:rPr>
            </w:pPr>
            <w:r>
              <w:rPr>
                <w:rFonts w:ascii="Arial" w:cs="Arial" w:eastAsia="Arial" w:hAnsi="Arial"/>
                <w:sz w:val="9"/>
                <w:szCs w:val="9"/>
                <w:i w:val="1"/>
                <w:iCs w:val="1"/>
                <w:color w:val="auto"/>
                <w:w w:val="98"/>
              </w:rPr>
              <w:t>FAR Research Inc. (n)</w:t>
            </w:r>
          </w:p>
        </w:tc>
        <w:tc>
          <w:tcPr>
            <w:tcW w:w="1500" w:type="dxa"/>
            <w:vAlign w:val="bottom"/>
            <w:tcBorders>
              <w:top w:val="single" w:sz="8" w:color="DBEEF4"/>
            </w:tcBorders>
            <w:gridSpan w:val="2"/>
          </w:tcPr>
          <w:p>
            <w:pPr>
              <w:spacing w:after="0"/>
              <w:rPr>
                <w:sz w:val="8"/>
                <w:szCs w:val="8"/>
                <w:color w:val="auto"/>
              </w:rPr>
            </w:pPr>
          </w:p>
        </w:tc>
        <w:tc>
          <w:tcPr>
            <w:tcW w:w="1880" w:type="dxa"/>
            <w:vAlign w:val="bottom"/>
            <w:tcBorders>
              <w:top w:val="single" w:sz="8" w:color="DBEEF4"/>
            </w:tcBorders>
          </w:tcPr>
          <w:p>
            <w:pPr>
              <w:ind w:left="180"/>
              <w:spacing w:after="0" w:line="102" w:lineRule="exact"/>
              <w:rPr>
                <w:sz w:val="20"/>
                <w:szCs w:val="20"/>
                <w:color w:val="auto"/>
              </w:rPr>
            </w:pPr>
            <w:r>
              <w:rPr>
                <w:rFonts w:ascii="Arial" w:cs="Arial" w:eastAsia="Arial" w:hAnsi="Arial"/>
                <w:sz w:val="9"/>
                <w:szCs w:val="9"/>
                <w:color w:val="auto"/>
              </w:rPr>
              <w:t>Specialty Chemicals</w:t>
            </w:r>
          </w:p>
        </w:tc>
        <w:tc>
          <w:tcPr>
            <w:tcW w:w="1400" w:type="dxa"/>
            <w:vAlign w:val="bottom"/>
            <w:tcBorders>
              <w:top w:val="single" w:sz="8" w:color="DBEEF4"/>
            </w:tcBorders>
          </w:tcPr>
          <w:p>
            <w:pPr>
              <w:spacing w:after="0"/>
              <w:rPr>
                <w:sz w:val="8"/>
                <w:szCs w:val="8"/>
                <w:color w:val="auto"/>
              </w:rPr>
            </w:pPr>
          </w:p>
        </w:tc>
        <w:tc>
          <w:tcPr>
            <w:tcW w:w="940" w:type="dxa"/>
            <w:vAlign w:val="bottom"/>
            <w:tcBorders>
              <w:top w:val="single" w:sz="8" w:color="DBEEF4"/>
            </w:tcBorders>
          </w:tcPr>
          <w:p>
            <w:pPr>
              <w:spacing w:after="0"/>
              <w:rPr>
                <w:sz w:val="8"/>
                <w:szCs w:val="8"/>
                <w:color w:val="auto"/>
              </w:rPr>
            </w:pPr>
          </w:p>
        </w:tc>
        <w:tc>
          <w:tcPr>
            <w:tcW w:w="820" w:type="dxa"/>
            <w:vAlign w:val="bottom"/>
            <w:tcBorders>
              <w:top w:val="single" w:sz="8" w:color="DBEEF4"/>
            </w:tcBorders>
          </w:tcPr>
          <w:p>
            <w:pPr>
              <w:spacing w:after="0"/>
              <w:rPr>
                <w:sz w:val="8"/>
                <w:szCs w:val="8"/>
                <w:color w:val="auto"/>
              </w:rPr>
            </w:pPr>
          </w:p>
        </w:tc>
        <w:tc>
          <w:tcPr>
            <w:tcW w:w="800" w:type="dxa"/>
            <w:vAlign w:val="bottom"/>
            <w:tcBorders>
              <w:top w:val="single" w:sz="8" w:color="DBEEF4"/>
            </w:tcBorders>
          </w:tcPr>
          <w:p>
            <w:pPr>
              <w:spacing w:after="0"/>
              <w:rPr>
                <w:sz w:val="8"/>
                <w:szCs w:val="8"/>
                <w:color w:val="auto"/>
              </w:rPr>
            </w:pPr>
          </w:p>
        </w:tc>
        <w:tc>
          <w:tcPr>
            <w:tcW w:w="260" w:type="dxa"/>
            <w:vAlign w:val="bottom"/>
            <w:tcBorders>
              <w:top w:val="single" w:sz="8" w:color="DBEEF4"/>
            </w:tcBorders>
          </w:tcPr>
          <w:p>
            <w:pPr>
              <w:spacing w:after="0"/>
              <w:rPr>
                <w:sz w:val="8"/>
                <w:szCs w:val="8"/>
                <w:color w:val="auto"/>
              </w:rPr>
            </w:pPr>
          </w:p>
        </w:tc>
        <w:tc>
          <w:tcPr>
            <w:tcW w:w="540" w:type="dxa"/>
            <w:vAlign w:val="bottom"/>
            <w:tcBorders>
              <w:top w:val="single" w:sz="8" w:color="DBEEF4"/>
            </w:tcBorders>
          </w:tcPr>
          <w:p>
            <w:pPr>
              <w:spacing w:after="0"/>
              <w:rPr>
                <w:sz w:val="8"/>
                <w:szCs w:val="8"/>
                <w:color w:val="auto"/>
              </w:rPr>
            </w:pPr>
          </w:p>
        </w:tc>
        <w:tc>
          <w:tcPr>
            <w:tcW w:w="60" w:type="dxa"/>
            <w:vAlign w:val="bottom"/>
            <w:tcBorders>
              <w:top w:val="single" w:sz="8" w:color="DBEEF4"/>
            </w:tcBorders>
          </w:tcPr>
          <w:p>
            <w:pPr>
              <w:spacing w:after="0"/>
              <w:rPr>
                <w:sz w:val="8"/>
                <w:szCs w:val="8"/>
                <w:color w:val="auto"/>
              </w:rPr>
            </w:pPr>
          </w:p>
        </w:tc>
        <w:tc>
          <w:tcPr>
            <w:tcW w:w="60" w:type="dxa"/>
            <w:vAlign w:val="bottom"/>
            <w:tcBorders>
              <w:top w:val="single" w:sz="8" w:color="DBEEF4"/>
            </w:tcBorders>
          </w:tcPr>
          <w:p>
            <w:pPr>
              <w:spacing w:after="0"/>
              <w:rPr>
                <w:sz w:val="8"/>
                <w:szCs w:val="8"/>
                <w:color w:val="auto"/>
              </w:rPr>
            </w:pPr>
          </w:p>
        </w:tc>
        <w:tc>
          <w:tcPr>
            <w:tcW w:w="140" w:type="dxa"/>
            <w:vAlign w:val="bottom"/>
            <w:tcBorders>
              <w:top w:val="single" w:sz="8" w:color="DBEEF4"/>
            </w:tcBorders>
          </w:tcPr>
          <w:p>
            <w:pPr>
              <w:spacing w:after="0"/>
              <w:rPr>
                <w:sz w:val="8"/>
                <w:szCs w:val="8"/>
                <w:color w:val="auto"/>
              </w:rPr>
            </w:pPr>
          </w:p>
        </w:tc>
        <w:tc>
          <w:tcPr>
            <w:tcW w:w="460" w:type="dxa"/>
            <w:vAlign w:val="bottom"/>
            <w:tcBorders>
              <w:top w:val="single" w:sz="8" w:color="DBEEF4"/>
            </w:tcBorders>
          </w:tcPr>
          <w:p>
            <w:pPr>
              <w:spacing w:after="0"/>
              <w:rPr>
                <w:sz w:val="8"/>
                <w:szCs w:val="8"/>
                <w:color w:val="auto"/>
              </w:rPr>
            </w:pPr>
          </w:p>
        </w:tc>
        <w:tc>
          <w:tcPr>
            <w:tcW w:w="160" w:type="dxa"/>
            <w:vAlign w:val="bottom"/>
            <w:tcBorders>
              <w:top w:val="single" w:sz="8" w:color="DBEEF4"/>
            </w:tcBorders>
          </w:tcPr>
          <w:p>
            <w:pPr>
              <w:spacing w:after="0"/>
              <w:rPr>
                <w:sz w:val="8"/>
                <w:szCs w:val="8"/>
                <w:color w:val="auto"/>
              </w:rPr>
            </w:pPr>
          </w:p>
        </w:tc>
        <w:tc>
          <w:tcPr>
            <w:tcW w:w="80" w:type="dxa"/>
            <w:vAlign w:val="bottom"/>
            <w:tcBorders>
              <w:top w:val="single" w:sz="8" w:color="DBEEF4"/>
            </w:tcBorders>
          </w:tcPr>
          <w:p>
            <w:pPr>
              <w:spacing w:after="0"/>
              <w:rPr>
                <w:sz w:val="8"/>
                <w:szCs w:val="8"/>
                <w:color w:val="auto"/>
              </w:rPr>
            </w:pPr>
          </w:p>
        </w:tc>
        <w:tc>
          <w:tcPr>
            <w:tcW w:w="500" w:type="dxa"/>
            <w:vAlign w:val="bottom"/>
            <w:tcBorders>
              <w:top w:val="single" w:sz="8" w:color="DBEEF4"/>
            </w:tcBorders>
          </w:tcPr>
          <w:p>
            <w:pPr>
              <w:spacing w:after="0"/>
              <w:rPr>
                <w:sz w:val="8"/>
                <w:szCs w:val="8"/>
                <w:color w:val="auto"/>
              </w:rPr>
            </w:pPr>
          </w:p>
        </w:tc>
        <w:tc>
          <w:tcPr>
            <w:tcW w:w="60" w:type="dxa"/>
            <w:vAlign w:val="bottom"/>
            <w:tcBorders>
              <w:top w:val="single" w:sz="8" w:color="DBEEF4"/>
            </w:tcBorders>
          </w:tcPr>
          <w:p>
            <w:pPr>
              <w:spacing w:after="0"/>
              <w:rPr>
                <w:sz w:val="8"/>
                <w:szCs w:val="8"/>
                <w:color w:val="auto"/>
              </w:rPr>
            </w:pPr>
          </w:p>
        </w:tc>
        <w:tc>
          <w:tcPr>
            <w:tcW w:w="480" w:type="dxa"/>
            <w:vAlign w:val="bottom"/>
            <w:tcBorders>
              <w:top w:val="single" w:sz="8" w:color="DBEEF4"/>
            </w:tcBorders>
          </w:tcPr>
          <w:p>
            <w:pPr>
              <w:spacing w:after="0"/>
              <w:rPr>
                <w:sz w:val="8"/>
                <w:szCs w:val="8"/>
                <w:color w:val="auto"/>
              </w:rPr>
            </w:pPr>
          </w:p>
        </w:tc>
        <w:tc>
          <w:tcPr>
            <w:tcW w:w="180" w:type="dxa"/>
            <w:vAlign w:val="bottom"/>
            <w:tcBorders>
              <w:top w:val="single" w:sz="8" w:color="DBEEF4"/>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Common Equity (1,396 units)</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3/31/2014</w:t>
            </w: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260" w:type="dxa"/>
            <w:vAlign w:val="bottom"/>
            <w:gridSpan w:val="3"/>
            <w:shd w:val="clear" w:color="auto" w:fill="DBEEF4"/>
          </w:tcPr>
          <w:p>
            <w:pPr>
              <w:jc w:val="right"/>
              <w:ind w:right="35"/>
              <w:spacing w:after="0"/>
              <w:rPr>
                <w:sz w:val="20"/>
                <w:szCs w:val="20"/>
                <w:color w:val="auto"/>
              </w:rPr>
            </w:pPr>
            <w:r>
              <w:rPr>
                <w:rFonts w:ascii="Arial" w:cs="Arial" w:eastAsia="Arial" w:hAnsi="Arial"/>
                <w:sz w:val="9"/>
                <w:szCs w:val="9"/>
                <w:color w:val="auto"/>
              </w:rPr>
              <w:t>$</w:t>
            </w: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w:t>
            </w:r>
          </w:p>
        </w:tc>
        <w:tc>
          <w:tcPr>
            <w:tcW w:w="240" w:type="dxa"/>
            <w:vAlign w:val="bottom"/>
            <w:gridSpan w:val="2"/>
            <w:shd w:val="clear" w:color="auto" w:fill="DBEEF4"/>
          </w:tcPr>
          <w:p>
            <w:pPr>
              <w:jc w:val="right"/>
              <w:ind w:right="18"/>
              <w:spacing w:after="0"/>
              <w:rPr>
                <w:sz w:val="20"/>
                <w:szCs w:val="20"/>
                <w:color w:val="auto"/>
              </w:rPr>
            </w:pPr>
            <w:r>
              <w:rPr>
                <w:rFonts w:ascii="Arial" w:cs="Arial" w:eastAsia="Arial" w:hAnsi="Arial"/>
                <w:sz w:val="9"/>
                <w:szCs w:val="9"/>
                <w:color w:val="auto"/>
              </w:rPr>
              <w:t>$</w:t>
            </w: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28</w:t>
            </w:r>
          </w:p>
        </w:tc>
        <w:tc>
          <w:tcPr>
            <w:tcW w:w="720" w:type="dxa"/>
            <w:vAlign w:val="bottom"/>
            <w:gridSpan w:val="3"/>
            <w:shd w:val="clear" w:color="auto" w:fill="DBEEF4"/>
          </w:tcPr>
          <w:p>
            <w:pPr>
              <w:jc w:val="right"/>
              <w:ind w:right="100"/>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gridSpan w:val="4"/>
            <w:shd w:val="clear" w:color="auto" w:fill="DBEEF4"/>
          </w:tcPr>
          <w:p>
            <w:pPr>
              <w:ind w:left="20"/>
              <w:spacing w:after="0"/>
              <w:rPr>
                <w:sz w:val="20"/>
                <w:szCs w:val="20"/>
                <w:color w:val="auto"/>
              </w:rPr>
            </w:pPr>
            <w:r>
              <w:rPr>
                <w:rFonts w:ascii="Arial" w:cs="Arial" w:eastAsia="Arial" w:hAnsi="Arial"/>
                <w:sz w:val="9"/>
                <w:szCs w:val="9"/>
                <w:i w:val="1"/>
                <w:iCs w:val="1"/>
                <w:color w:val="auto"/>
              </w:rPr>
              <w:t>Fiber Materials, Inc. (n)</w:t>
            </w:r>
          </w:p>
        </w:tc>
        <w:tc>
          <w:tcPr>
            <w:tcW w:w="1880" w:type="dxa"/>
            <w:vAlign w:val="bottom"/>
            <w:shd w:val="clear" w:color="auto" w:fill="DBEEF4"/>
          </w:tcPr>
          <w:p>
            <w:pPr>
              <w:ind w:left="180"/>
              <w:spacing w:after="0"/>
              <w:rPr>
                <w:sz w:val="20"/>
                <w:szCs w:val="20"/>
                <w:color w:val="auto"/>
              </w:rPr>
            </w:pPr>
            <w:r>
              <w:rPr>
                <w:rFonts w:ascii="Arial" w:cs="Arial" w:eastAsia="Arial" w:hAnsi="Arial"/>
                <w:sz w:val="9"/>
                <w:szCs w:val="9"/>
                <w:color w:val="auto"/>
              </w:rPr>
              <w:t>Aerospace &amp; Defense Manufacturing</w:t>
            </w: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(10 units)</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11/30/2016</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41</w:t>
            </w:r>
          </w:p>
        </w:tc>
        <w:tc>
          <w:tcPr>
            <w:tcW w:w="720" w:type="dxa"/>
            <w:vAlign w:val="bottom"/>
            <w:gridSpan w:val="3"/>
          </w:tcPr>
          <w:p>
            <w:pPr>
              <w:jc w:val="right"/>
              <w:ind w:right="100"/>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900" w:type="dxa"/>
            <w:vAlign w:val="bottom"/>
            <w:shd w:val="clear" w:color="auto" w:fill="DBEEF4"/>
          </w:tcPr>
          <w:p>
            <w:pPr>
              <w:spacing w:after="0"/>
              <w:rPr>
                <w:sz w:val="9"/>
                <w:szCs w:val="9"/>
                <w:color w:val="auto"/>
              </w:rPr>
            </w:pPr>
          </w:p>
        </w:tc>
        <w:tc>
          <w:tcPr>
            <w:tcW w:w="5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Medsurant Holdings, LLC</w:t>
            </w:r>
          </w:p>
        </w:tc>
        <w:tc>
          <w:tcPr>
            <w:tcW w:w="1880" w:type="dxa"/>
            <w:vAlign w:val="bottom"/>
          </w:tcPr>
          <w:p>
            <w:pPr>
              <w:ind w:left="180"/>
              <w:spacing w:after="0"/>
              <w:rPr>
                <w:sz w:val="20"/>
                <w:szCs w:val="20"/>
                <w:color w:val="auto"/>
              </w:rPr>
            </w:pPr>
            <w:r>
              <w:rPr>
                <w:rFonts w:ascii="Arial" w:cs="Arial" w:eastAsia="Arial" w:hAnsi="Arial"/>
                <w:sz w:val="9"/>
                <w:szCs w:val="9"/>
                <w:color w:val="auto"/>
              </w:rPr>
              <w:t>Healthcare Services</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Second Lien Debt (j)</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14.00%/0.00%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12/18/2015</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3/10/2022</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8,031</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8,028</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8,091</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Preferred Equity (63,331 units) (h)(j)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4/12/2011</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673</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620</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DBEEF4"/>
            </w:tcBorders>
            <w:shd w:val="clear" w:color="auto" w:fill="DBEEF4"/>
          </w:tcPr>
          <w:p>
            <w:pPr>
              <w:spacing w:after="0"/>
              <w:rPr>
                <w:sz w:val="9"/>
                <w:szCs w:val="9"/>
                <w:color w:val="auto"/>
              </w:rPr>
            </w:pPr>
          </w:p>
        </w:tc>
        <w:tc>
          <w:tcPr>
            <w:tcW w:w="2400" w:type="dxa"/>
            <w:vAlign w:val="bottom"/>
            <w:tcBorders>
              <w:bottom w:val="single" w:sz="8" w:color="DBEEF4"/>
            </w:tcBorders>
            <w:gridSpan w:val="3"/>
            <w:shd w:val="clear" w:color="auto" w:fill="DBEEF4"/>
          </w:tcPr>
          <w:p>
            <w:pPr>
              <w:ind w:left="100"/>
              <w:spacing w:after="0"/>
              <w:rPr>
                <w:sz w:val="20"/>
                <w:szCs w:val="20"/>
                <w:color w:val="auto"/>
              </w:rPr>
            </w:pPr>
            <w:r>
              <w:rPr>
                <w:rFonts w:ascii="Arial" w:cs="Arial" w:eastAsia="Arial" w:hAnsi="Arial"/>
                <w:sz w:val="9"/>
                <w:szCs w:val="9"/>
                <w:color w:val="auto"/>
              </w:rPr>
              <w:t>Warrant (252,588 units) (h)(j)(m)</w:t>
            </w:r>
          </w:p>
        </w:tc>
        <w:tc>
          <w:tcPr>
            <w:tcW w:w="1880" w:type="dxa"/>
            <w:vAlign w:val="bottom"/>
            <w:tcBorders>
              <w:bottom w:val="single" w:sz="8" w:color="DBEEF4"/>
            </w:tcBorders>
            <w:shd w:val="clear" w:color="auto" w:fill="DBEEF4"/>
          </w:tcPr>
          <w:p>
            <w:pPr>
              <w:spacing w:after="0"/>
              <w:rPr>
                <w:sz w:val="9"/>
                <w:szCs w:val="9"/>
                <w:color w:val="auto"/>
              </w:rPr>
            </w:pPr>
          </w:p>
        </w:tc>
        <w:tc>
          <w:tcPr>
            <w:tcW w:w="140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4/12/2011</w:t>
            </w:r>
          </w:p>
        </w:tc>
        <w:tc>
          <w:tcPr>
            <w:tcW w:w="800" w:type="dxa"/>
            <w:vAlign w:val="bottom"/>
            <w:tcBorders>
              <w:bottom w:val="single" w:sz="8" w:color="DBEEF4"/>
            </w:tcBorders>
            <w:shd w:val="clear" w:color="auto" w:fill="DBEEF4"/>
          </w:tcPr>
          <w:p>
            <w:pPr>
              <w:spacing w:after="0"/>
              <w:rPr>
                <w:sz w:val="9"/>
                <w:szCs w:val="9"/>
                <w:color w:val="auto"/>
              </w:rPr>
            </w:pPr>
          </w:p>
        </w:tc>
        <w:tc>
          <w:tcPr>
            <w:tcW w:w="260" w:type="dxa"/>
            <w:vAlign w:val="bottom"/>
            <w:tcBorders>
              <w:bottom w:val="single" w:sz="8" w:color="DBEEF4"/>
            </w:tcBorders>
            <w:shd w:val="clear" w:color="auto" w:fill="DBEEF4"/>
          </w:tcPr>
          <w:p>
            <w:pPr>
              <w:spacing w:after="0"/>
              <w:rPr>
                <w:sz w:val="9"/>
                <w:szCs w:val="9"/>
                <w:color w:val="auto"/>
              </w:rPr>
            </w:pPr>
          </w:p>
        </w:tc>
        <w:tc>
          <w:tcPr>
            <w:tcW w:w="54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140" w:type="dxa"/>
            <w:vAlign w:val="bottom"/>
            <w:tcBorders>
              <w:bottom w:val="single" w:sz="8" w:color="auto"/>
            </w:tcBorders>
            <w:shd w:val="clear" w:color="auto" w:fill="DBEEF4"/>
          </w:tcPr>
          <w:p>
            <w:pPr>
              <w:spacing w:after="0"/>
              <w:rPr>
                <w:sz w:val="9"/>
                <w:szCs w:val="9"/>
                <w:color w:val="auto"/>
              </w:rPr>
            </w:pPr>
          </w:p>
        </w:tc>
        <w:tc>
          <w:tcPr>
            <w:tcW w:w="4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2,258</w:t>
            </w:r>
          </w:p>
        </w:tc>
        <w:tc>
          <w:tcPr>
            <w:tcW w:w="160" w:type="dxa"/>
            <w:vAlign w:val="bottom"/>
            <w:tcBorders>
              <w:bottom w:val="single" w:sz="8" w:color="DBEEF4"/>
            </w:tcBorders>
            <w:shd w:val="clear" w:color="auto" w:fill="DBEEF4"/>
          </w:tcPr>
          <w:p>
            <w:pPr>
              <w:spacing w:after="0"/>
              <w:rPr>
                <w:sz w:val="9"/>
                <w:szCs w:val="9"/>
                <w:color w:val="auto"/>
              </w:rPr>
            </w:pPr>
          </w:p>
        </w:tc>
        <w:tc>
          <w:tcPr>
            <w:tcW w:w="80" w:type="dxa"/>
            <w:vAlign w:val="bottom"/>
            <w:tcBorders>
              <w:bottom w:val="single" w:sz="8" w:color="auto"/>
            </w:tcBorders>
            <w:shd w:val="clear" w:color="auto" w:fill="DBEEF4"/>
          </w:tcPr>
          <w:p>
            <w:pPr>
              <w:spacing w:after="0"/>
              <w:rPr>
                <w:sz w:val="9"/>
                <w:szCs w:val="9"/>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2,249</w:t>
            </w:r>
          </w:p>
        </w:tc>
        <w:tc>
          <w:tcPr>
            <w:tcW w:w="60" w:type="dxa"/>
            <w:vAlign w:val="bottom"/>
            <w:tcBorders>
              <w:bottom w:val="single" w:sz="8" w:color="DBEEF4"/>
            </w:tcBorders>
            <w:shd w:val="clear" w:color="auto" w:fill="DBEEF4"/>
          </w:tcPr>
          <w:p>
            <w:pPr>
              <w:spacing w:after="0"/>
              <w:rPr>
                <w:sz w:val="9"/>
                <w:szCs w:val="9"/>
                <w:color w:val="auto"/>
              </w:rPr>
            </w:pPr>
          </w:p>
        </w:tc>
        <w:tc>
          <w:tcPr>
            <w:tcW w:w="48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10,959</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10,960</w:t>
            </w:r>
          </w:p>
        </w:tc>
        <w:tc>
          <w:tcPr>
            <w:tcW w:w="720" w:type="dxa"/>
            <w:vAlign w:val="bottom"/>
            <w:gridSpan w:val="3"/>
          </w:tcPr>
          <w:p>
            <w:pPr>
              <w:jc w:val="right"/>
              <w:ind w:right="100"/>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420" w:type="dxa"/>
            <w:vAlign w:val="bottom"/>
            <w:gridSpan w:val="4"/>
            <w:shd w:val="clear" w:color="auto" w:fill="DBEEF4"/>
          </w:tcPr>
          <w:p>
            <w:pPr>
              <w:ind w:left="20"/>
              <w:spacing w:after="0"/>
              <w:rPr>
                <w:sz w:val="20"/>
                <w:szCs w:val="20"/>
                <w:color w:val="auto"/>
              </w:rPr>
            </w:pPr>
            <w:r>
              <w:rPr>
                <w:rFonts w:ascii="Arial" w:cs="Arial" w:eastAsia="Arial" w:hAnsi="Arial"/>
                <w:sz w:val="9"/>
                <w:szCs w:val="9"/>
                <w:i w:val="1"/>
                <w:iCs w:val="1"/>
                <w:color w:val="auto"/>
              </w:rPr>
              <w:t>Mirage Trailers LLC</w:t>
            </w:r>
          </w:p>
        </w:tc>
        <w:tc>
          <w:tcPr>
            <w:tcW w:w="1880" w:type="dxa"/>
            <w:vAlign w:val="bottom"/>
            <w:shd w:val="clear" w:color="auto" w:fill="DBEEF4"/>
          </w:tcPr>
          <w:p>
            <w:pPr>
              <w:ind w:left="180"/>
              <w:spacing w:after="0"/>
              <w:rPr>
                <w:sz w:val="20"/>
                <w:szCs w:val="20"/>
                <w:color w:val="auto"/>
              </w:rPr>
            </w:pPr>
            <w:r>
              <w:rPr>
                <w:rFonts w:ascii="Arial" w:cs="Arial" w:eastAsia="Arial" w:hAnsi="Arial"/>
                <w:sz w:val="9"/>
                <w:szCs w:val="9"/>
                <w:color w:val="auto"/>
              </w:rPr>
              <w:t>Utility Equipment Manufacturing</w:t>
            </w: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Second Lien Debt (k)</w:t>
            </w:r>
          </w:p>
        </w:tc>
        <w:tc>
          <w:tcPr>
            <w:tcW w:w="1880" w:type="dxa"/>
            <w:vAlign w:val="bottom"/>
          </w:tcPr>
          <w:p>
            <w:pPr>
              <w:spacing w:after="0"/>
              <w:rPr>
                <w:sz w:val="9"/>
                <w:szCs w:val="9"/>
                <w:color w:val="auto"/>
              </w:rPr>
            </w:pPr>
          </w:p>
        </w:tc>
        <w:tc>
          <w:tcPr>
            <w:tcW w:w="1400" w:type="dxa"/>
            <w:vAlign w:val="bottom"/>
          </w:tcPr>
          <w:p>
            <w:pPr>
              <w:ind w:left="360"/>
              <w:spacing w:after="0"/>
              <w:rPr>
                <w:sz w:val="20"/>
                <w:szCs w:val="20"/>
                <w:color w:val="auto"/>
              </w:rPr>
            </w:pPr>
            <w:r>
              <w:rPr>
                <w:rFonts w:ascii="Arial" w:cs="Arial" w:eastAsia="Arial" w:hAnsi="Arial"/>
                <w:sz w:val="9"/>
                <w:szCs w:val="9"/>
                <w:color w:val="auto"/>
              </w:rPr>
              <w:t>(L + 10.00%) / (1.00%)</w:t>
            </w:r>
          </w:p>
        </w:tc>
        <w:tc>
          <w:tcPr>
            <w:tcW w:w="940" w:type="dxa"/>
            <w:vAlign w:val="bottom"/>
          </w:tcPr>
          <w:p>
            <w:pPr>
              <w:ind w:left="200"/>
              <w:spacing w:after="0"/>
              <w:rPr>
                <w:sz w:val="20"/>
                <w:szCs w:val="20"/>
                <w:color w:val="auto"/>
              </w:rPr>
            </w:pPr>
            <w:r>
              <w:rPr>
                <w:rFonts w:ascii="Arial" w:cs="Arial" w:eastAsia="Arial" w:hAnsi="Arial"/>
                <w:sz w:val="9"/>
                <w:szCs w:val="9"/>
                <w:color w:val="auto"/>
              </w:rPr>
              <w:t>11.00%/5.00%</w:t>
            </w:r>
          </w:p>
        </w:tc>
        <w:tc>
          <w:tcPr>
            <w:tcW w:w="820" w:type="dxa"/>
            <w:vAlign w:val="bottom"/>
          </w:tcPr>
          <w:p>
            <w:pPr>
              <w:ind w:left="220"/>
              <w:spacing w:after="0"/>
              <w:rPr>
                <w:sz w:val="20"/>
                <w:szCs w:val="20"/>
                <w:color w:val="auto"/>
              </w:rPr>
            </w:pPr>
            <w:r>
              <w:rPr>
                <w:rFonts w:ascii="Arial" w:cs="Arial" w:eastAsia="Arial" w:hAnsi="Arial"/>
                <w:sz w:val="9"/>
                <w:szCs w:val="9"/>
                <w:color w:val="auto"/>
              </w:rPr>
              <w:t>11/25/2015</w:t>
            </w:r>
          </w:p>
        </w:tc>
        <w:tc>
          <w:tcPr>
            <w:tcW w:w="800" w:type="dxa"/>
            <w:vAlign w:val="bottom"/>
          </w:tcPr>
          <w:p>
            <w:pPr>
              <w:ind w:left="180"/>
              <w:spacing w:after="0"/>
              <w:rPr>
                <w:sz w:val="20"/>
                <w:szCs w:val="20"/>
                <w:color w:val="auto"/>
              </w:rPr>
            </w:pPr>
            <w:r>
              <w:rPr>
                <w:rFonts w:ascii="Arial" w:cs="Arial" w:eastAsia="Arial" w:hAnsi="Arial"/>
                <w:sz w:val="9"/>
                <w:szCs w:val="9"/>
                <w:color w:val="auto"/>
              </w:rPr>
              <w:t>11/25/2021</w:t>
            </w:r>
          </w:p>
        </w:tc>
        <w:tc>
          <w:tcPr>
            <w:tcW w:w="2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6,410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6,483</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6,410</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DBEEF4"/>
            </w:tcBorders>
            <w:shd w:val="clear" w:color="auto" w:fill="DBEEF4"/>
          </w:tcPr>
          <w:p>
            <w:pPr>
              <w:spacing w:after="0"/>
              <w:rPr>
                <w:sz w:val="9"/>
                <w:szCs w:val="9"/>
                <w:color w:val="auto"/>
              </w:rPr>
            </w:pPr>
          </w:p>
        </w:tc>
        <w:tc>
          <w:tcPr>
            <w:tcW w:w="2400" w:type="dxa"/>
            <w:vAlign w:val="bottom"/>
            <w:tcBorders>
              <w:bottom w:val="single" w:sz="8" w:color="DBEEF4"/>
            </w:tcBorders>
            <w:gridSpan w:val="3"/>
            <w:shd w:val="clear" w:color="auto" w:fill="DBEEF4"/>
          </w:tcPr>
          <w:p>
            <w:pPr>
              <w:ind w:left="100"/>
              <w:spacing w:after="0"/>
              <w:rPr>
                <w:sz w:val="20"/>
                <w:szCs w:val="20"/>
                <w:color w:val="auto"/>
              </w:rPr>
            </w:pPr>
            <w:r>
              <w:rPr>
                <w:rFonts w:ascii="Arial" w:cs="Arial" w:eastAsia="Arial" w:hAnsi="Arial"/>
                <w:sz w:val="9"/>
                <w:szCs w:val="9"/>
                <w:color w:val="auto"/>
              </w:rPr>
              <w:t>Common Equity (2,500,000 shares) (o)</w:t>
            </w:r>
          </w:p>
        </w:tc>
        <w:tc>
          <w:tcPr>
            <w:tcW w:w="1880" w:type="dxa"/>
            <w:vAlign w:val="bottom"/>
            <w:tcBorders>
              <w:bottom w:val="single" w:sz="8" w:color="DBEEF4"/>
            </w:tcBorders>
            <w:shd w:val="clear" w:color="auto" w:fill="DBEEF4"/>
          </w:tcPr>
          <w:p>
            <w:pPr>
              <w:spacing w:after="0"/>
              <w:rPr>
                <w:sz w:val="9"/>
                <w:szCs w:val="9"/>
                <w:color w:val="auto"/>
              </w:rPr>
            </w:pPr>
          </w:p>
        </w:tc>
        <w:tc>
          <w:tcPr>
            <w:tcW w:w="140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11/25/2015</w:t>
            </w:r>
          </w:p>
        </w:tc>
        <w:tc>
          <w:tcPr>
            <w:tcW w:w="800" w:type="dxa"/>
            <w:vAlign w:val="bottom"/>
            <w:tcBorders>
              <w:bottom w:val="single" w:sz="8" w:color="DBEEF4"/>
            </w:tcBorders>
            <w:shd w:val="clear" w:color="auto" w:fill="DBEEF4"/>
          </w:tcPr>
          <w:p>
            <w:pPr>
              <w:spacing w:after="0"/>
              <w:rPr>
                <w:sz w:val="9"/>
                <w:szCs w:val="9"/>
                <w:color w:val="auto"/>
              </w:rPr>
            </w:pPr>
          </w:p>
        </w:tc>
        <w:tc>
          <w:tcPr>
            <w:tcW w:w="260" w:type="dxa"/>
            <w:vAlign w:val="bottom"/>
            <w:tcBorders>
              <w:bottom w:val="single" w:sz="8" w:color="DBEEF4"/>
            </w:tcBorders>
            <w:shd w:val="clear" w:color="auto" w:fill="DBEEF4"/>
          </w:tcPr>
          <w:p>
            <w:pPr>
              <w:spacing w:after="0"/>
              <w:rPr>
                <w:sz w:val="9"/>
                <w:szCs w:val="9"/>
                <w:color w:val="auto"/>
              </w:rPr>
            </w:pPr>
          </w:p>
        </w:tc>
        <w:tc>
          <w:tcPr>
            <w:tcW w:w="54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140" w:type="dxa"/>
            <w:vAlign w:val="bottom"/>
            <w:tcBorders>
              <w:bottom w:val="single" w:sz="8" w:color="auto"/>
            </w:tcBorders>
            <w:shd w:val="clear" w:color="auto" w:fill="DBEEF4"/>
          </w:tcPr>
          <w:p>
            <w:pPr>
              <w:spacing w:after="0"/>
              <w:rPr>
                <w:sz w:val="9"/>
                <w:szCs w:val="9"/>
                <w:color w:val="auto"/>
              </w:rPr>
            </w:pPr>
          </w:p>
        </w:tc>
        <w:tc>
          <w:tcPr>
            <w:tcW w:w="4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2,188</w:t>
            </w:r>
          </w:p>
        </w:tc>
        <w:tc>
          <w:tcPr>
            <w:tcW w:w="160" w:type="dxa"/>
            <w:vAlign w:val="bottom"/>
            <w:tcBorders>
              <w:bottom w:val="single" w:sz="8" w:color="DBEEF4"/>
            </w:tcBorders>
            <w:shd w:val="clear" w:color="auto" w:fill="DBEEF4"/>
          </w:tcPr>
          <w:p>
            <w:pPr>
              <w:spacing w:after="0"/>
              <w:rPr>
                <w:sz w:val="9"/>
                <w:szCs w:val="9"/>
                <w:color w:val="auto"/>
              </w:rPr>
            </w:pPr>
          </w:p>
        </w:tc>
        <w:tc>
          <w:tcPr>
            <w:tcW w:w="80" w:type="dxa"/>
            <w:vAlign w:val="bottom"/>
            <w:tcBorders>
              <w:bottom w:val="single" w:sz="8" w:color="auto"/>
            </w:tcBorders>
            <w:shd w:val="clear" w:color="auto" w:fill="DBEEF4"/>
          </w:tcPr>
          <w:p>
            <w:pPr>
              <w:spacing w:after="0"/>
              <w:rPr>
                <w:sz w:val="9"/>
                <w:szCs w:val="9"/>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84</w:t>
            </w:r>
          </w:p>
        </w:tc>
        <w:tc>
          <w:tcPr>
            <w:tcW w:w="60" w:type="dxa"/>
            <w:vAlign w:val="bottom"/>
            <w:tcBorders>
              <w:bottom w:val="single" w:sz="8" w:color="DBEEF4"/>
            </w:tcBorders>
            <w:shd w:val="clear" w:color="auto" w:fill="DBEEF4"/>
          </w:tcPr>
          <w:p>
            <w:pPr>
              <w:spacing w:after="0"/>
              <w:rPr>
                <w:sz w:val="9"/>
                <w:szCs w:val="9"/>
                <w:color w:val="auto"/>
              </w:rPr>
            </w:pPr>
          </w:p>
        </w:tc>
        <w:tc>
          <w:tcPr>
            <w:tcW w:w="48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8,671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6,494</w:t>
            </w:r>
          </w:p>
        </w:tc>
        <w:tc>
          <w:tcPr>
            <w:tcW w:w="720" w:type="dxa"/>
            <w:vAlign w:val="bottom"/>
            <w:gridSpan w:val="3"/>
          </w:tcPr>
          <w:p>
            <w:pPr>
              <w:jc w:val="right"/>
              <w:ind w:right="100"/>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420" w:type="dxa"/>
            <w:vAlign w:val="bottom"/>
            <w:gridSpan w:val="4"/>
            <w:shd w:val="clear" w:color="auto" w:fill="DBEEF4"/>
          </w:tcPr>
          <w:p>
            <w:pPr>
              <w:ind w:left="20"/>
              <w:spacing w:after="0"/>
              <w:rPr>
                <w:sz w:val="20"/>
                <w:szCs w:val="20"/>
                <w:color w:val="auto"/>
              </w:rPr>
            </w:pPr>
            <w:r>
              <w:rPr>
                <w:rFonts w:ascii="Arial" w:cs="Arial" w:eastAsia="Arial" w:hAnsi="Arial"/>
                <w:sz w:val="9"/>
                <w:szCs w:val="9"/>
                <w:i w:val="1"/>
                <w:iCs w:val="1"/>
                <w:color w:val="auto"/>
              </w:rPr>
              <w:t>Pfanstiehl, Inc.</w:t>
            </w:r>
          </w:p>
        </w:tc>
        <w:tc>
          <w:tcPr>
            <w:tcW w:w="1880" w:type="dxa"/>
            <w:vAlign w:val="bottom"/>
            <w:shd w:val="clear" w:color="auto" w:fill="DBEEF4"/>
          </w:tcPr>
          <w:p>
            <w:pPr>
              <w:ind w:left="180"/>
              <w:spacing w:after="0"/>
              <w:rPr>
                <w:sz w:val="20"/>
                <w:szCs w:val="20"/>
                <w:color w:val="auto"/>
              </w:rPr>
            </w:pPr>
            <w:r>
              <w:rPr>
                <w:rFonts w:ascii="Arial" w:cs="Arial" w:eastAsia="Arial" w:hAnsi="Arial"/>
                <w:sz w:val="9"/>
                <w:szCs w:val="9"/>
                <w:color w:val="auto"/>
              </w:rPr>
              <w:t>Healthcare Products</w:t>
            </w: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(4,250 units) (j)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3/29/2013</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425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33,505</w:t>
            </w:r>
          </w:p>
        </w:tc>
        <w:tc>
          <w:tcPr>
            <w:tcW w:w="720" w:type="dxa"/>
            <w:vAlign w:val="bottom"/>
            <w:gridSpan w:val="3"/>
          </w:tcPr>
          <w:p>
            <w:pPr>
              <w:jc w:val="right"/>
              <w:ind w:right="100"/>
              <w:spacing w:after="0"/>
              <w:rPr>
                <w:sz w:val="20"/>
                <w:szCs w:val="20"/>
                <w:color w:val="auto"/>
              </w:rPr>
            </w:pPr>
            <w:r>
              <w:rPr>
                <w:rFonts w:ascii="Arial" w:cs="Arial" w:eastAsia="Arial" w:hAnsi="Arial"/>
                <w:sz w:val="9"/>
                <w:szCs w:val="9"/>
                <w:color w:val="auto"/>
              </w:rPr>
              <w:t>8 %</w:t>
            </w: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900" w:type="dxa"/>
            <w:vAlign w:val="bottom"/>
            <w:shd w:val="clear" w:color="auto" w:fill="DBEEF4"/>
          </w:tcPr>
          <w:p>
            <w:pPr>
              <w:spacing w:after="0"/>
              <w:rPr>
                <w:sz w:val="9"/>
                <w:szCs w:val="9"/>
                <w:color w:val="auto"/>
              </w:rPr>
            </w:pPr>
          </w:p>
        </w:tc>
        <w:tc>
          <w:tcPr>
            <w:tcW w:w="5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Pinnergy, Ltd.</w:t>
            </w:r>
          </w:p>
        </w:tc>
        <w:tc>
          <w:tcPr>
            <w:tcW w:w="1880" w:type="dxa"/>
            <w:vAlign w:val="bottom"/>
          </w:tcPr>
          <w:p>
            <w:pPr>
              <w:ind w:left="180"/>
              <w:spacing w:after="0"/>
              <w:rPr>
                <w:sz w:val="20"/>
                <w:szCs w:val="20"/>
                <w:color w:val="auto"/>
              </w:rPr>
            </w:pPr>
            <w:r>
              <w:rPr>
                <w:rFonts w:ascii="Arial" w:cs="Arial" w:eastAsia="Arial" w:hAnsi="Arial"/>
                <w:sz w:val="9"/>
                <w:szCs w:val="9"/>
                <w:color w:val="auto"/>
              </w:rPr>
              <w:t>Oil &amp; Gas Services</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Common Equity - Class A-2 (42,500 units) (j)</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10/13/2016</w:t>
            </w: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3,000</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20,589</w:t>
            </w:r>
          </w:p>
        </w:tc>
        <w:tc>
          <w:tcPr>
            <w:tcW w:w="720" w:type="dxa"/>
            <w:vAlign w:val="bottom"/>
            <w:gridSpan w:val="3"/>
            <w:shd w:val="clear" w:color="auto" w:fill="DBEEF4"/>
          </w:tcPr>
          <w:p>
            <w:pPr>
              <w:jc w:val="right"/>
              <w:ind w:right="100"/>
              <w:spacing w:after="0"/>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gridSpan w:val="4"/>
            <w:shd w:val="clear" w:color="auto" w:fill="DBEEF4"/>
          </w:tcPr>
          <w:p>
            <w:pPr>
              <w:ind w:left="20"/>
              <w:spacing w:after="0"/>
              <w:rPr>
                <w:sz w:val="20"/>
                <w:szCs w:val="20"/>
                <w:color w:val="auto"/>
              </w:rPr>
            </w:pPr>
            <w:r>
              <w:rPr>
                <w:rFonts w:ascii="Arial" w:cs="Arial" w:eastAsia="Arial" w:hAnsi="Arial"/>
                <w:sz w:val="9"/>
                <w:szCs w:val="9"/>
                <w:i w:val="1"/>
                <w:iCs w:val="1"/>
                <w:color w:val="auto"/>
              </w:rPr>
              <w:t>Steward Holding LLC (dba Steward Advanced Materials)</w:t>
            </w:r>
          </w:p>
        </w:tc>
        <w:tc>
          <w:tcPr>
            <w:tcW w:w="1880" w:type="dxa"/>
            <w:vAlign w:val="bottom"/>
            <w:shd w:val="clear" w:color="auto" w:fill="DBEEF4"/>
          </w:tcPr>
          <w:p>
            <w:pPr>
              <w:ind w:left="180"/>
              <w:spacing w:after="0"/>
              <w:rPr>
                <w:sz w:val="20"/>
                <w:szCs w:val="20"/>
                <w:color w:val="auto"/>
              </w:rPr>
            </w:pPr>
            <w:r>
              <w:rPr>
                <w:rFonts w:ascii="Arial" w:cs="Arial" w:eastAsia="Arial" w:hAnsi="Arial"/>
                <w:sz w:val="9"/>
                <w:szCs w:val="9"/>
                <w:color w:val="auto"/>
              </w:rPr>
              <w:t>Aerospace &amp; Defense Manufacturing</w:t>
            </w: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Second Lien Debt</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12.00%/1.50%</w:t>
            </w:r>
          </w:p>
        </w:tc>
        <w:tc>
          <w:tcPr>
            <w:tcW w:w="820" w:type="dxa"/>
            <w:vAlign w:val="bottom"/>
          </w:tcPr>
          <w:p>
            <w:pPr>
              <w:ind w:left="220"/>
              <w:spacing w:after="0"/>
              <w:rPr>
                <w:sz w:val="20"/>
                <w:szCs w:val="20"/>
                <w:color w:val="auto"/>
              </w:rPr>
            </w:pPr>
            <w:r>
              <w:rPr>
                <w:rFonts w:ascii="Arial" w:cs="Arial" w:eastAsia="Arial" w:hAnsi="Arial"/>
                <w:sz w:val="9"/>
                <w:szCs w:val="9"/>
                <w:color w:val="auto"/>
              </w:rPr>
              <w:t>11/12/2015</w:t>
            </w:r>
          </w:p>
        </w:tc>
        <w:tc>
          <w:tcPr>
            <w:tcW w:w="800" w:type="dxa"/>
            <w:vAlign w:val="bottom"/>
          </w:tcPr>
          <w:p>
            <w:pPr>
              <w:ind w:left="180"/>
              <w:spacing w:after="0"/>
              <w:rPr>
                <w:sz w:val="20"/>
                <w:szCs w:val="20"/>
                <w:color w:val="auto"/>
              </w:rPr>
            </w:pPr>
            <w:r>
              <w:rPr>
                <w:rFonts w:ascii="Arial" w:cs="Arial" w:eastAsia="Arial" w:hAnsi="Arial"/>
                <w:sz w:val="9"/>
                <w:szCs w:val="9"/>
                <w:color w:val="auto"/>
              </w:rPr>
              <w:t>10/31/2021</w:t>
            </w:r>
          </w:p>
        </w:tc>
        <w:tc>
          <w:tcPr>
            <w:tcW w:w="2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7,783</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7,781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7,783</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DBEEF4"/>
            </w:tcBorders>
            <w:shd w:val="clear" w:color="auto" w:fill="DBEEF4"/>
          </w:tcPr>
          <w:p>
            <w:pPr>
              <w:spacing w:after="0"/>
              <w:rPr>
                <w:sz w:val="9"/>
                <w:szCs w:val="9"/>
                <w:color w:val="auto"/>
              </w:rPr>
            </w:pPr>
          </w:p>
        </w:tc>
        <w:tc>
          <w:tcPr>
            <w:tcW w:w="2400" w:type="dxa"/>
            <w:vAlign w:val="bottom"/>
            <w:tcBorders>
              <w:bottom w:val="single" w:sz="8" w:color="DBEEF4"/>
            </w:tcBorders>
            <w:gridSpan w:val="3"/>
            <w:shd w:val="clear" w:color="auto" w:fill="DBEEF4"/>
          </w:tcPr>
          <w:p>
            <w:pPr>
              <w:ind w:left="100"/>
              <w:spacing w:after="0"/>
              <w:rPr>
                <w:sz w:val="20"/>
                <w:szCs w:val="20"/>
                <w:color w:val="auto"/>
              </w:rPr>
            </w:pPr>
            <w:r>
              <w:rPr>
                <w:rFonts w:ascii="Arial" w:cs="Arial" w:eastAsia="Arial" w:hAnsi="Arial"/>
                <w:sz w:val="9"/>
                <w:szCs w:val="9"/>
                <w:color w:val="auto"/>
              </w:rPr>
              <w:t>Common Equity (1,000,000 units)</w:t>
            </w:r>
          </w:p>
        </w:tc>
        <w:tc>
          <w:tcPr>
            <w:tcW w:w="1880" w:type="dxa"/>
            <w:vAlign w:val="bottom"/>
            <w:tcBorders>
              <w:bottom w:val="single" w:sz="8" w:color="DBEEF4"/>
            </w:tcBorders>
            <w:shd w:val="clear" w:color="auto" w:fill="DBEEF4"/>
          </w:tcPr>
          <w:p>
            <w:pPr>
              <w:spacing w:after="0"/>
              <w:rPr>
                <w:sz w:val="9"/>
                <w:szCs w:val="9"/>
                <w:color w:val="auto"/>
              </w:rPr>
            </w:pPr>
          </w:p>
        </w:tc>
        <w:tc>
          <w:tcPr>
            <w:tcW w:w="140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11/12/2015</w:t>
            </w:r>
          </w:p>
        </w:tc>
        <w:tc>
          <w:tcPr>
            <w:tcW w:w="800" w:type="dxa"/>
            <w:vAlign w:val="bottom"/>
            <w:tcBorders>
              <w:bottom w:val="single" w:sz="8" w:color="DBEEF4"/>
            </w:tcBorders>
            <w:shd w:val="clear" w:color="auto" w:fill="DBEEF4"/>
          </w:tcPr>
          <w:p>
            <w:pPr>
              <w:spacing w:after="0"/>
              <w:rPr>
                <w:sz w:val="9"/>
                <w:szCs w:val="9"/>
                <w:color w:val="auto"/>
              </w:rPr>
            </w:pPr>
          </w:p>
        </w:tc>
        <w:tc>
          <w:tcPr>
            <w:tcW w:w="260" w:type="dxa"/>
            <w:vAlign w:val="bottom"/>
            <w:tcBorders>
              <w:bottom w:val="single" w:sz="8" w:color="DBEEF4"/>
            </w:tcBorders>
            <w:shd w:val="clear" w:color="auto" w:fill="DBEEF4"/>
          </w:tcPr>
          <w:p>
            <w:pPr>
              <w:spacing w:after="0"/>
              <w:rPr>
                <w:sz w:val="9"/>
                <w:szCs w:val="9"/>
                <w:color w:val="auto"/>
              </w:rPr>
            </w:pPr>
          </w:p>
        </w:tc>
        <w:tc>
          <w:tcPr>
            <w:tcW w:w="54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140" w:type="dxa"/>
            <w:vAlign w:val="bottom"/>
            <w:tcBorders>
              <w:bottom w:val="single" w:sz="8" w:color="auto"/>
            </w:tcBorders>
            <w:shd w:val="clear" w:color="auto" w:fill="DBEEF4"/>
          </w:tcPr>
          <w:p>
            <w:pPr>
              <w:spacing w:after="0"/>
              <w:rPr>
                <w:sz w:val="9"/>
                <w:szCs w:val="9"/>
                <w:color w:val="auto"/>
              </w:rPr>
            </w:pPr>
          </w:p>
        </w:tc>
        <w:tc>
          <w:tcPr>
            <w:tcW w:w="4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1,000</w:t>
            </w:r>
          </w:p>
        </w:tc>
        <w:tc>
          <w:tcPr>
            <w:tcW w:w="160" w:type="dxa"/>
            <w:vAlign w:val="bottom"/>
            <w:tcBorders>
              <w:bottom w:val="single" w:sz="8" w:color="DBEEF4"/>
            </w:tcBorders>
            <w:shd w:val="clear" w:color="auto" w:fill="DBEEF4"/>
          </w:tcPr>
          <w:p>
            <w:pPr>
              <w:spacing w:after="0"/>
              <w:rPr>
                <w:sz w:val="9"/>
                <w:szCs w:val="9"/>
                <w:color w:val="auto"/>
              </w:rPr>
            </w:pPr>
          </w:p>
        </w:tc>
        <w:tc>
          <w:tcPr>
            <w:tcW w:w="80" w:type="dxa"/>
            <w:vAlign w:val="bottom"/>
            <w:tcBorders>
              <w:bottom w:val="single" w:sz="8" w:color="auto"/>
            </w:tcBorders>
            <w:shd w:val="clear" w:color="auto" w:fill="DBEEF4"/>
          </w:tcPr>
          <w:p>
            <w:pPr>
              <w:spacing w:after="0"/>
              <w:rPr>
                <w:sz w:val="9"/>
                <w:szCs w:val="9"/>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1,994</w:t>
            </w:r>
          </w:p>
        </w:tc>
        <w:tc>
          <w:tcPr>
            <w:tcW w:w="60" w:type="dxa"/>
            <w:vAlign w:val="bottom"/>
            <w:tcBorders>
              <w:bottom w:val="single" w:sz="8" w:color="DBEEF4"/>
            </w:tcBorders>
            <w:shd w:val="clear" w:color="auto" w:fill="DBEEF4"/>
          </w:tcPr>
          <w:p>
            <w:pPr>
              <w:spacing w:after="0"/>
              <w:rPr>
                <w:sz w:val="9"/>
                <w:szCs w:val="9"/>
                <w:color w:val="auto"/>
              </w:rPr>
            </w:pPr>
          </w:p>
        </w:tc>
        <w:tc>
          <w:tcPr>
            <w:tcW w:w="48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8,781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9,777</w:t>
            </w:r>
          </w:p>
        </w:tc>
        <w:tc>
          <w:tcPr>
            <w:tcW w:w="720" w:type="dxa"/>
            <w:vAlign w:val="bottom"/>
            <w:gridSpan w:val="3"/>
          </w:tcPr>
          <w:p>
            <w:pPr>
              <w:jc w:val="right"/>
              <w:ind w:right="100"/>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0" w:type="dxa"/>
            <w:vAlign w:val="bottom"/>
            <w:tcBorders>
              <w:bottom w:val="single" w:sz="8" w:color="DBEEF4"/>
            </w:tcBorders>
            <w:shd w:val="clear" w:color="auto" w:fill="DBEEF4"/>
          </w:tcPr>
          <w:p>
            <w:pPr>
              <w:spacing w:after="0"/>
              <w:rPr>
                <w:sz w:val="9"/>
                <w:szCs w:val="9"/>
                <w:color w:val="auto"/>
              </w:rPr>
            </w:pPr>
          </w:p>
        </w:tc>
        <w:tc>
          <w:tcPr>
            <w:tcW w:w="900" w:type="dxa"/>
            <w:vAlign w:val="bottom"/>
            <w:tcBorders>
              <w:bottom w:val="single" w:sz="8" w:color="DBEEF4"/>
            </w:tcBorders>
            <w:shd w:val="clear" w:color="auto" w:fill="DBEEF4"/>
          </w:tcPr>
          <w:p>
            <w:pPr>
              <w:spacing w:after="0"/>
              <w:rPr>
                <w:sz w:val="9"/>
                <w:szCs w:val="9"/>
                <w:color w:val="auto"/>
              </w:rPr>
            </w:pPr>
          </w:p>
        </w:tc>
        <w:tc>
          <w:tcPr>
            <w:tcW w:w="5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1880" w:type="dxa"/>
            <w:vAlign w:val="bottom"/>
            <w:tcBorders>
              <w:bottom w:val="single" w:sz="8" w:color="DBEEF4"/>
            </w:tcBorders>
            <w:shd w:val="clear" w:color="auto" w:fill="DBEEF4"/>
          </w:tcPr>
          <w:p>
            <w:pPr>
              <w:spacing w:after="0"/>
              <w:rPr>
                <w:sz w:val="9"/>
                <w:szCs w:val="9"/>
                <w:color w:val="auto"/>
              </w:rPr>
            </w:pPr>
          </w:p>
        </w:tc>
        <w:tc>
          <w:tcPr>
            <w:tcW w:w="140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spacing w:after="0"/>
              <w:rPr>
                <w:sz w:val="9"/>
                <w:szCs w:val="9"/>
                <w:color w:val="auto"/>
              </w:rPr>
            </w:pPr>
          </w:p>
        </w:tc>
        <w:tc>
          <w:tcPr>
            <w:tcW w:w="800" w:type="dxa"/>
            <w:vAlign w:val="bottom"/>
            <w:tcBorders>
              <w:bottom w:val="single" w:sz="8" w:color="DBEEF4"/>
            </w:tcBorders>
            <w:shd w:val="clear" w:color="auto" w:fill="DBEEF4"/>
          </w:tcPr>
          <w:p>
            <w:pPr>
              <w:spacing w:after="0"/>
              <w:rPr>
                <w:sz w:val="9"/>
                <w:szCs w:val="9"/>
                <w:color w:val="auto"/>
              </w:rPr>
            </w:pPr>
          </w:p>
        </w:tc>
        <w:tc>
          <w:tcPr>
            <w:tcW w:w="260" w:type="dxa"/>
            <w:vAlign w:val="bottom"/>
            <w:tcBorders>
              <w:bottom w:val="single" w:sz="8" w:color="DBEEF4"/>
            </w:tcBorders>
            <w:shd w:val="clear" w:color="auto" w:fill="DBEEF4"/>
          </w:tcPr>
          <w:p>
            <w:pPr>
              <w:spacing w:after="0"/>
              <w:rPr>
                <w:sz w:val="9"/>
                <w:szCs w:val="9"/>
                <w:color w:val="auto"/>
              </w:rPr>
            </w:pPr>
          </w:p>
        </w:tc>
        <w:tc>
          <w:tcPr>
            <w:tcW w:w="540" w:type="dxa"/>
            <w:vAlign w:val="bottom"/>
            <w:tcBorders>
              <w:bottom w:val="single" w:sz="8" w:color="DBEEF4"/>
            </w:tcBorders>
            <w:shd w:val="clear" w:color="auto" w:fill="DBEEF4"/>
          </w:tcPr>
          <w:p>
            <w:pPr>
              <w:spacing w:after="0"/>
              <w:rPr>
                <w:sz w:val="9"/>
                <w:szCs w:val="9"/>
                <w:color w:val="auto"/>
              </w:rPr>
            </w:pPr>
          </w:p>
        </w:tc>
        <w:tc>
          <w:tcPr>
            <w:tcW w:w="120" w:type="dxa"/>
            <w:vAlign w:val="bottom"/>
            <w:tcBorders>
              <w:bottom w:val="single" w:sz="8" w:color="DBEEF4"/>
            </w:tcBorders>
            <w:gridSpan w:val="2"/>
            <w:shd w:val="clear" w:color="auto" w:fill="DBEEF4"/>
          </w:tcPr>
          <w:p>
            <w:pPr>
              <w:spacing w:after="0"/>
              <w:rPr>
                <w:sz w:val="9"/>
                <w:szCs w:val="9"/>
                <w:color w:val="auto"/>
              </w:rPr>
            </w:pPr>
          </w:p>
        </w:tc>
        <w:tc>
          <w:tcPr>
            <w:tcW w:w="140" w:type="dxa"/>
            <w:vAlign w:val="bottom"/>
            <w:tcBorders>
              <w:bottom w:val="single" w:sz="8" w:color="auto"/>
            </w:tcBorders>
            <w:shd w:val="clear" w:color="auto" w:fill="DBEEF4"/>
          </w:tcPr>
          <w:p>
            <w:pPr>
              <w:spacing w:after="0"/>
              <w:rPr>
                <w:sz w:val="9"/>
                <w:szCs w:val="9"/>
                <w:color w:val="auto"/>
              </w:rPr>
            </w:pPr>
          </w:p>
        </w:tc>
        <w:tc>
          <w:tcPr>
            <w:tcW w:w="460" w:type="dxa"/>
            <w:vAlign w:val="bottom"/>
            <w:tcBorders>
              <w:bottom w:val="single" w:sz="8" w:color="auto"/>
            </w:tcBorders>
            <w:shd w:val="clear" w:color="auto" w:fill="DBEEF4"/>
          </w:tcPr>
          <w:p>
            <w:pPr>
              <w:spacing w:after="0"/>
              <w:rPr>
                <w:sz w:val="9"/>
                <w:szCs w:val="9"/>
                <w:color w:val="auto"/>
              </w:rPr>
            </w:pPr>
          </w:p>
        </w:tc>
        <w:tc>
          <w:tcPr>
            <w:tcW w:w="160" w:type="dxa"/>
            <w:vAlign w:val="bottom"/>
            <w:tcBorders>
              <w:bottom w:val="single" w:sz="8" w:color="DBEEF4"/>
            </w:tcBorders>
            <w:shd w:val="clear" w:color="auto" w:fill="DBEEF4"/>
          </w:tcPr>
          <w:p>
            <w:pPr>
              <w:spacing w:after="0"/>
              <w:rPr>
                <w:sz w:val="9"/>
                <w:szCs w:val="9"/>
                <w:color w:val="auto"/>
              </w:rPr>
            </w:pPr>
          </w:p>
        </w:tc>
        <w:tc>
          <w:tcPr>
            <w:tcW w:w="80" w:type="dxa"/>
            <w:vAlign w:val="bottom"/>
            <w:tcBorders>
              <w:bottom w:val="single" w:sz="8" w:color="auto"/>
            </w:tcBorders>
            <w:shd w:val="clear" w:color="auto" w:fill="DBEEF4"/>
          </w:tcPr>
          <w:p>
            <w:pPr>
              <w:spacing w:after="0"/>
              <w:rPr>
                <w:sz w:val="9"/>
                <w:szCs w:val="9"/>
                <w:color w:val="auto"/>
              </w:rPr>
            </w:pPr>
          </w:p>
        </w:tc>
        <w:tc>
          <w:tcPr>
            <w:tcW w:w="500" w:type="dxa"/>
            <w:vAlign w:val="bottom"/>
            <w:tcBorders>
              <w:bottom w:val="single" w:sz="8" w:color="auto"/>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48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20" w:type="dxa"/>
            <w:vAlign w:val="bottom"/>
            <w:gridSpan w:val="4"/>
          </w:tcPr>
          <w:p>
            <w:pPr>
              <w:ind w:left="20"/>
              <w:spacing w:after="0" w:line="102" w:lineRule="exact"/>
              <w:rPr>
                <w:sz w:val="20"/>
                <w:szCs w:val="20"/>
                <w:color w:val="auto"/>
              </w:rPr>
            </w:pPr>
            <w:r>
              <w:rPr>
                <w:rFonts w:ascii="Arial" w:cs="Arial" w:eastAsia="Arial" w:hAnsi="Arial"/>
                <w:sz w:val="9"/>
                <w:szCs w:val="9"/>
                <w:b w:val="1"/>
                <w:bCs w:val="1"/>
                <w:color w:val="auto"/>
              </w:rPr>
              <w:t>Total Affiliate Investments</w:t>
            </w:r>
          </w:p>
        </w:tc>
        <w:tc>
          <w:tcPr>
            <w:tcW w:w="1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gridSpan w:val="3"/>
          </w:tcPr>
          <w:p>
            <w:pPr>
              <w:jc w:val="right"/>
              <w:ind w:right="35"/>
              <w:spacing w:after="0" w:line="102"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31,836</w:t>
            </w:r>
          </w:p>
        </w:tc>
        <w:tc>
          <w:tcPr>
            <w:tcW w:w="240" w:type="dxa"/>
            <w:vAlign w:val="bottom"/>
            <w:gridSpan w:val="2"/>
          </w:tcPr>
          <w:p>
            <w:pPr>
              <w:jc w:val="right"/>
              <w:ind w:right="18"/>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81,394</w:t>
            </w:r>
          </w:p>
        </w:tc>
        <w:tc>
          <w:tcPr>
            <w:tcW w:w="720" w:type="dxa"/>
            <w:vAlign w:val="bottom"/>
            <w:gridSpan w:val="3"/>
          </w:tcPr>
          <w:p>
            <w:pPr>
              <w:jc w:val="right"/>
              <w:ind w:right="100"/>
              <w:spacing w:after="0" w:line="102" w:lineRule="exact"/>
              <w:rPr>
                <w:sz w:val="20"/>
                <w:szCs w:val="20"/>
                <w:color w:val="auto"/>
              </w:rPr>
            </w:pPr>
            <w:r>
              <w:rPr>
                <w:rFonts w:ascii="Arial" w:cs="Arial" w:eastAsia="Arial" w:hAnsi="Arial"/>
                <w:sz w:val="9"/>
                <w:szCs w:val="9"/>
                <w:color w:val="auto"/>
              </w:rPr>
              <w:t>20 %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shd w:val="clear" w:color="auto" w:fill="DBEEF4"/>
          </w:tcPr>
          <w:p>
            <w:pPr>
              <w:spacing w:after="0"/>
              <w:rPr>
                <w:sz w:val="7"/>
                <w:szCs w:val="7"/>
                <w:color w:val="auto"/>
              </w:rPr>
            </w:pPr>
          </w:p>
        </w:tc>
        <w:tc>
          <w:tcPr>
            <w:tcW w:w="900" w:type="dxa"/>
            <w:vAlign w:val="bottom"/>
            <w:shd w:val="clear" w:color="auto" w:fill="DBEEF4"/>
          </w:tcPr>
          <w:p>
            <w:pPr>
              <w:spacing w:after="0"/>
              <w:rPr>
                <w:sz w:val="7"/>
                <w:szCs w:val="7"/>
                <w:color w:val="auto"/>
              </w:rPr>
            </w:pPr>
          </w:p>
        </w:tc>
        <w:tc>
          <w:tcPr>
            <w:tcW w:w="560" w:type="dxa"/>
            <w:vAlign w:val="bottom"/>
            <w:shd w:val="clear" w:color="auto" w:fill="DBEEF4"/>
          </w:tcPr>
          <w:p>
            <w:pPr>
              <w:spacing w:after="0"/>
              <w:rPr>
                <w:sz w:val="7"/>
                <w:szCs w:val="7"/>
                <w:color w:val="auto"/>
              </w:rPr>
            </w:pPr>
          </w:p>
        </w:tc>
        <w:tc>
          <w:tcPr>
            <w:tcW w:w="940" w:type="dxa"/>
            <w:vAlign w:val="bottom"/>
            <w:shd w:val="clear" w:color="auto" w:fill="DBEEF4"/>
          </w:tcPr>
          <w:p>
            <w:pPr>
              <w:spacing w:after="0"/>
              <w:rPr>
                <w:sz w:val="7"/>
                <w:szCs w:val="7"/>
                <w:color w:val="auto"/>
              </w:rPr>
            </w:pPr>
          </w:p>
        </w:tc>
        <w:tc>
          <w:tcPr>
            <w:tcW w:w="1880" w:type="dxa"/>
            <w:vAlign w:val="bottom"/>
            <w:shd w:val="clear" w:color="auto" w:fill="DBEEF4"/>
          </w:tcPr>
          <w:p>
            <w:pPr>
              <w:spacing w:after="0"/>
              <w:rPr>
                <w:sz w:val="7"/>
                <w:szCs w:val="7"/>
                <w:color w:val="auto"/>
              </w:rPr>
            </w:pPr>
          </w:p>
        </w:tc>
        <w:tc>
          <w:tcPr>
            <w:tcW w:w="1400" w:type="dxa"/>
            <w:vAlign w:val="bottom"/>
            <w:shd w:val="clear" w:color="auto" w:fill="DBEEF4"/>
          </w:tcPr>
          <w:p>
            <w:pPr>
              <w:spacing w:after="0"/>
              <w:rPr>
                <w:sz w:val="7"/>
                <w:szCs w:val="7"/>
                <w:color w:val="auto"/>
              </w:rPr>
            </w:pPr>
          </w:p>
        </w:tc>
        <w:tc>
          <w:tcPr>
            <w:tcW w:w="940" w:type="dxa"/>
            <w:vAlign w:val="bottom"/>
            <w:shd w:val="clear" w:color="auto" w:fill="DBEEF4"/>
          </w:tcPr>
          <w:p>
            <w:pPr>
              <w:spacing w:after="0"/>
              <w:rPr>
                <w:sz w:val="7"/>
                <w:szCs w:val="7"/>
                <w:color w:val="auto"/>
              </w:rPr>
            </w:pPr>
          </w:p>
        </w:tc>
        <w:tc>
          <w:tcPr>
            <w:tcW w:w="820" w:type="dxa"/>
            <w:vAlign w:val="bottom"/>
            <w:shd w:val="clear" w:color="auto" w:fill="DBEEF4"/>
          </w:tcPr>
          <w:p>
            <w:pPr>
              <w:spacing w:after="0"/>
              <w:rPr>
                <w:sz w:val="7"/>
                <w:szCs w:val="7"/>
                <w:color w:val="auto"/>
              </w:rPr>
            </w:pPr>
          </w:p>
        </w:tc>
        <w:tc>
          <w:tcPr>
            <w:tcW w:w="800" w:type="dxa"/>
            <w:vAlign w:val="bottom"/>
            <w:shd w:val="clear" w:color="auto" w:fill="DBEEF4"/>
          </w:tcPr>
          <w:p>
            <w:pPr>
              <w:spacing w:after="0"/>
              <w:rPr>
                <w:sz w:val="7"/>
                <w:szCs w:val="7"/>
                <w:color w:val="auto"/>
              </w:rPr>
            </w:pPr>
          </w:p>
        </w:tc>
        <w:tc>
          <w:tcPr>
            <w:tcW w:w="260" w:type="dxa"/>
            <w:vAlign w:val="bottom"/>
            <w:shd w:val="clear" w:color="auto" w:fill="DBEEF4"/>
          </w:tcPr>
          <w:p>
            <w:pPr>
              <w:spacing w:after="0"/>
              <w:rPr>
                <w:sz w:val="7"/>
                <w:szCs w:val="7"/>
                <w:color w:val="auto"/>
              </w:rPr>
            </w:pPr>
          </w:p>
        </w:tc>
        <w:tc>
          <w:tcPr>
            <w:tcW w:w="540" w:type="dxa"/>
            <w:vAlign w:val="bottom"/>
            <w:shd w:val="clear" w:color="auto" w:fill="DBEEF4"/>
          </w:tcPr>
          <w:p>
            <w:pPr>
              <w:spacing w:after="0"/>
              <w:rPr>
                <w:sz w:val="7"/>
                <w:szCs w:val="7"/>
                <w:color w:val="auto"/>
              </w:rPr>
            </w:pPr>
          </w:p>
        </w:tc>
        <w:tc>
          <w:tcPr>
            <w:tcW w:w="60" w:type="dxa"/>
            <w:vAlign w:val="bottom"/>
            <w:shd w:val="clear" w:color="auto" w:fill="DBEEF4"/>
          </w:tcPr>
          <w:p>
            <w:pPr>
              <w:spacing w:after="0"/>
              <w:rPr>
                <w:sz w:val="7"/>
                <w:szCs w:val="7"/>
                <w:color w:val="auto"/>
              </w:rPr>
            </w:pPr>
          </w:p>
        </w:tc>
        <w:tc>
          <w:tcPr>
            <w:tcW w:w="60" w:type="dxa"/>
            <w:vAlign w:val="bottom"/>
            <w:shd w:val="clear" w:color="auto" w:fill="DBEEF4"/>
          </w:tcPr>
          <w:p>
            <w:pPr>
              <w:spacing w:after="0"/>
              <w:rPr>
                <w:sz w:val="7"/>
                <w:szCs w:val="7"/>
                <w:color w:val="auto"/>
              </w:rPr>
            </w:pPr>
          </w:p>
        </w:tc>
        <w:tc>
          <w:tcPr>
            <w:tcW w:w="140" w:type="dxa"/>
            <w:vAlign w:val="bottom"/>
            <w:shd w:val="clear" w:color="auto" w:fill="DBEEF4"/>
          </w:tcPr>
          <w:p>
            <w:pPr>
              <w:spacing w:after="0"/>
              <w:rPr>
                <w:sz w:val="7"/>
                <w:szCs w:val="7"/>
                <w:color w:val="auto"/>
              </w:rPr>
            </w:pPr>
          </w:p>
        </w:tc>
        <w:tc>
          <w:tcPr>
            <w:tcW w:w="460" w:type="dxa"/>
            <w:vAlign w:val="bottom"/>
            <w:shd w:val="clear" w:color="auto" w:fill="DBEEF4"/>
          </w:tcPr>
          <w:p>
            <w:pPr>
              <w:spacing w:after="0"/>
              <w:rPr>
                <w:sz w:val="7"/>
                <w:szCs w:val="7"/>
                <w:color w:val="auto"/>
              </w:rPr>
            </w:pPr>
          </w:p>
        </w:tc>
        <w:tc>
          <w:tcPr>
            <w:tcW w:w="160" w:type="dxa"/>
            <w:vAlign w:val="bottom"/>
            <w:shd w:val="clear" w:color="auto" w:fill="DBEEF4"/>
          </w:tcPr>
          <w:p>
            <w:pPr>
              <w:spacing w:after="0"/>
              <w:rPr>
                <w:sz w:val="7"/>
                <w:szCs w:val="7"/>
                <w:color w:val="auto"/>
              </w:rPr>
            </w:pPr>
          </w:p>
        </w:tc>
        <w:tc>
          <w:tcPr>
            <w:tcW w:w="80" w:type="dxa"/>
            <w:vAlign w:val="bottom"/>
            <w:shd w:val="clear" w:color="auto" w:fill="DBEEF4"/>
          </w:tcPr>
          <w:p>
            <w:pPr>
              <w:spacing w:after="0"/>
              <w:rPr>
                <w:sz w:val="7"/>
                <w:szCs w:val="7"/>
                <w:color w:val="auto"/>
              </w:rPr>
            </w:pPr>
          </w:p>
        </w:tc>
        <w:tc>
          <w:tcPr>
            <w:tcW w:w="500" w:type="dxa"/>
            <w:vAlign w:val="bottom"/>
            <w:shd w:val="clear" w:color="auto" w:fill="DBEEF4"/>
          </w:tcPr>
          <w:p>
            <w:pPr>
              <w:spacing w:after="0"/>
              <w:rPr>
                <w:sz w:val="7"/>
                <w:szCs w:val="7"/>
                <w:color w:val="auto"/>
              </w:rPr>
            </w:pPr>
          </w:p>
        </w:tc>
        <w:tc>
          <w:tcPr>
            <w:tcW w:w="60" w:type="dxa"/>
            <w:vAlign w:val="bottom"/>
            <w:shd w:val="clear" w:color="auto" w:fill="DBEEF4"/>
          </w:tcPr>
          <w:p>
            <w:pPr>
              <w:spacing w:after="0"/>
              <w:rPr>
                <w:sz w:val="7"/>
                <w:szCs w:val="7"/>
                <w:color w:val="auto"/>
              </w:rPr>
            </w:pPr>
          </w:p>
        </w:tc>
        <w:tc>
          <w:tcPr>
            <w:tcW w:w="480" w:type="dxa"/>
            <w:vAlign w:val="bottom"/>
            <w:shd w:val="clear" w:color="auto" w:fill="DBEEF4"/>
          </w:tcPr>
          <w:p>
            <w:pPr>
              <w:spacing w:after="0"/>
              <w:rPr>
                <w:sz w:val="7"/>
                <w:szCs w:val="7"/>
                <w:color w:val="auto"/>
              </w:rPr>
            </w:pPr>
          </w:p>
        </w:tc>
        <w:tc>
          <w:tcPr>
            <w:tcW w:w="180" w:type="dxa"/>
            <w:vAlign w:val="bottom"/>
            <w:shd w:val="clear" w:color="auto" w:fill="DBEEF4"/>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w w:val="89"/>
              </w:rPr>
              <w:t>Non-control/Non-affiliate Investments</w:t>
            </w:r>
          </w:p>
        </w:tc>
        <w:tc>
          <w:tcPr>
            <w:tcW w:w="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420" w:type="dxa"/>
            <w:vAlign w:val="bottom"/>
            <w:gridSpan w:val="4"/>
            <w:shd w:val="clear" w:color="auto" w:fill="DBEEF4"/>
          </w:tcPr>
          <w:p>
            <w:pPr>
              <w:ind w:left="20"/>
              <w:spacing w:after="0" w:line="75" w:lineRule="exact"/>
              <w:rPr>
                <w:sz w:val="20"/>
                <w:szCs w:val="20"/>
                <w:color w:val="auto"/>
              </w:rPr>
            </w:pPr>
            <w:r>
              <w:rPr>
                <w:rFonts w:ascii="Arial" w:cs="Arial" w:eastAsia="Arial" w:hAnsi="Arial"/>
                <w:sz w:val="8"/>
                <w:szCs w:val="8"/>
                <w:i w:val="1"/>
                <w:iCs w:val="1"/>
                <w:color w:val="auto"/>
              </w:rPr>
              <w:t>Frontline Food Services, LLC</w:t>
            </w:r>
          </w:p>
        </w:tc>
        <w:tc>
          <w:tcPr>
            <w:tcW w:w="1880" w:type="dxa"/>
            <w:vAlign w:val="bottom"/>
            <w:vMerge w:val="restart"/>
            <w:shd w:val="clear" w:color="auto" w:fill="DBEEF4"/>
          </w:tcPr>
          <w:p>
            <w:pPr>
              <w:ind w:left="180"/>
              <w:spacing w:after="0"/>
              <w:rPr>
                <w:sz w:val="20"/>
                <w:szCs w:val="20"/>
                <w:color w:val="auto"/>
              </w:rPr>
            </w:pPr>
            <w:r>
              <w:rPr>
                <w:rFonts w:ascii="Arial" w:cs="Arial" w:eastAsia="Arial" w:hAnsi="Arial"/>
                <w:sz w:val="9"/>
                <w:szCs w:val="9"/>
                <w:color w:val="auto"/>
              </w:rPr>
              <w:t>Vending Equipment Manufacturing</w:t>
            </w:r>
          </w:p>
        </w:tc>
        <w:tc>
          <w:tcPr>
            <w:tcW w:w="1400" w:type="dxa"/>
            <w:vAlign w:val="bottom"/>
            <w:shd w:val="clear" w:color="auto" w:fill="DBEEF4"/>
          </w:tcPr>
          <w:p>
            <w:pPr>
              <w:spacing w:after="0"/>
              <w:rPr>
                <w:sz w:val="6"/>
                <w:szCs w:val="6"/>
                <w:color w:val="auto"/>
              </w:rPr>
            </w:pPr>
          </w:p>
        </w:tc>
        <w:tc>
          <w:tcPr>
            <w:tcW w:w="940" w:type="dxa"/>
            <w:vAlign w:val="bottom"/>
            <w:shd w:val="clear" w:color="auto" w:fill="DBEEF4"/>
          </w:tcPr>
          <w:p>
            <w:pPr>
              <w:spacing w:after="0"/>
              <w:rPr>
                <w:sz w:val="6"/>
                <w:szCs w:val="6"/>
                <w:color w:val="auto"/>
              </w:rPr>
            </w:pPr>
          </w:p>
        </w:tc>
        <w:tc>
          <w:tcPr>
            <w:tcW w:w="820" w:type="dxa"/>
            <w:vAlign w:val="bottom"/>
            <w:shd w:val="clear" w:color="auto" w:fill="DBEEF4"/>
          </w:tcPr>
          <w:p>
            <w:pPr>
              <w:spacing w:after="0"/>
              <w:rPr>
                <w:sz w:val="6"/>
                <w:szCs w:val="6"/>
                <w:color w:val="auto"/>
              </w:rPr>
            </w:pPr>
          </w:p>
        </w:tc>
        <w:tc>
          <w:tcPr>
            <w:tcW w:w="800" w:type="dxa"/>
            <w:vAlign w:val="bottom"/>
            <w:shd w:val="clear" w:color="auto" w:fill="DBEEF4"/>
          </w:tcPr>
          <w:p>
            <w:pPr>
              <w:spacing w:after="0"/>
              <w:rPr>
                <w:sz w:val="6"/>
                <w:szCs w:val="6"/>
                <w:color w:val="auto"/>
              </w:rPr>
            </w:pPr>
          </w:p>
        </w:tc>
        <w:tc>
          <w:tcPr>
            <w:tcW w:w="260" w:type="dxa"/>
            <w:vAlign w:val="bottom"/>
            <w:shd w:val="clear" w:color="auto" w:fill="DBEEF4"/>
          </w:tcPr>
          <w:p>
            <w:pPr>
              <w:spacing w:after="0"/>
              <w:rPr>
                <w:sz w:val="6"/>
                <w:szCs w:val="6"/>
                <w:color w:val="auto"/>
              </w:rPr>
            </w:pPr>
          </w:p>
        </w:tc>
        <w:tc>
          <w:tcPr>
            <w:tcW w:w="540" w:type="dxa"/>
            <w:vAlign w:val="bottom"/>
            <w:shd w:val="clear" w:color="auto" w:fill="DBEEF4"/>
          </w:tcPr>
          <w:p>
            <w:pPr>
              <w:spacing w:after="0"/>
              <w:rPr>
                <w:sz w:val="6"/>
                <w:szCs w:val="6"/>
                <w:color w:val="auto"/>
              </w:rPr>
            </w:pPr>
          </w:p>
        </w:tc>
        <w:tc>
          <w:tcPr>
            <w:tcW w:w="60" w:type="dxa"/>
            <w:vAlign w:val="bottom"/>
            <w:shd w:val="clear" w:color="auto" w:fill="DBEEF4"/>
          </w:tcPr>
          <w:p>
            <w:pPr>
              <w:spacing w:after="0"/>
              <w:rPr>
                <w:sz w:val="6"/>
                <w:szCs w:val="6"/>
                <w:color w:val="auto"/>
              </w:rPr>
            </w:pPr>
          </w:p>
        </w:tc>
        <w:tc>
          <w:tcPr>
            <w:tcW w:w="60" w:type="dxa"/>
            <w:vAlign w:val="bottom"/>
            <w:shd w:val="clear" w:color="auto" w:fill="DBEEF4"/>
          </w:tcPr>
          <w:p>
            <w:pPr>
              <w:spacing w:after="0"/>
              <w:rPr>
                <w:sz w:val="6"/>
                <w:szCs w:val="6"/>
                <w:color w:val="auto"/>
              </w:rPr>
            </w:pPr>
          </w:p>
        </w:tc>
        <w:tc>
          <w:tcPr>
            <w:tcW w:w="140" w:type="dxa"/>
            <w:vAlign w:val="bottom"/>
            <w:shd w:val="clear" w:color="auto" w:fill="DBEEF4"/>
          </w:tcPr>
          <w:p>
            <w:pPr>
              <w:spacing w:after="0"/>
              <w:rPr>
                <w:sz w:val="6"/>
                <w:szCs w:val="6"/>
                <w:color w:val="auto"/>
              </w:rPr>
            </w:pPr>
          </w:p>
        </w:tc>
        <w:tc>
          <w:tcPr>
            <w:tcW w:w="460" w:type="dxa"/>
            <w:vAlign w:val="bottom"/>
            <w:shd w:val="clear" w:color="auto" w:fill="DBEEF4"/>
          </w:tcPr>
          <w:p>
            <w:pPr>
              <w:spacing w:after="0"/>
              <w:rPr>
                <w:sz w:val="6"/>
                <w:szCs w:val="6"/>
                <w:color w:val="auto"/>
              </w:rPr>
            </w:pPr>
          </w:p>
        </w:tc>
        <w:tc>
          <w:tcPr>
            <w:tcW w:w="160" w:type="dxa"/>
            <w:vAlign w:val="bottom"/>
            <w:shd w:val="clear" w:color="auto" w:fill="DBEEF4"/>
          </w:tcPr>
          <w:p>
            <w:pPr>
              <w:spacing w:after="0"/>
              <w:rPr>
                <w:sz w:val="6"/>
                <w:szCs w:val="6"/>
                <w:color w:val="auto"/>
              </w:rPr>
            </w:pPr>
          </w:p>
        </w:tc>
        <w:tc>
          <w:tcPr>
            <w:tcW w:w="80" w:type="dxa"/>
            <w:vAlign w:val="bottom"/>
            <w:shd w:val="clear" w:color="auto" w:fill="DBEEF4"/>
          </w:tcPr>
          <w:p>
            <w:pPr>
              <w:spacing w:after="0"/>
              <w:rPr>
                <w:sz w:val="6"/>
                <w:szCs w:val="6"/>
                <w:color w:val="auto"/>
              </w:rPr>
            </w:pPr>
          </w:p>
        </w:tc>
        <w:tc>
          <w:tcPr>
            <w:tcW w:w="500" w:type="dxa"/>
            <w:vAlign w:val="bottom"/>
            <w:shd w:val="clear" w:color="auto" w:fill="DBEEF4"/>
          </w:tcPr>
          <w:p>
            <w:pPr>
              <w:spacing w:after="0"/>
              <w:rPr>
                <w:sz w:val="6"/>
                <w:szCs w:val="6"/>
                <w:color w:val="auto"/>
              </w:rPr>
            </w:pPr>
          </w:p>
        </w:tc>
        <w:tc>
          <w:tcPr>
            <w:tcW w:w="60" w:type="dxa"/>
            <w:vAlign w:val="bottom"/>
            <w:shd w:val="clear" w:color="auto" w:fill="DBEEF4"/>
          </w:tcPr>
          <w:p>
            <w:pPr>
              <w:spacing w:after="0"/>
              <w:rPr>
                <w:sz w:val="6"/>
                <w:szCs w:val="6"/>
                <w:color w:val="auto"/>
              </w:rPr>
            </w:pPr>
          </w:p>
        </w:tc>
        <w:tc>
          <w:tcPr>
            <w:tcW w:w="480" w:type="dxa"/>
            <w:vAlign w:val="bottom"/>
            <w:shd w:val="clear" w:color="auto" w:fill="DBEEF4"/>
          </w:tcPr>
          <w:p>
            <w:pPr>
              <w:spacing w:after="0"/>
              <w:rPr>
                <w:sz w:val="6"/>
                <w:szCs w:val="6"/>
                <w:color w:val="auto"/>
              </w:rPr>
            </w:pPr>
          </w:p>
        </w:tc>
        <w:tc>
          <w:tcPr>
            <w:tcW w:w="180" w:type="dxa"/>
            <w:vAlign w:val="bottom"/>
            <w:shd w:val="clear" w:color="auto" w:fill="DBEEF4"/>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420" w:type="dxa"/>
            <w:vAlign w:val="bottom"/>
            <w:gridSpan w:val="4"/>
            <w:shd w:val="clear" w:color="auto" w:fill="DBEEF4"/>
          </w:tcPr>
          <w:p>
            <w:pPr>
              <w:ind w:left="20"/>
              <w:spacing w:after="0"/>
              <w:rPr>
                <w:sz w:val="20"/>
                <w:szCs w:val="20"/>
                <w:color w:val="auto"/>
              </w:rPr>
            </w:pPr>
            <w:r>
              <w:rPr>
                <w:rFonts w:ascii="Arial" w:cs="Arial" w:eastAsia="Arial" w:hAnsi="Arial"/>
                <w:sz w:val="9"/>
                <w:szCs w:val="9"/>
                <w:i w:val="1"/>
                <w:iCs w:val="1"/>
                <w:color w:val="auto"/>
              </w:rPr>
              <w:t>(f/k/a Accent Food Services, LLC)</w:t>
            </w:r>
          </w:p>
        </w:tc>
        <w:tc>
          <w:tcPr>
            <w:tcW w:w="1880" w:type="dxa"/>
            <w:vAlign w:val="bottom"/>
            <w:vMerge w:val="continue"/>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Preferred Equity (Class A Units) (46 units) (j)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12/31/2020</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gridSpan w:val="3"/>
          </w:tcPr>
          <w:p>
            <w:pPr>
              <w:jc w:val="right"/>
              <w:ind w:right="35"/>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2,000</w:t>
            </w:r>
          </w:p>
        </w:tc>
        <w:tc>
          <w:tcPr>
            <w:tcW w:w="240" w:type="dxa"/>
            <w:vAlign w:val="bottom"/>
            <w:gridSpan w:val="2"/>
          </w:tcPr>
          <w:p>
            <w:pPr>
              <w:jc w:val="right"/>
              <w:ind w:right="18"/>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2,000</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Common Equity (Class B Units) (124 units) (j)</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12/31/2020</w:t>
            </w: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Preferred Equity (Class C Units) (100 units) (j)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12/31/2020</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DBEEF4"/>
          </w:tcPr>
          <w:p>
            <w:pPr>
              <w:spacing w:after="0"/>
              <w:rPr>
                <w:sz w:val="8"/>
                <w:szCs w:val="8"/>
                <w:color w:val="auto"/>
              </w:rPr>
            </w:pPr>
          </w:p>
        </w:tc>
        <w:tc>
          <w:tcPr>
            <w:tcW w:w="90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2,000</w:t>
            </w: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2,000</w:t>
            </w:r>
          </w:p>
        </w:tc>
        <w:tc>
          <w:tcPr>
            <w:tcW w:w="720" w:type="dxa"/>
            <w:vAlign w:val="bottom"/>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Allied 100 Group, Inc.</w:t>
            </w:r>
          </w:p>
        </w:tc>
        <w:tc>
          <w:tcPr>
            <w:tcW w:w="1880" w:type="dxa"/>
            <w:vAlign w:val="bottom"/>
          </w:tcPr>
          <w:p>
            <w:pPr>
              <w:ind w:left="180"/>
              <w:spacing w:after="0"/>
              <w:rPr>
                <w:sz w:val="20"/>
                <w:szCs w:val="20"/>
                <w:color w:val="auto"/>
              </w:rPr>
            </w:pPr>
            <w:r>
              <w:rPr>
                <w:rFonts w:ascii="Arial" w:cs="Arial" w:eastAsia="Arial" w:hAnsi="Arial"/>
                <w:sz w:val="9"/>
                <w:szCs w:val="9"/>
                <w:color w:val="auto"/>
              </w:rPr>
              <w:t>Healthcare Products</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Subordinated Debt (k)</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11.25%/0.00%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7/31/2019</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5/26/2023</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21,500</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21,432</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21,500</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(625,000 units) (j)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11/26/2014</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625</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1,087</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shd w:val="clear" w:color="auto" w:fill="DBEEF4"/>
          </w:tcPr>
          <w:p>
            <w:pPr>
              <w:spacing w:after="0"/>
              <w:rPr>
                <w:sz w:val="8"/>
                <w:szCs w:val="8"/>
                <w:color w:val="auto"/>
              </w:rPr>
            </w:pPr>
          </w:p>
        </w:tc>
        <w:tc>
          <w:tcPr>
            <w:tcW w:w="90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22,057</w:t>
            </w: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22,587</w:t>
            </w:r>
          </w:p>
        </w:tc>
        <w:tc>
          <w:tcPr>
            <w:tcW w:w="720" w:type="dxa"/>
            <w:vAlign w:val="bottom"/>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Allredi, LLC (fka Marco Group International OpCo, LLC)</w:t>
            </w:r>
          </w:p>
        </w:tc>
        <w:tc>
          <w:tcPr>
            <w:tcW w:w="1880" w:type="dxa"/>
            <w:vAlign w:val="bottom"/>
          </w:tcPr>
          <w:p>
            <w:pPr>
              <w:ind w:left="180"/>
              <w:spacing w:after="0"/>
              <w:rPr>
                <w:sz w:val="20"/>
                <w:szCs w:val="20"/>
                <w:color w:val="auto"/>
              </w:rPr>
            </w:pPr>
            <w:r>
              <w:rPr>
                <w:rFonts w:ascii="Arial" w:cs="Arial" w:eastAsia="Arial" w:hAnsi="Arial"/>
                <w:sz w:val="9"/>
                <w:szCs w:val="9"/>
                <w:color w:val="auto"/>
              </w:rPr>
              <w:t>Industrial Cleaning &amp; Coatings</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Second Lien Debt</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10.50%/1.75%</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3/2/2020</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9/2/2026</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10,080</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9,993</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7,761</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(570,636 units) (h)(j)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7/21/2017</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637</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275</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shd w:val="clear" w:color="auto" w:fill="DBEEF4"/>
          </w:tcPr>
          <w:p>
            <w:pPr>
              <w:spacing w:after="0"/>
              <w:rPr>
                <w:sz w:val="8"/>
                <w:szCs w:val="8"/>
                <w:color w:val="auto"/>
              </w:rPr>
            </w:pPr>
          </w:p>
        </w:tc>
        <w:tc>
          <w:tcPr>
            <w:tcW w:w="90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10,630</w:t>
            </w: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8,036</w:t>
            </w:r>
          </w:p>
        </w:tc>
        <w:tc>
          <w:tcPr>
            <w:tcW w:w="720" w:type="dxa"/>
            <w:vAlign w:val="bottom"/>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Alzheimer's Research and Treatment Center, LLC</w:t>
            </w:r>
          </w:p>
        </w:tc>
        <w:tc>
          <w:tcPr>
            <w:tcW w:w="1880" w:type="dxa"/>
            <w:vAlign w:val="bottom"/>
          </w:tcPr>
          <w:p>
            <w:pPr>
              <w:ind w:left="180"/>
              <w:spacing w:after="0"/>
              <w:rPr>
                <w:sz w:val="20"/>
                <w:szCs w:val="20"/>
                <w:color w:val="auto"/>
              </w:rPr>
            </w:pPr>
            <w:r>
              <w:rPr>
                <w:rFonts w:ascii="Arial" w:cs="Arial" w:eastAsia="Arial" w:hAnsi="Arial"/>
                <w:sz w:val="9"/>
                <w:szCs w:val="9"/>
                <w:color w:val="auto"/>
              </w:rPr>
              <w:t>Healthcare Services</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First Lien Debt (j)(w)</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ind w:left="360"/>
              <w:spacing w:after="0"/>
              <w:rPr>
                <w:sz w:val="20"/>
                <w:szCs w:val="20"/>
                <w:color w:val="auto"/>
              </w:rPr>
            </w:pPr>
            <w:r>
              <w:rPr>
                <w:rFonts w:ascii="Arial" w:cs="Arial" w:eastAsia="Arial" w:hAnsi="Arial"/>
                <w:sz w:val="9"/>
                <w:szCs w:val="9"/>
                <w:color w:val="auto"/>
              </w:rPr>
              <w:t>(L + 5.75%) / (2.00%)</w:t>
            </w: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7.75%/0.00%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10/23/2018</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10/23/2023</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6,500</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6,471</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6,584</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(500 units) (h)(j)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10/23/2018</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500</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766</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shd w:val="clear" w:color="auto" w:fill="DBEEF4"/>
          </w:tcPr>
          <w:p>
            <w:pPr>
              <w:spacing w:after="0"/>
              <w:rPr>
                <w:sz w:val="8"/>
                <w:szCs w:val="8"/>
                <w:color w:val="auto"/>
              </w:rPr>
            </w:pPr>
          </w:p>
        </w:tc>
        <w:tc>
          <w:tcPr>
            <w:tcW w:w="90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6,971</w:t>
            </w: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7,350</w:t>
            </w:r>
          </w:p>
        </w:tc>
        <w:tc>
          <w:tcPr>
            <w:tcW w:w="720" w:type="dxa"/>
            <w:vAlign w:val="bottom"/>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w w:val="95"/>
              </w:rPr>
              <w:t>American AllWaste LLC (dba WasteWater Transport Services)</w:t>
            </w:r>
          </w:p>
        </w:tc>
        <w:tc>
          <w:tcPr>
            <w:tcW w:w="1880" w:type="dxa"/>
            <w:vAlign w:val="bottom"/>
          </w:tcPr>
          <w:p>
            <w:pPr>
              <w:ind w:left="180"/>
              <w:spacing w:after="0"/>
              <w:rPr>
                <w:sz w:val="20"/>
                <w:szCs w:val="20"/>
                <w:color w:val="auto"/>
              </w:rPr>
            </w:pPr>
            <w:r>
              <w:rPr>
                <w:rFonts w:ascii="Arial" w:cs="Arial" w:eastAsia="Arial" w:hAnsi="Arial"/>
                <w:sz w:val="9"/>
                <w:szCs w:val="9"/>
                <w:color w:val="auto"/>
              </w:rPr>
              <w:t>Environmental Industries</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Second Lien Debt (j)</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ind w:left="360"/>
              <w:spacing w:after="0"/>
              <w:rPr>
                <w:sz w:val="20"/>
                <w:szCs w:val="20"/>
                <w:color w:val="auto"/>
              </w:rPr>
            </w:pPr>
            <w:r>
              <w:rPr>
                <w:rFonts w:ascii="Arial" w:cs="Arial" w:eastAsia="Arial" w:hAnsi="Arial"/>
                <w:sz w:val="9"/>
                <w:szCs w:val="9"/>
                <w:color w:val="auto"/>
              </w:rPr>
              <w:t>(L + 11.00%) / (2.00%)</w:t>
            </w: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13.00%/0.00%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5/31/2018</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11/30/2023</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17,503</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17,434</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17,503</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Preferred Equity (500 units) (h)(j)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5/31/2018</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500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241</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Preferred Equity (207 units) (h)(j)</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8/6/2019</w:t>
            </w: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250</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226</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Preferred Equity (141 units) (h)(j)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11/2/2020</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171</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171</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DBEEF4"/>
          </w:tcPr>
          <w:p>
            <w:pPr>
              <w:spacing w:after="0"/>
              <w:rPr>
                <w:sz w:val="8"/>
                <w:szCs w:val="8"/>
                <w:color w:val="auto"/>
              </w:rPr>
            </w:pPr>
          </w:p>
        </w:tc>
        <w:tc>
          <w:tcPr>
            <w:tcW w:w="90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18,355</w:t>
            </w: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18,141</w:t>
            </w:r>
          </w:p>
        </w:tc>
        <w:tc>
          <w:tcPr>
            <w:tcW w:w="720" w:type="dxa"/>
            <w:vAlign w:val="bottom"/>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Applied Data Corporation</w:t>
            </w:r>
          </w:p>
        </w:tc>
        <w:tc>
          <w:tcPr>
            <w:tcW w:w="1880" w:type="dxa"/>
            <w:vAlign w:val="bottom"/>
          </w:tcPr>
          <w:p>
            <w:pPr>
              <w:ind w:left="180"/>
              <w:spacing w:after="0"/>
              <w:rPr>
                <w:sz w:val="20"/>
                <w:szCs w:val="20"/>
                <w:color w:val="auto"/>
              </w:rPr>
            </w:pPr>
            <w:r>
              <w:rPr>
                <w:rFonts w:ascii="Arial" w:cs="Arial" w:eastAsia="Arial" w:hAnsi="Arial"/>
                <w:sz w:val="9"/>
                <w:szCs w:val="9"/>
                <w:color w:val="auto"/>
              </w:rPr>
              <w:t>Information Technology Services</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First Lien Debt (v)</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ind w:left="360"/>
              <w:spacing w:after="0"/>
              <w:rPr>
                <w:sz w:val="20"/>
                <w:szCs w:val="20"/>
                <w:color w:val="auto"/>
              </w:rPr>
            </w:pPr>
            <w:r>
              <w:rPr>
                <w:rFonts w:ascii="Arial" w:cs="Arial" w:eastAsia="Arial" w:hAnsi="Arial"/>
                <w:sz w:val="9"/>
                <w:szCs w:val="9"/>
                <w:color w:val="auto"/>
              </w:rPr>
              <w:t>(L + 6.25%) / (1.50%)</w:t>
            </w: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7.75%/0.00%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11/6/2020</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11/6/2025</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8,000</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7,949</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7,949</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(22 units)</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11/6/2020</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DBEEF4"/>
            </w:tcBorders>
            <w:shd w:val="clear" w:color="auto" w:fill="DBEEF4"/>
          </w:tcPr>
          <w:p>
            <w:pPr>
              <w:spacing w:after="0"/>
              <w:rPr>
                <w:sz w:val="9"/>
                <w:szCs w:val="9"/>
                <w:color w:val="auto"/>
              </w:rPr>
            </w:pPr>
          </w:p>
        </w:tc>
        <w:tc>
          <w:tcPr>
            <w:tcW w:w="2400" w:type="dxa"/>
            <w:vAlign w:val="bottom"/>
            <w:tcBorders>
              <w:bottom w:val="single" w:sz="8" w:color="DBEEF4"/>
            </w:tcBorders>
            <w:gridSpan w:val="3"/>
            <w:shd w:val="clear" w:color="auto" w:fill="DBEEF4"/>
          </w:tcPr>
          <w:p>
            <w:pPr>
              <w:ind w:left="100"/>
              <w:spacing w:after="0"/>
              <w:rPr>
                <w:sz w:val="20"/>
                <w:szCs w:val="20"/>
                <w:color w:val="auto"/>
              </w:rPr>
            </w:pPr>
            <w:r>
              <w:rPr>
                <w:rFonts w:ascii="Arial" w:cs="Arial" w:eastAsia="Arial" w:hAnsi="Arial"/>
                <w:sz w:val="9"/>
                <w:szCs w:val="9"/>
                <w:color w:val="auto"/>
              </w:rPr>
              <w:t>Preferred Equity (1,070,614 units)</w:t>
            </w:r>
          </w:p>
        </w:tc>
        <w:tc>
          <w:tcPr>
            <w:tcW w:w="1880" w:type="dxa"/>
            <w:vAlign w:val="bottom"/>
            <w:tcBorders>
              <w:bottom w:val="single" w:sz="8" w:color="DBEEF4"/>
            </w:tcBorders>
            <w:shd w:val="clear" w:color="auto" w:fill="DBEEF4"/>
          </w:tcPr>
          <w:p>
            <w:pPr>
              <w:spacing w:after="0"/>
              <w:rPr>
                <w:sz w:val="9"/>
                <w:szCs w:val="9"/>
                <w:color w:val="auto"/>
              </w:rPr>
            </w:pPr>
          </w:p>
        </w:tc>
        <w:tc>
          <w:tcPr>
            <w:tcW w:w="140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11/6/2020</w:t>
            </w:r>
          </w:p>
        </w:tc>
        <w:tc>
          <w:tcPr>
            <w:tcW w:w="800" w:type="dxa"/>
            <w:vAlign w:val="bottom"/>
            <w:tcBorders>
              <w:bottom w:val="single" w:sz="8" w:color="DBEEF4"/>
            </w:tcBorders>
            <w:shd w:val="clear" w:color="auto" w:fill="DBEEF4"/>
          </w:tcPr>
          <w:p>
            <w:pPr>
              <w:spacing w:after="0"/>
              <w:rPr>
                <w:sz w:val="9"/>
                <w:szCs w:val="9"/>
                <w:color w:val="auto"/>
              </w:rPr>
            </w:pPr>
          </w:p>
        </w:tc>
        <w:tc>
          <w:tcPr>
            <w:tcW w:w="260" w:type="dxa"/>
            <w:vAlign w:val="bottom"/>
            <w:tcBorders>
              <w:bottom w:val="single" w:sz="8" w:color="DBEEF4"/>
            </w:tcBorders>
            <w:shd w:val="clear" w:color="auto" w:fill="DBEEF4"/>
          </w:tcPr>
          <w:p>
            <w:pPr>
              <w:spacing w:after="0"/>
              <w:rPr>
                <w:sz w:val="9"/>
                <w:szCs w:val="9"/>
                <w:color w:val="auto"/>
              </w:rPr>
            </w:pPr>
          </w:p>
        </w:tc>
        <w:tc>
          <w:tcPr>
            <w:tcW w:w="54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140" w:type="dxa"/>
            <w:vAlign w:val="bottom"/>
            <w:tcBorders>
              <w:bottom w:val="single" w:sz="8" w:color="auto"/>
            </w:tcBorders>
            <w:shd w:val="clear" w:color="auto" w:fill="DBEEF4"/>
          </w:tcPr>
          <w:p>
            <w:pPr>
              <w:spacing w:after="0"/>
              <w:rPr>
                <w:sz w:val="9"/>
                <w:szCs w:val="9"/>
                <w:color w:val="auto"/>
              </w:rPr>
            </w:pPr>
          </w:p>
        </w:tc>
        <w:tc>
          <w:tcPr>
            <w:tcW w:w="4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1,071</w:t>
            </w:r>
          </w:p>
        </w:tc>
        <w:tc>
          <w:tcPr>
            <w:tcW w:w="160" w:type="dxa"/>
            <w:vAlign w:val="bottom"/>
            <w:tcBorders>
              <w:bottom w:val="single" w:sz="8" w:color="DBEEF4"/>
            </w:tcBorders>
            <w:shd w:val="clear" w:color="auto" w:fill="DBEEF4"/>
          </w:tcPr>
          <w:p>
            <w:pPr>
              <w:spacing w:after="0"/>
              <w:rPr>
                <w:sz w:val="9"/>
                <w:szCs w:val="9"/>
                <w:color w:val="auto"/>
              </w:rPr>
            </w:pPr>
          </w:p>
        </w:tc>
        <w:tc>
          <w:tcPr>
            <w:tcW w:w="80" w:type="dxa"/>
            <w:vAlign w:val="bottom"/>
            <w:tcBorders>
              <w:bottom w:val="single" w:sz="8" w:color="auto"/>
            </w:tcBorders>
            <w:shd w:val="clear" w:color="auto" w:fill="DBEEF4"/>
          </w:tcPr>
          <w:p>
            <w:pPr>
              <w:spacing w:after="0"/>
              <w:rPr>
                <w:sz w:val="9"/>
                <w:szCs w:val="9"/>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1,071</w:t>
            </w:r>
          </w:p>
        </w:tc>
        <w:tc>
          <w:tcPr>
            <w:tcW w:w="60" w:type="dxa"/>
            <w:vAlign w:val="bottom"/>
            <w:tcBorders>
              <w:bottom w:val="single" w:sz="8" w:color="DBEEF4"/>
            </w:tcBorders>
            <w:shd w:val="clear" w:color="auto" w:fill="DBEEF4"/>
          </w:tcPr>
          <w:p>
            <w:pPr>
              <w:spacing w:after="0"/>
              <w:rPr>
                <w:sz w:val="9"/>
                <w:szCs w:val="9"/>
                <w:color w:val="auto"/>
              </w:rPr>
            </w:pPr>
          </w:p>
        </w:tc>
        <w:tc>
          <w:tcPr>
            <w:tcW w:w="48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9,020</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9,020</w:t>
            </w:r>
          </w:p>
        </w:tc>
        <w:tc>
          <w:tcPr>
            <w:tcW w:w="720" w:type="dxa"/>
            <w:vAlign w:val="bottom"/>
            <w:gridSpan w:val="3"/>
          </w:tcPr>
          <w:p>
            <w:pPr>
              <w:jc w:val="right"/>
              <w:ind w:right="100"/>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420" w:type="dxa"/>
            <w:vAlign w:val="bottom"/>
            <w:gridSpan w:val="4"/>
            <w:shd w:val="clear" w:color="auto" w:fill="DBEEF4"/>
          </w:tcPr>
          <w:p>
            <w:pPr>
              <w:ind w:left="20"/>
              <w:spacing w:after="0"/>
              <w:rPr>
                <w:sz w:val="20"/>
                <w:szCs w:val="20"/>
                <w:color w:val="auto"/>
              </w:rPr>
            </w:pPr>
            <w:r>
              <w:rPr>
                <w:rFonts w:ascii="Arial" w:cs="Arial" w:eastAsia="Arial" w:hAnsi="Arial"/>
                <w:sz w:val="9"/>
                <w:szCs w:val="9"/>
                <w:i w:val="1"/>
                <w:iCs w:val="1"/>
                <w:color w:val="auto"/>
              </w:rPr>
              <w:t>Argo Turboserve Corporation</w:t>
            </w:r>
          </w:p>
        </w:tc>
        <w:tc>
          <w:tcPr>
            <w:tcW w:w="1880" w:type="dxa"/>
            <w:vAlign w:val="bottom"/>
            <w:shd w:val="clear" w:color="auto" w:fill="DBEEF4"/>
          </w:tcPr>
          <w:p>
            <w:pPr>
              <w:ind w:left="180"/>
              <w:spacing w:after="0"/>
              <w:rPr>
                <w:sz w:val="20"/>
                <w:szCs w:val="20"/>
                <w:color w:val="auto"/>
              </w:rPr>
            </w:pPr>
            <w:r>
              <w:rPr>
                <w:rFonts w:ascii="Arial" w:cs="Arial" w:eastAsia="Arial" w:hAnsi="Arial"/>
                <w:sz w:val="9"/>
                <w:szCs w:val="9"/>
                <w:color w:val="auto"/>
              </w:rPr>
              <w:t>Business Services</w:t>
            </w: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Second Lien Debt (j)</w:t>
            </w:r>
          </w:p>
        </w:tc>
        <w:tc>
          <w:tcPr>
            <w:tcW w:w="1880" w:type="dxa"/>
            <w:vAlign w:val="bottom"/>
          </w:tcPr>
          <w:p>
            <w:pPr>
              <w:spacing w:after="0"/>
              <w:rPr>
                <w:sz w:val="9"/>
                <w:szCs w:val="9"/>
                <w:color w:val="auto"/>
              </w:rPr>
            </w:pPr>
          </w:p>
        </w:tc>
        <w:tc>
          <w:tcPr>
            <w:tcW w:w="1400" w:type="dxa"/>
            <w:vAlign w:val="bottom"/>
          </w:tcPr>
          <w:p>
            <w:pPr>
              <w:ind w:left="360"/>
              <w:spacing w:after="0"/>
              <w:rPr>
                <w:sz w:val="20"/>
                <w:szCs w:val="20"/>
                <w:color w:val="auto"/>
              </w:rPr>
            </w:pPr>
            <w:r>
              <w:rPr>
                <w:rFonts w:ascii="Arial" w:cs="Arial" w:eastAsia="Arial" w:hAnsi="Arial"/>
                <w:sz w:val="9"/>
                <w:szCs w:val="9"/>
                <w:color w:val="auto"/>
              </w:rPr>
              <w:t>(L + 10.75%) / (2.00%)</w:t>
            </w:r>
          </w:p>
        </w:tc>
        <w:tc>
          <w:tcPr>
            <w:tcW w:w="940" w:type="dxa"/>
            <w:vAlign w:val="bottom"/>
          </w:tcPr>
          <w:p>
            <w:pPr>
              <w:ind w:left="200"/>
              <w:spacing w:after="0"/>
              <w:rPr>
                <w:sz w:val="20"/>
                <w:szCs w:val="20"/>
                <w:color w:val="auto"/>
              </w:rPr>
            </w:pPr>
            <w:r>
              <w:rPr>
                <w:rFonts w:ascii="Arial" w:cs="Arial" w:eastAsia="Arial" w:hAnsi="Arial"/>
                <w:sz w:val="9"/>
                <w:szCs w:val="9"/>
                <w:color w:val="auto"/>
              </w:rPr>
              <w:t>12.75%/0.00%</w:t>
            </w:r>
          </w:p>
        </w:tc>
        <w:tc>
          <w:tcPr>
            <w:tcW w:w="820" w:type="dxa"/>
            <w:vAlign w:val="bottom"/>
          </w:tcPr>
          <w:p>
            <w:pPr>
              <w:ind w:left="220"/>
              <w:spacing w:after="0"/>
              <w:rPr>
                <w:sz w:val="20"/>
                <w:szCs w:val="20"/>
                <w:color w:val="auto"/>
              </w:rPr>
            </w:pPr>
            <w:r>
              <w:rPr>
                <w:rFonts w:ascii="Arial" w:cs="Arial" w:eastAsia="Arial" w:hAnsi="Arial"/>
                <w:sz w:val="9"/>
                <w:szCs w:val="9"/>
                <w:color w:val="auto"/>
              </w:rPr>
              <w:t>12/26/2018</w:t>
            </w:r>
          </w:p>
        </w:tc>
        <w:tc>
          <w:tcPr>
            <w:tcW w:w="800" w:type="dxa"/>
            <w:vAlign w:val="bottom"/>
          </w:tcPr>
          <w:p>
            <w:pPr>
              <w:ind w:left="180"/>
              <w:spacing w:after="0"/>
              <w:rPr>
                <w:sz w:val="20"/>
                <w:szCs w:val="20"/>
                <w:color w:val="auto"/>
              </w:rPr>
            </w:pPr>
            <w:r>
              <w:rPr>
                <w:rFonts w:ascii="Arial" w:cs="Arial" w:eastAsia="Arial" w:hAnsi="Arial"/>
                <w:sz w:val="9"/>
                <w:szCs w:val="9"/>
                <w:color w:val="auto"/>
              </w:rPr>
              <w:t>6/28/2023</w:t>
            </w:r>
          </w:p>
        </w:tc>
        <w:tc>
          <w:tcPr>
            <w:tcW w:w="2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13,031</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12,990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13,031</w:t>
            </w:r>
          </w:p>
        </w:tc>
        <w:tc>
          <w:tcPr>
            <w:tcW w:w="720" w:type="dxa"/>
            <w:vAlign w:val="bottom"/>
            <w:gridSpan w:val="3"/>
          </w:tcPr>
          <w:p>
            <w:pPr>
              <w:jc w:val="right"/>
              <w:ind w:right="100"/>
              <w:spacing w:after="0"/>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900" w:type="dxa"/>
            <w:vAlign w:val="bottom"/>
            <w:shd w:val="clear" w:color="auto" w:fill="DBEEF4"/>
          </w:tcPr>
          <w:p>
            <w:pPr>
              <w:spacing w:after="0"/>
              <w:rPr>
                <w:sz w:val="9"/>
                <w:szCs w:val="9"/>
                <w:color w:val="auto"/>
              </w:rPr>
            </w:pPr>
          </w:p>
        </w:tc>
        <w:tc>
          <w:tcPr>
            <w:tcW w:w="5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AVC Investors, LLC (dba Auveco)</w:t>
            </w:r>
          </w:p>
        </w:tc>
        <w:tc>
          <w:tcPr>
            <w:tcW w:w="1880" w:type="dxa"/>
            <w:vAlign w:val="bottom"/>
          </w:tcPr>
          <w:p>
            <w:pPr>
              <w:ind w:left="180"/>
              <w:spacing w:after="0"/>
              <w:rPr>
                <w:sz w:val="20"/>
                <w:szCs w:val="20"/>
                <w:color w:val="auto"/>
              </w:rPr>
            </w:pPr>
            <w:r>
              <w:rPr>
                <w:rFonts w:ascii="Arial" w:cs="Arial" w:eastAsia="Arial" w:hAnsi="Arial"/>
                <w:sz w:val="9"/>
                <w:szCs w:val="9"/>
                <w:color w:val="auto"/>
              </w:rPr>
              <w:t>Specialty Distribution</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Second Lien Debt (k)</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11.50%/0.00%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1/3/2018</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7/3/2023</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22,500</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22,448</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22,500</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(5,000 units) (j)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1/3/2018</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487</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464</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DBEEF4"/>
          </w:tcPr>
          <w:p>
            <w:pPr>
              <w:spacing w:after="0"/>
              <w:rPr>
                <w:sz w:val="8"/>
                <w:szCs w:val="8"/>
                <w:color w:val="auto"/>
              </w:rPr>
            </w:pPr>
          </w:p>
        </w:tc>
        <w:tc>
          <w:tcPr>
            <w:tcW w:w="90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22,935</w:t>
            </w: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22,964</w:t>
            </w:r>
          </w:p>
        </w:tc>
        <w:tc>
          <w:tcPr>
            <w:tcW w:w="720" w:type="dxa"/>
            <w:vAlign w:val="bottom"/>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6 %</w:t>
            </w: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B&amp;B Roadway and Security Solutions, LLC</w:t>
            </w:r>
          </w:p>
        </w:tc>
        <w:tc>
          <w:tcPr>
            <w:tcW w:w="1880" w:type="dxa"/>
            <w:vAlign w:val="bottom"/>
          </w:tcPr>
          <w:p>
            <w:pPr>
              <w:ind w:left="180"/>
              <w:spacing w:after="0"/>
              <w:rPr>
                <w:sz w:val="20"/>
                <w:szCs w:val="20"/>
                <w:color w:val="auto"/>
              </w:rPr>
            </w:pPr>
            <w:r>
              <w:rPr>
                <w:rFonts w:ascii="Arial" w:cs="Arial" w:eastAsia="Arial" w:hAnsi="Arial"/>
                <w:sz w:val="9"/>
                <w:szCs w:val="9"/>
                <w:color w:val="auto"/>
              </w:rPr>
              <w:t>Component Manufacturing</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Second Lien Debt</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11.25%/4.00%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2/27/2018</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1/1/2022</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10,910</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10,890</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10,782</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(50,000 units) (h)(j)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2/27/2018</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497</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DBEEF4"/>
          </w:tcPr>
          <w:p>
            <w:pPr>
              <w:spacing w:after="0"/>
              <w:rPr>
                <w:sz w:val="8"/>
                <w:szCs w:val="8"/>
                <w:color w:val="auto"/>
              </w:rPr>
            </w:pPr>
          </w:p>
        </w:tc>
        <w:tc>
          <w:tcPr>
            <w:tcW w:w="90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11,387</w:t>
            </w: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10,782</w:t>
            </w:r>
          </w:p>
        </w:tc>
        <w:tc>
          <w:tcPr>
            <w:tcW w:w="720" w:type="dxa"/>
            <w:vAlign w:val="bottom"/>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Bandon Fitness (Texas), Inc.</w:t>
            </w:r>
          </w:p>
        </w:tc>
        <w:tc>
          <w:tcPr>
            <w:tcW w:w="1880" w:type="dxa"/>
            <w:vAlign w:val="bottom"/>
          </w:tcPr>
          <w:p>
            <w:pPr>
              <w:ind w:left="180"/>
              <w:spacing w:after="0"/>
              <w:rPr>
                <w:sz w:val="20"/>
                <w:szCs w:val="20"/>
                <w:color w:val="auto"/>
              </w:rPr>
            </w:pPr>
            <w:r>
              <w:rPr>
                <w:rFonts w:ascii="Arial" w:cs="Arial" w:eastAsia="Arial" w:hAnsi="Arial"/>
                <w:sz w:val="9"/>
                <w:szCs w:val="9"/>
                <w:color w:val="auto"/>
              </w:rPr>
              <w:t>Retail</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First Lien Debt (j)(z)</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ind w:left="360"/>
              <w:spacing w:after="0"/>
              <w:rPr>
                <w:sz w:val="20"/>
                <w:szCs w:val="20"/>
                <w:color w:val="auto"/>
              </w:rPr>
            </w:pPr>
            <w:r>
              <w:rPr>
                <w:rFonts w:ascii="Arial" w:cs="Arial" w:eastAsia="Arial" w:hAnsi="Arial"/>
                <w:sz w:val="9"/>
                <w:szCs w:val="9"/>
                <w:color w:val="auto"/>
              </w:rPr>
              <w:t>(L + 6.50%) / (2.25%)</w:t>
            </w: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8.75%/0.25%</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8/9/2019</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8/9/2024</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14,680</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14,289</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15,591</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(545,810 units) (j)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8/9/2019</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931</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554</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DBEEF4"/>
          </w:tcPr>
          <w:p>
            <w:pPr>
              <w:spacing w:after="0"/>
              <w:rPr>
                <w:sz w:val="8"/>
                <w:szCs w:val="8"/>
                <w:color w:val="auto"/>
              </w:rPr>
            </w:pPr>
          </w:p>
        </w:tc>
        <w:tc>
          <w:tcPr>
            <w:tcW w:w="90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1880" w:type="dxa"/>
            <w:vAlign w:val="bottom"/>
            <w:shd w:val="clear" w:color="auto" w:fill="DBEEF4"/>
          </w:tcPr>
          <w:p>
            <w:pPr>
              <w:spacing w:after="0"/>
              <w:rPr>
                <w:sz w:val="8"/>
                <w:szCs w:val="8"/>
                <w:color w:val="auto"/>
              </w:rPr>
            </w:pPr>
          </w:p>
        </w:tc>
        <w:tc>
          <w:tcPr>
            <w:tcW w:w="140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800" w:type="dxa"/>
            <w:vAlign w:val="bottom"/>
            <w:shd w:val="clear" w:color="auto" w:fill="DBEEF4"/>
          </w:tcPr>
          <w:p>
            <w:pPr>
              <w:spacing w:after="0"/>
              <w:rPr>
                <w:sz w:val="8"/>
                <w:szCs w:val="8"/>
                <w:color w:val="auto"/>
              </w:rPr>
            </w:pPr>
          </w:p>
        </w:tc>
        <w:tc>
          <w:tcPr>
            <w:tcW w:w="260" w:type="dxa"/>
            <w:vAlign w:val="bottom"/>
            <w:shd w:val="clear" w:color="auto" w:fill="DBEEF4"/>
          </w:tcPr>
          <w:p>
            <w:pPr>
              <w:spacing w:after="0"/>
              <w:rPr>
                <w:sz w:val="8"/>
                <w:szCs w:val="8"/>
                <w:color w:val="auto"/>
              </w:rPr>
            </w:pPr>
          </w:p>
        </w:tc>
        <w:tc>
          <w:tcPr>
            <w:tcW w:w="54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6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15,220</w:t>
            </w:r>
          </w:p>
        </w:tc>
        <w:tc>
          <w:tcPr>
            <w:tcW w:w="160" w:type="dxa"/>
            <w:vAlign w:val="bottom"/>
            <w:shd w:val="clear" w:color="auto" w:fill="DBEEF4"/>
          </w:tcPr>
          <w:p>
            <w:pPr>
              <w:spacing w:after="0"/>
              <w:rPr>
                <w:sz w:val="8"/>
                <w:szCs w:val="8"/>
                <w:color w:val="auto"/>
              </w:rPr>
            </w:pPr>
          </w:p>
        </w:tc>
        <w:tc>
          <w:tcPr>
            <w:tcW w:w="80" w:type="dxa"/>
            <w:vAlign w:val="bottom"/>
            <w:shd w:val="clear" w:color="auto" w:fill="DBEEF4"/>
          </w:tcPr>
          <w:p>
            <w:pPr>
              <w:spacing w:after="0"/>
              <w:rPr>
                <w:sz w:val="8"/>
                <w:szCs w:val="8"/>
                <w:color w:val="auto"/>
              </w:rPr>
            </w:pPr>
          </w:p>
        </w:tc>
        <w:tc>
          <w:tcPr>
            <w:tcW w:w="50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16,145</w:t>
            </w:r>
          </w:p>
        </w:tc>
        <w:tc>
          <w:tcPr>
            <w:tcW w:w="720" w:type="dxa"/>
            <w:vAlign w:val="bottom"/>
            <w:gridSpan w:val="3"/>
            <w:shd w:val="clear" w:color="auto" w:fill="DBEEF4"/>
          </w:tcPr>
          <w:p>
            <w:pPr>
              <w:jc w:val="right"/>
              <w:ind w:right="100"/>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420" w:type="dxa"/>
            <w:vAlign w:val="bottom"/>
            <w:gridSpan w:val="4"/>
          </w:tcPr>
          <w:p>
            <w:pPr>
              <w:ind w:left="20"/>
              <w:spacing w:after="0"/>
              <w:rPr>
                <w:sz w:val="20"/>
                <w:szCs w:val="20"/>
                <w:color w:val="auto"/>
              </w:rPr>
            </w:pPr>
            <w:r>
              <w:rPr>
                <w:rFonts w:ascii="Arial" w:cs="Arial" w:eastAsia="Arial" w:hAnsi="Arial"/>
                <w:sz w:val="9"/>
                <w:szCs w:val="9"/>
                <w:i w:val="1"/>
                <w:iCs w:val="1"/>
                <w:color w:val="auto"/>
              </w:rPr>
              <w:t>BCM One Group Holdings, Inc.</w:t>
            </w:r>
          </w:p>
        </w:tc>
        <w:tc>
          <w:tcPr>
            <w:tcW w:w="1880" w:type="dxa"/>
            <w:vAlign w:val="bottom"/>
          </w:tcPr>
          <w:p>
            <w:pPr>
              <w:ind w:left="180"/>
              <w:spacing w:after="0"/>
              <w:rPr>
                <w:sz w:val="20"/>
                <w:szCs w:val="20"/>
                <w:color w:val="auto"/>
              </w:rPr>
            </w:pPr>
            <w:r>
              <w:rPr>
                <w:rFonts w:ascii="Arial" w:cs="Arial" w:eastAsia="Arial" w:hAnsi="Arial"/>
                <w:sz w:val="9"/>
                <w:szCs w:val="9"/>
                <w:color w:val="auto"/>
              </w:rPr>
              <w:t>Information Technology Services</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BEEF4"/>
          </w:tcPr>
          <w:p>
            <w:pPr>
              <w:spacing w:after="0"/>
              <w:rPr>
                <w:sz w:val="9"/>
                <w:szCs w:val="9"/>
                <w:color w:val="auto"/>
              </w:rPr>
            </w:pPr>
          </w:p>
        </w:tc>
        <w:tc>
          <w:tcPr>
            <w:tcW w:w="2400" w:type="dxa"/>
            <w:vAlign w:val="bottom"/>
            <w:gridSpan w:val="3"/>
            <w:shd w:val="clear" w:color="auto" w:fill="DBEEF4"/>
          </w:tcPr>
          <w:p>
            <w:pPr>
              <w:ind w:left="100"/>
              <w:spacing w:after="0"/>
              <w:rPr>
                <w:sz w:val="20"/>
                <w:szCs w:val="20"/>
                <w:color w:val="auto"/>
              </w:rPr>
            </w:pPr>
            <w:r>
              <w:rPr>
                <w:rFonts w:ascii="Arial" w:cs="Arial" w:eastAsia="Arial" w:hAnsi="Arial"/>
                <w:sz w:val="9"/>
                <w:szCs w:val="9"/>
                <w:color w:val="auto"/>
              </w:rPr>
              <w:t>Subordinated Debt (k)</w:t>
            </w:r>
          </w:p>
        </w:tc>
        <w:tc>
          <w:tcPr>
            <w:tcW w:w="1880" w:type="dxa"/>
            <w:vAlign w:val="bottom"/>
            <w:shd w:val="clear" w:color="auto" w:fill="DBEEF4"/>
          </w:tcPr>
          <w:p>
            <w:pPr>
              <w:spacing w:after="0"/>
              <w:rPr>
                <w:sz w:val="9"/>
                <w:szCs w:val="9"/>
                <w:color w:val="auto"/>
              </w:rPr>
            </w:pP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11.00%/0.00%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1/3/2019</w:t>
            </w:r>
          </w:p>
        </w:tc>
        <w:tc>
          <w:tcPr>
            <w:tcW w:w="800" w:type="dxa"/>
            <w:vAlign w:val="bottom"/>
            <w:shd w:val="clear" w:color="auto" w:fill="DBEEF4"/>
          </w:tcPr>
          <w:p>
            <w:pPr>
              <w:ind w:left="180"/>
              <w:spacing w:after="0"/>
              <w:rPr>
                <w:sz w:val="20"/>
                <w:szCs w:val="20"/>
                <w:color w:val="auto"/>
              </w:rPr>
            </w:pPr>
            <w:r>
              <w:rPr>
                <w:rFonts w:ascii="Arial" w:cs="Arial" w:eastAsia="Arial" w:hAnsi="Arial"/>
                <w:sz w:val="9"/>
                <w:szCs w:val="9"/>
                <w:color w:val="auto"/>
              </w:rPr>
              <w:t>7/3/2024</w:t>
            </w: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jc w:val="right"/>
              <w:spacing w:after="0"/>
              <w:rPr>
                <w:sz w:val="20"/>
                <w:szCs w:val="20"/>
                <w:color w:val="auto"/>
              </w:rPr>
            </w:pPr>
            <w:r>
              <w:rPr>
                <w:rFonts w:ascii="Arial" w:cs="Arial" w:eastAsia="Arial" w:hAnsi="Arial"/>
                <w:sz w:val="9"/>
                <w:szCs w:val="9"/>
                <w:color w:val="auto"/>
              </w:rPr>
              <w:t>30,000</w:t>
            </w: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9"/>
                <w:szCs w:val="9"/>
                <w:color w:val="auto"/>
              </w:rPr>
              <w:t>29,887</w:t>
            </w: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jc w:val="right"/>
              <w:spacing w:after="0"/>
              <w:rPr>
                <w:sz w:val="20"/>
                <w:szCs w:val="20"/>
                <w:color w:val="auto"/>
              </w:rPr>
            </w:pPr>
            <w:r>
              <w:rPr>
                <w:rFonts w:ascii="Arial" w:cs="Arial" w:eastAsia="Arial" w:hAnsi="Arial"/>
                <w:sz w:val="9"/>
                <w:szCs w:val="9"/>
                <w:color w:val="auto"/>
              </w:rPr>
              <w:t>30,000</w:t>
            </w: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(1,281 shares)</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1/3/2019</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48</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458</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DBEEF4"/>
            </w:tcBorders>
            <w:shd w:val="clear" w:color="auto" w:fill="DBEEF4"/>
          </w:tcPr>
          <w:p>
            <w:pPr>
              <w:spacing w:after="0"/>
              <w:rPr>
                <w:sz w:val="9"/>
                <w:szCs w:val="9"/>
                <w:color w:val="auto"/>
              </w:rPr>
            </w:pPr>
          </w:p>
        </w:tc>
        <w:tc>
          <w:tcPr>
            <w:tcW w:w="2400" w:type="dxa"/>
            <w:vAlign w:val="bottom"/>
            <w:tcBorders>
              <w:bottom w:val="single" w:sz="8" w:color="DBEEF4"/>
            </w:tcBorders>
            <w:gridSpan w:val="3"/>
            <w:shd w:val="clear" w:color="auto" w:fill="DBEEF4"/>
          </w:tcPr>
          <w:p>
            <w:pPr>
              <w:ind w:left="100"/>
              <w:spacing w:after="0"/>
              <w:rPr>
                <w:sz w:val="20"/>
                <w:szCs w:val="20"/>
                <w:color w:val="auto"/>
              </w:rPr>
            </w:pPr>
            <w:r>
              <w:rPr>
                <w:rFonts w:ascii="Arial" w:cs="Arial" w:eastAsia="Arial" w:hAnsi="Arial"/>
                <w:sz w:val="9"/>
                <w:szCs w:val="9"/>
                <w:color w:val="auto"/>
              </w:rPr>
              <w:t>Preferred Equity (74 shares)</w:t>
            </w:r>
          </w:p>
        </w:tc>
        <w:tc>
          <w:tcPr>
            <w:tcW w:w="1880" w:type="dxa"/>
            <w:vAlign w:val="bottom"/>
            <w:tcBorders>
              <w:bottom w:val="single" w:sz="8" w:color="DBEEF4"/>
            </w:tcBorders>
            <w:shd w:val="clear" w:color="auto" w:fill="DBEEF4"/>
          </w:tcPr>
          <w:p>
            <w:pPr>
              <w:spacing w:after="0"/>
              <w:rPr>
                <w:sz w:val="9"/>
                <w:szCs w:val="9"/>
                <w:color w:val="auto"/>
              </w:rPr>
            </w:pPr>
          </w:p>
        </w:tc>
        <w:tc>
          <w:tcPr>
            <w:tcW w:w="140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1/3/2019</w:t>
            </w:r>
          </w:p>
        </w:tc>
        <w:tc>
          <w:tcPr>
            <w:tcW w:w="800" w:type="dxa"/>
            <w:vAlign w:val="bottom"/>
            <w:tcBorders>
              <w:bottom w:val="single" w:sz="8" w:color="DBEEF4"/>
            </w:tcBorders>
            <w:shd w:val="clear" w:color="auto" w:fill="DBEEF4"/>
          </w:tcPr>
          <w:p>
            <w:pPr>
              <w:spacing w:after="0"/>
              <w:rPr>
                <w:sz w:val="9"/>
                <w:szCs w:val="9"/>
                <w:color w:val="auto"/>
              </w:rPr>
            </w:pPr>
          </w:p>
        </w:tc>
        <w:tc>
          <w:tcPr>
            <w:tcW w:w="260" w:type="dxa"/>
            <w:vAlign w:val="bottom"/>
            <w:tcBorders>
              <w:bottom w:val="single" w:sz="8" w:color="DBEEF4"/>
            </w:tcBorders>
            <w:shd w:val="clear" w:color="auto" w:fill="DBEEF4"/>
          </w:tcPr>
          <w:p>
            <w:pPr>
              <w:spacing w:after="0"/>
              <w:rPr>
                <w:sz w:val="9"/>
                <w:szCs w:val="9"/>
                <w:color w:val="auto"/>
              </w:rPr>
            </w:pPr>
          </w:p>
        </w:tc>
        <w:tc>
          <w:tcPr>
            <w:tcW w:w="54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140" w:type="dxa"/>
            <w:vAlign w:val="bottom"/>
            <w:tcBorders>
              <w:bottom w:val="single" w:sz="8" w:color="auto"/>
            </w:tcBorders>
            <w:shd w:val="clear" w:color="auto" w:fill="DBEEF4"/>
          </w:tcPr>
          <w:p>
            <w:pPr>
              <w:spacing w:after="0"/>
              <w:rPr>
                <w:sz w:val="9"/>
                <w:szCs w:val="9"/>
                <w:color w:val="auto"/>
              </w:rPr>
            </w:pPr>
          </w:p>
        </w:tc>
        <w:tc>
          <w:tcPr>
            <w:tcW w:w="4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736</w:t>
            </w:r>
          </w:p>
        </w:tc>
        <w:tc>
          <w:tcPr>
            <w:tcW w:w="160" w:type="dxa"/>
            <w:vAlign w:val="bottom"/>
            <w:tcBorders>
              <w:bottom w:val="single" w:sz="8" w:color="DBEEF4"/>
            </w:tcBorders>
            <w:shd w:val="clear" w:color="auto" w:fill="DBEEF4"/>
          </w:tcPr>
          <w:p>
            <w:pPr>
              <w:spacing w:after="0"/>
              <w:rPr>
                <w:sz w:val="9"/>
                <w:szCs w:val="9"/>
                <w:color w:val="auto"/>
              </w:rPr>
            </w:pPr>
          </w:p>
        </w:tc>
        <w:tc>
          <w:tcPr>
            <w:tcW w:w="80" w:type="dxa"/>
            <w:vAlign w:val="bottom"/>
            <w:tcBorders>
              <w:bottom w:val="single" w:sz="8" w:color="auto"/>
            </w:tcBorders>
            <w:shd w:val="clear" w:color="auto" w:fill="DBEEF4"/>
          </w:tcPr>
          <w:p>
            <w:pPr>
              <w:spacing w:after="0"/>
              <w:rPr>
                <w:sz w:val="9"/>
                <w:szCs w:val="9"/>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737</w:t>
            </w:r>
          </w:p>
        </w:tc>
        <w:tc>
          <w:tcPr>
            <w:tcW w:w="60" w:type="dxa"/>
            <w:vAlign w:val="bottom"/>
            <w:tcBorders>
              <w:bottom w:val="single" w:sz="8" w:color="DBEEF4"/>
            </w:tcBorders>
            <w:shd w:val="clear" w:color="auto" w:fill="DBEEF4"/>
          </w:tcPr>
          <w:p>
            <w:pPr>
              <w:spacing w:after="0"/>
              <w:rPr>
                <w:sz w:val="9"/>
                <w:szCs w:val="9"/>
                <w:color w:val="auto"/>
              </w:rPr>
            </w:pPr>
          </w:p>
        </w:tc>
        <w:tc>
          <w:tcPr>
            <w:tcW w:w="48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30,671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31,195</w:t>
            </w:r>
          </w:p>
        </w:tc>
        <w:tc>
          <w:tcPr>
            <w:tcW w:w="720" w:type="dxa"/>
            <w:vAlign w:val="bottom"/>
            <w:gridSpan w:val="3"/>
          </w:tcPr>
          <w:p>
            <w:pPr>
              <w:jc w:val="right"/>
              <w:ind w:right="100"/>
              <w:spacing w:after="0" w:line="102" w:lineRule="exact"/>
              <w:rPr>
                <w:sz w:val="20"/>
                <w:szCs w:val="20"/>
                <w:color w:val="auto"/>
              </w:rPr>
            </w:pPr>
            <w:r>
              <w:rPr>
                <w:rFonts w:ascii="Arial" w:cs="Arial" w:eastAsia="Arial" w:hAnsi="Arial"/>
                <w:sz w:val="9"/>
                <w:szCs w:val="9"/>
                <w:color w:val="auto"/>
              </w:rPr>
              <w:t>8 %</w:t>
            </w:r>
          </w:p>
        </w:tc>
        <w:tc>
          <w:tcPr>
            <w:tcW w:w="0" w:type="dxa"/>
            <w:vAlign w:val="bottom"/>
          </w:tcPr>
          <w:p>
            <w:pPr>
              <w:spacing w:after="0"/>
              <w:rPr>
                <w:sz w:val="1"/>
                <w:szCs w:val="1"/>
                <w:color w:val="auto"/>
              </w:rPr>
            </w:pPr>
          </w:p>
        </w:tc>
      </w:tr>
      <w:tr>
        <w:trPr>
          <w:trHeight w:val="108"/>
        </w:trPr>
        <w:tc>
          <w:tcPr>
            <w:tcW w:w="2420" w:type="dxa"/>
            <w:vAlign w:val="bottom"/>
            <w:gridSpan w:val="4"/>
            <w:shd w:val="clear" w:color="auto" w:fill="DBEEF4"/>
          </w:tcPr>
          <w:p>
            <w:pPr>
              <w:ind w:left="20"/>
              <w:spacing w:after="0"/>
              <w:rPr>
                <w:sz w:val="20"/>
                <w:szCs w:val="20"/>
                <w:color w:val="auto"/>
              </w:rPr>
            </w:pPr>
            <w:r>
              <w:rPr>
                <w:rFonts w:ascii="Arial" w:cs="Arial" w:eastAsia="Arial" w:hAnsi="Arial"/>
                <w:sz w:val="9"/>
                <w:szCs w:val="9"/>
                <w:i w:val="1"/>
                <w:iCs w:val="1"/>
                <w:color w:val="auto"/>
              </w:rPr>
              <w:t>Bedford Precision Parts LLC</w:t>
            </w:r>
          </w:p>
        </w:tc>
        <w:tc>
          <w:tcPr>
            <w:tcW w:w="1880" w:type="dxa"/>
            <w:vAlign w:val="bottom"/>
            <w:shd w:val="clear" w:color="auto" w:fill="DBEEF4"/>
          </w:tcPr>
          <w:p>
            <w:pPr>
              <w:ind w:left="180"/>
              <w:spacing w:after="0"/>
              <w:rPr>
                <w:sz w:val="20"/>
                <w:szCs w:val="20"/>
                <w:color w:val="auto"/>
              </w:rPr>
            </w:pPr>
            <w:r>
              <w:rPr>
                <w:rFonts w:ascii="Arial" w:cs="Arial" w:eastAsia="Arial" w:hAnsi="Arial"/>
                <w:sz w:val="9"/>
                <w:szCs w:val="9"/>
                <w:color w:val="auto"/>
              </w:rPr>
              <w:t>Specialty Distribution</w:t>
            </w: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First Lien Debt (j)(s)</w:t>
            </w:r>
          </w:p>
        </w:tc>
        <w:tc>
          <w:tcPr>
            <w:tcW w:w="1880" w:type="dxa"/>
            <w:vAlign w:val="bottom"/>
          </w:tcPr>
          <w:p>
            <w:pPr>
              <w:spacing w:after="0"/>
              <w:rPr>
                <w:sz w:val="9"/>
                <w:szCs w:val="9"/>
                <w:color w:val="auto"/>
              </w:rPr>
            </w:pPr>
          </w:p>
        </w:tc>
        <w:tc>
          <w:tcPr>
            <w:tcW w:w="1400" w:type="dxa"/>
            <w:vAlign w:val="bottom"/>
          </w:tcPr>
          <w:p>
            <w:pPr>
              <w:ind w:left="360"/>
              <w:spacing w:after="0"/>
              <w:rPr>
                <w:sz w:val="20"/>
                <w:szCs w:val="20"/>
                <w:color w:val="auto"/>
              </w:rPr>
            </w:pPr>
            <w:r>
              <w:rPr>
                <w:rFonts w:ascii="Arial" w:cs="Arial" w:eastAsia="Arial" w:hAnsi="Arial"/>
                <w:sz w:val="9"/>
                <w:szCs w:val="9"/>
                <w:color w:val="auto"/>
              </w:rPr>
              <w:t>(L + 6.25%) / (2.00%)</w:t>
            </w:r>
          </w:p>
        </w:tc>
        <w:tc>
          <w:tcPr>
            <w:tcW w:w="940" w:type="dxa"/>
            <w:vAlign w:val="bottom"/>
          </w:tcPr>
          <w:p>
            <w:pPr>
              <w:ind w:left="200"/>
              <w:spacing w:after="0"/>
              <w:rPr>
                <w:sz w:val="20"/>
                <w:szCs w:val="20"/>
                <w:color w:val="auto"/>
              </w:rPr>
            </w:pPr>
            <w:r>
              <w:rPr>
                <w:rFonts w:ascii="Arial" w:cs="Arial" w:eastAsia="Arial" w:hAnsi="Arial"/>
                <w:sz w:val="9"/>
                <w:szCs w:val="9"/>
                <w:color w:val="auto"/>
              </w:rPr>
              <w:t>8.25%/0.00%</w:t>
            </w:r>
          </w:p>
        </w:tc>
        <w:tc>
          <w:tcPr>
            <w:tcW w:w="820" w:type="dxa"/>
            <w:vAlign w:val="bottom"/>
          </w:tcPr>
          <w:p>
            <w:pPr>
              <w:ind w:left="220"/>
              <w:spacing w:after="0"/>
              <w:rPr>
                <w:sz w:val="20"/>
                <w:szCs w:val="20"/>
                <w:color w:val="auto"/>
              </w:rPr>
            </w:pPr>
            <w:r>
              <w:rPr>
                <w:rFonts w:ascii="Arial" w:cs="Arial" w:eastAsia="Arial" w:hAnsi="Arial"/>
                <w:sz w:val="9"/>
                <w:szCs w:val="9"/>
                <w:color w:val="auto"/>
              </w:rPr>
              <w:t>3/12/2019</w:t>
            </w:r>
          </w:p>
        </w:tc>
        <w:tc>
          <w:tcPr>
            <w:tcW w:w="800" w:type="dxa"/>
            <w:vAlign w:val="bottom"/>
          </w:tcPr>
          <w:p>
            <w:pPr>
              <w:ind w:left="180"/>
              <w:spacing w:after="0"/>
              <w:rPr>
                <w:sz w:val="20"/>
                <w:szCs w:val="20"/>
                <w:color w:val="auto"/>
              </w:rPr>
            </w:pPr>
            <w:r>
              <w:rPr>
                <w:rFonts w:ascii="Arial" w:cs="Arial" w:eastAsia="Arial" w:hAnsi="Arial"/>
                <w:sz w:val="9"/>
                <w:szCs w:val="9"/>
                <w:color w:val="auto"/>
              </w:rPr>
              <w:t>3/12/2024</w:t>
            </w:r>
          </w:p>
        </w:tc>
        <w:tc>
          <w:tcPr>
            <w:tcW w:w="2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4,531</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4,507</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4,531</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DBEEF4"/>
            </w:tcBorders>
            <w:shd w:val="clear" w:color="auto" w:fill="DBEEF4"/>
          </w:tcPr>
          <w:p>
            <w:pPr>
              <w:spacing w:after="0"/>
              <w:rPr>
                <w:sz w:val="9"/>
                <w:szCs w:val="9"/>
                <w:color w:val="auto"/>
              </w:rPr>
            </w:pPr>
          </w:p>
        </w:tc>
        <w:tc>
          <w:tcPr>
            <w:tcW w:w="2400" w:type="dxa"/>
            <w:vAlign w:val="bottom"/>
            <w:tcBorders>
              <w:bottom w:val="single" w:sz="8" w:color="DBEEF4"/>
            </w:tcBorders>
            <w:gridSpan w:val="3"/>
            <w:shd w:val="clear" w:color="auto" w:fill="DBEEF4"/>
          </w:tcPr>
          <w:p>
            <w:pPr>
              <w:ind w:left="100"/>
              <w:spacing w:after="0"/>
              <w:rPr>
                <w:sz w:val="20"/>
                <w:szCs w:val="20"/>
                <w:color w:val="auto"/>
              </w:rPr>
            </w:pPr>
            <w:r>
              <w:rPr>
                <w:rFonts w:ascii="Arial" w:cs="Arial" w:eastAsia="Arial" w:hAnsi="Arial"/>
                <w:sz w:val="9"/>
                <w:szCs w:val="9"/>
                <w:color w:val="auto"/>
              </w:rPr>
              <w:t>Common Equity (500,000 units) (h)(j)</w:t>
            </w:r>
          </w:p>
        </w:tc>
        <w:tc>
          <w:tcPr>
            <w:tcW w:w="1880" w:type="dxa"/>
            <w:vAlign w:val="bottom"/>
            <w:tcBorders>
              <w:bottom w:val="single" w:sz="8" w:color="DBEEF4"/>
            </w:tcBorders>
            <w:shd w:val="clear" w:color="auto" w:fill="DBEEF4"/>
          </w:tcPr>
          <w:p>
            <w:pPr>
              <w:spacing w:after="0"/>
              <w:rPr>
                <w:sz w:val="9"/>
                <w:szCs w:val="9"/>
                <w:color w:val="auto"/>
              </w:rPr>
            </w:pPr>
          </w:p>
        </w:tc>
        <w:tc>
          <w:tcPr>
            <w:tcW w:w="140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3/12/2019</w:t>
            </w:r>
          </w:p>
        </w:tc>
        <w:tc>
          <w:tcPr>
            <w:tcW w:w="800" w:type="dxa"/>
            <w:vAlign w:val="bottom"/>
            <w:tcBorders>
              <w:bottom w:val="single" w:sz="8" w:color="DBEEF4"/>
            </w:tcBorders>
            <w:shd w:val="clear" w:color="auto" w:fill="DBEEF4"/>
          </w:tcPr>
          <w:p>
            <w:pPr>
              <w:spacing w:after="0"/>
              <w:rPr>
                <w:sz w:val="9"/>
                <w:szCs w:val="9"/>
                <w:color w:val="auto"/>
              </w:rPr>
            </w:pPr>
          </w:p>
        </w:tc>
        <w:tc>
          <w:tcPr>
            <w:tcW w:w="260" w:type="dxa"/>
            <w:vAlign w:val="bottom"/>
            <w:tcBorders>
              <w:bottom w:val="single" w:sz="8" w:color="DBEEF4"/>
            </w:tcBorders>
            <w:shd w:val="clear" w:color="auto" w:fill="DBEEF4"/>
          </w:tcPr>
          <w:p>
            <w:pPr>
              <w:spacing w:after="0"/>
              <w:rPr>
                <w:sz w:val="9"/>
                <w:szCs w:val="9"/>
                <w:color w:val="auto"/>
              </w:rPr>
            </w:pPr>
          </w:p>
        </w:tc>
        <w:tc>
          <w:tcPr>
            <w:tcW w:w="54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140" w:type="dxa"/>
            <w:vAlign w:val="bottom"/>
            <w:tcBorders>
              <w:bottom w:val="single" w:sz="8" w:color="auto"/>
            </w:tcBorders>
            <w:shd w:val="clear" w:color="auto" w:fill="DBEEF4"/>
          </w:tcPr>
          <w:p>
            <w:pPr>
              <w:spacing w:after="0"/>
              <w:rPr>
                <w:sz w:val="9"/>
                <w:szCs w:val="9"/>
                <w:color w:val="auto"/>
              </w:rPr>
            </w:pPr>
          </w:p>
        </w:tc>
        <w:tc>
          <w:tcPr>
            <w:tcW w:w="4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500</w:t>
            </w:r>
          </w:p>
        </w:tc>
        <w:tc>
          <w:tcPr>
            <w:tcW w:w="160" w:type="dxa"/>
            <w:vAlign w:val="bottom"/>
            <w:tcBorders>
              <w:bottom w:val="single" w:sz="8" w:color="DBEEF4"/>
            </w:tcBorders>
            <w:shd w:val="clear" w:color="auto" w:fill="DBEEF4"/>
          </w:tcPr>
          <w:p>
            <w:pPr>
              <w:spacing w:after="0"/>
              <w:rPr>
                <w:sz w:val="9"/>
                <w:szCs w:val="9"/>
                <w:color w:val="auto"/>
              </w:rPr>
            </w:pPr>
          </w:p>
        </w:tc>
        <w:tc>
          <w:tcPr>
            <w:tcW w:w="80" w:type="dxa"/>
            <w:vAlign w:val="bottom"/>
            <w:tcBorders>
              <w:bottom w:val="single" w:sz="8" w:color="auto"/>
            </w:tcBorders>
            <w:shd w:val="clear" w:color="auto" w:fill="DBEEF4"/>
          </w:tcPr>
          <w:p>
            <w:pPr>
              <w:spacing w:after="0"/>
              <w:rPr>
                <w:sz w:val="9"/>
                <w:szCs w:val="9"/>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263</w:t>
            </w:r>
          </w:p>
        </w:tc>
        <w:tc>
          <w:tcPr>
            <w:tcW w:w="60" w:type="dxa"/>
            <w:vAlign w:val="bottom"/>
            <w:tcBorders>
              <w:bottom w:val="single" w:sz="8" w:color="DBEEF4"/>
            </w:tcBorders>
            <w:shd w:val="clear" w:color="auto" w:fill="DBEEF4"/>
          </w:tcPr>
          <w:p>
            <w:pPr>
              <w:spacing w:after="0"/>
              <w:rPr>
                <w:sz w:val="9"/>
                <w:szCs w:val="9"/>
                <w:color w:val="auto"/>
              </w:rPr>
            </w:pPr>
          </w:p>
        </w:tc>
        <w:tc>
          <w:tcPr>
            <w:tcW w:w="48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5,007</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4,794</w:t>
            </w:r>
          </w:p>
        </w:tc>
        <w:tc>
          <w:tcPr>
            <w:tcW w:w="720" w:type="dxa"/>
            <w:vAlign w:val="bottom"/>
            <w:gridSpan w:val="3"/>
          </w:tcPr>
          <w:p>
            <w:pPr>
              <w:jc w:val="right"/>
              <w:ind w:right="100"/>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420" w:type="dxa"/>
            <w:vAlign w:val="bottom"/>
            <w:gridSpan w:val="4"/>
            <w:shd w:val="clear" w:color="auto" w:fill="DBEEF4"/>
          </w:tcPr>
          <w:p>
            <w:pPr>
              <w:ind w:left="20"/>
              <w:spacing w:after="0"/>
              <w:rPr>
                <w:sz w:val="20"/>
                <w:szCs w:val="20"/>
                <w:color w:val="auto"/>
              </w:rPr>
            </w:pPr>
            <w:r>
              <w:rPr>
                <w:rFonts w:ascii="Arial" w:cs="Arial" w:eastAsia="Arial" w:hAnsi="Arial"/>
                <w:sz w:val="9"/>
                <w:szCs w:val="9"/>
                <w:i w:val="1"/>
                <w:iCs w:val="1"/>
                <w:color w:val="auto"/>
              </w:rPr>
              <w:t>Cardboard Box LLC (dba Anthony's Coal Fired Pizza)</w:t>
            </w:r>
          </w:p>
        </w:tc>
        <w:tc>
          <w:tcPr>
            <w:tcW w:w="1880" w:type="dxa"/>
            <w:vAlign w:val="bottom"/>
            <w:shd w:val="clear" w:color="auto" w:fill="DBEEF4"/>
          </w:tcPr>
          <w:p>
            <w:pPr>
              <w:ind w:left="180"/>
              <w:spacing w:after="0"/>
              <w:rPr>
                <w:sz w:val="20"/>
                <w:szCs w:val="20"/>
                <w:color w:val="auto"/>
              </w:rPr>
            </w:pPr>
            <w:r>
              <w:rPr>
                <w:rFonts w:ascii="Arial" w:cs="Arial" w:eastAsia="Arial" w:hAnsi="Arial"/>
                <w:sz w:val="9"/>
                <w:szCs w:val="9"/>
                <w:color w:val="auto"/>
              </w:rPr>
              <w:t>Restaurants</w:t>
            </w: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ind w:left="100"/>
              <w:spacing w:after="0"/>
              <w:rPr>
                <w:sz w:val="20"/>
                <w:szCs w:val="20"/>
                <w:color w:val="auto"/>
              </w:rPr>
            </w:pPr>
            <w:r>
              <w:rPr>
                <w:rFonts w:ascii="Arial" w:cs="Arial" w:eastAsia="Arial" w:hAnsi="Arial"/>
                <w:sz w:val="9"/>
                <w:szCs w:val="9"/>
                <w:color w:val="auto"/>
              </w:rPr>
              <w:t>Common Equity (521,021 units) (j)</w:t>
            </w:r>
          </w:p>
        </w:tc>
        <w:tc>
          <w:tcPr>
            <w:tcW w:w="1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12/15/2015</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521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DBEEF4"/>
            </w:tcBorders>
            <w:shd w:val="clear" w:color="auto" w:fill="DBEEF4"/>
          </w:tcPr>
          <w:p>
            <w:pPr>
              <w:spacing w:after="0"/>
              <w:rPr>
                <w:sz w:val="9"/>
                <w:szCs w:val="9"/>
                <w:color w:val="auto"/>
              </w:rPr>
            </w:pPr>
          </w:p>
        </w:tc>
        <w:tc>
          <w:tcPr>
            <w:tcW w:w="2400" w:type="dxa"/>
            <w:vAlign w:val="bottom"/>
            <w:tcBorders>
              <w:bottom w:val="single" w:sz="8" w:color="DBEEF4"/>
            </w:tcBorders>
            <w:gridSpan w:val="3"/>
            <w:shd w:val="clear" w:color="auto" w:fill="DBEEF4"/>
          </w:tcPr>
          <w:p>
            <w:pPr>
              <w:ind w:left="100"/>
              <w:spacing w:after="0"/>
              <w:rPr>
                <w:sz w:val="20"/>
                <w:szCs w:val="20"/>
                <w:color w:val="auto"/>
              </w:rPr>
            </w:pPr>
            <w:r>
              <w:rPr>
                <w:rFonts w:ascii="Arial" w:cs="Arial" w:eastAsia="Arial" w:hAnsi="Arial"/>
                <w:sz w:val="9"/>
                <w:szCs w:val="9"/>
                <w:color w:val="auto"/>
              </w:rPr>
              <w:t>Preferred Equity (1,043,133 units) (j)</w:t>
            </w:r>
          </w:p>
        </w:tc>
        <w:tc>
          <w:tcPr>
            <w:tcW w:w="1880" w:type="dxa"/>
            <w:vAlign w:val="bottom"/>
            <w:tcBorders>
              <w:bottom w:val="single" w:sz="8" w:color="DBEEF4"/>
            </w:tcBorders>
            <w:shd w:val="clear" w:color="auto" w:fill="DBEEF4"/>
          </w:tcPr>
          <w:p>
            <w:pPr>
              <w:spacing w:after="0"/>
              <w:rPr>
                <w:sz w:val="9"/>
                <w:szCs w:val="9"/>
                <w:color w:val="auto"/>
              </w:rPr>
            </w:pPr>
          </w:p>
        </w:tc>
        <w:tc>
          <w:tcPr>
            <w:tcW w:w="140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12/6/2019</w:t>
            </w:r>
          </w:p>
        </w:tc>
        <w:tc>
          <w:tcPr>
            <w:tcW w:w="800" w:type="dxa"/>
            <w:vAlign w:val="bottom"/>
            <w:tcBorders>
              <w:bottom w:val="single" w:sz="8" w:color="DBEEF4"/>
            </w:tcBorders>
            <w:shd w:val="clear" w:color="auto" w:fill="DBEEF4"/>
          </w:tcPr>
          <w:p>
            <w:pPr>
              <w:spacing w:after="0"/>
              <w:rPr>
                <w:sz w:val="9"/>
                <w:szCs w:val="9"/>
                <w:color w:val="auto"/>
              </w:rPr>
            </w:pPr>
          </w:p>
        </w:tc>
        <w:tc>
          <w:tcPr>
            <w:tcW w:w="260" w:type="dxa"/>
            <w:vAlign w:val="bottom"/>
            <w:tcBorders>
              <w:bottom w:val="single" w:sz="8" w:color="DBEEF4"/>
            </w:tcBorders>
            <w:shd w:val="clear" w:color="auto" w:fill="DBEEF4"/>
          </w:tcPr>
          <w:p>
            <w:pPr>
              <w:spacing w:after="0"/>
              <w:rPr>
                <w:sz w:val="9"/>
                <w:szCs w:val="9"/>
                <w:color w:val="auto"/>
              </w:rPr>
            </w:pPr>
          </w:p>
        </w:tc>
        <w:tc>
          <w:tcPr>
            <w:tcW w:w="54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60" w:type="dxa"/>
            <w:vAlign w:val="bottom"/>
            <w:tcBorders>
              <w:bottom w:val="single" w:sz="8" w:color="DBEEF4"/>
            </w:tcBorders>
            <w:shd w:val="clear" w:color="auto" w:fill="DBEEF4"/>
          </w:tcPr>
          <w:p>
            <w:pPr>
              <w:spacing w:after="0"/>
              <w:rPr>
                <w:sz w:val="9"/>
                <w:szCs w:val="9"/>
                <w:color w:val="auto"/>
              </w:rPr>
            </w:pPr>
          </w:p>
        </w:tc>
        <w:tc>
          <w:tcPr>
            <w:tcW w:w="140" w:type="dxa"/>
            <w:vAlign w:val="bottom"/>
            <w:tcBorders>
              <w:bottom w:val="single" w:sz="8" w:color="auto"/>
            </w:tcBorders>
            <w:shd w:val="clear" w:color="auto" w:fill="DBEEF4"/>
          </w:tcPr>
          <w:p>
            <w:pPr>
              <w:spacing w:after="0"/>
              <w:rPr>
                <w:sz w:val="9"/>
                <w:szCs w:val="9"/>
                <w:color w:val="auto"/>
              </w:rPr>
            </w:pPr>
          </w:p>
        </w:tc>
        <w:tc>
          <w:tcPr>
            <w:tcW w:w="4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96</w:t>
            </w:r>
          </w:p>
        </w:tc>
        <w:tc>
          <w:tcPr>
            <w:tcW w:w="160" w:type="dxa"/>
            <w:vAlign w:val="bottom"/>
            <w:tcBorders>
              <w:bottom w:val="single" w:sz="8" w:color="DBEEF4"/>
            </w:tcBorders>
            <w:shd w:val="clear" w:color="auto" w:fill="DBEEF4"/>
          </w:tcPr>
          <w:p>
            <w:pPr>
              <w:spacing w:after="0"/>
              <w:rPr>
                <w:sz w:val="9"/>
                <w:szCs w:val="9"/>
                <w:color w:val="auto"/>
              </w:rPr>
            </w:pPr>
          </w:p>
        </w:tc>
        <w:tc>
          <w:tcPr>
            <w:tcW w:w="80" w:type="dxa"/>
            <w:vAlign w:val="bottom"/>
            <w:tcBorders>
              <w:bottom w:val="single" w:sz="8" w:color="auto"/>
            </w:tcBorders>
            <w:shd w:val="clear" w:color="auto" w:fill="DBEEF4"/>
          </w:tcPr>
          <w:p>
            <w:pPr>
              <w:spacing w:after="0"/>
              <w:rPr>
                <w:sz w:val="9"/>
                <w:szCs w:val="9"/>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34</w:t>
            </w:r>
          </w:p>
        </w:tc>
        <w:tc>
          <w:tcPr>
            <w:tcW w:w="60" w:type="dxa"/>
            <w:vAlign w:val="bottom"/>
            <w:tcBorders>
              <w:bottom w:val="single" w:sz="8" w:color="DBEEF4"/>
            </w:tcBorders>
            <w:shd w:val="clear" w:color="auto" w:fill="DBEEF4"/>
          </w:tcPr>
          <w:p>
            <w:pPr>
              <w:spacing w:after="0"/>
              <w:rPr>
                <w:sz w:val="9"/>
                <w:szCs w:val="9"/>
                <w:color w:val="auto"/>
              </w:rPr>
            </w:pPr>
          </w:p>
        </w:tc>
        <w:tc>
          <w:tcPr>
            <w:tcW w:w="48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617</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34</w:t>
            </w:r>
          </w:p>
        </w:tc>
        <w:tc>
          <w:tcPr>
            <w:tcW w:w="720" w:type="dxa"/>
            <w:vAlign w:val="bottom"/>
            <w:gridSpan w:val="3"/>
          </w:tcPr>
          <w:p>
            <w:pPr>
              <w:jc w:val="right"/>
              <w:ind w:right="100"/>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420" w:type="dxa"/>
            <w:vAlign w:val="bottom"/>
            <w:gridSpan w:val="4"/>
            <w:shd w:val="clear" w:color="auto" w:fill="DBEEF4"/>
          </w:tcPr>
          <w:p>
            <w:pPr>
              <w:ind w:left="20"/>
              <w:spacing w:after="0"/>
              <w:rPr>
                <w:sz w:val="20"/>
                <w:szCs w:val="20"/>
                <w:color w:val="auto"/>
              </w:rPr>
            </w:pPr>
            <w:r>
              <w:rPr>
                <w:rFonts w:ascii="Arial" w:cs="Arial" w:eastAsia="Arial" w:hAnsi="Arial"/>
                <w:sz w:val="9"/>
                <w:szCs w:val="9"/>
                <w:i w:val="1"/>
                <w:iCs w:val="1"/>
                <w:color w:val="auto"/>
              </w:rPr>
              <w:t>Combined Systems, Inc.</w:t>
            </w:r>
          </w:p>
        </w:tc>
        <w:tc>
          <w:tcPr>
            <w:tcW w:w="1880" w:type="dxa"/>
            <w:vAlign w:val="bottom"/>
            <w:shd w:val="clear" w:color="auto" w:fill="DBEEF4"/>
          </w:tcPr>
          <w:p>
            <w:pPr>
              <w:ind w:left="180"/>
              <w:spacing w:after="0"/>
              <w:rPr>
                <w:sz w:val="20"/>
                <w:szCs w:val="20"/>
                <w:color w:val="auto"/>
              </w:rPr>
            </w:pPr>
            <w:r>
              <w:rPr>
                <w:rFonts w:ascii="Arial" w:cs="Arial" w:eastAsia="Arial" w:hAnsi="Arial"/>
                <w:sz w:val="9"/>
                <w:szCs w:val="9"/>
                <w:color w:val="auto"/>
              </w:rPr>
              <w:t>Aerospace &amp; Defense Manufacturing</w:t>
            </w:r>
          </w:p>
        </w:tc>
        <w:tc>
          <w:tcPr>
            <w:tcW w:w="140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800" w:type="dxa"/>
            <w:vAlign w:val="bottom"/>
            <w:shd w:val="clear" w:color="auto" w:fill="DBEEF4"/>
          </w:tcPr>
          <w:p>
            <w:pPr>
              <w:spacing w:after="0"/>
              <w:rPr>
                <w:sz w:val="9"/>
                <w:szCs w:val="9"/>
                <w:color w:val="auto"/>
              </w:rPr>
            </w:pPr>
          </w:p>
        </w:tc>
        <w:tc>
          <w:tcPr>
            <w:tcW w:w="260" w:type="dxa"/>
            <w:vAlign w:val="bottom"/>
            <w:shd w:val="clear" w:color="auto" w:fill="DBEEF4"/>
          </w:tcPr>
          <w:p>
            <w:pPr>
              <w:spacing w:after="0"/>
              <w:rPr>
                <w:sz w:val="9"/>
                <w:szCs w:val="9"/>
                <w:color w:val="auto"/>
              </w:rPr>
            </w:pPr>
          </w:p>
        </w:tc>
        <w:tc>
          <w:tcPr>
            <w:tcW w:w="54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80" w:type="dxa"/>
            <w:vAlign w:val="bottom"/>
            <w:shd w:val="clear" w:color="auto" w:fill="DBEEF4"/>
          </w:tcPr>
          <w:p>
            <w:pPr>
              <w:spacing w:after="0"/>
              <w:rPr>
                <w:sz w:val="9"/>
                <w:szCs w:val="9"/>
                <w:color w:val="auto"/>
              </w:rPr>
            </w:pPr>
          </w:p>
        </w:tc>
        <w:tc>
          <w:tcPr>
            <w:tcW w:w="5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8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-6274435</wp:posOffset>
            </wp:positionV>
            <wp:extent cx="342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-6274435</wp:posOffset>
            </wp:positionV>
            <wp:extent cx="342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-6257290</wp:posOffset>
            </wp:positionV>
            <wp:extent cx="34290" cy="774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7747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-6257290</wp:posOffset>
            </wp:positionV>
            <wp:extent cx="34290" cy="774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7747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-5422900</wp:posOffset>
            </wp:positionV>
            <wp:extent cx="34290" cy="742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-5422900</wp:posOffset>
            </wp:positionV>
            <wp:extent cx="34290" cy="742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-5139690</wp:posOffset>
            </wp:positionV>
            <wp:extent cx="34290" cy="742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-5139690</wp:posOffset>
            </wp:positionV>
            <wp:extent cx="34290" cy="742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-4445635</wp:posOffset>
            </wp:positionV>
            <wp:extent cx="34290" cy="742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-4445635</wp:posOffset>
            </wp:positionV>
            <wp:extent cx="34290" cy="742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-4299585</wp:posOffset>
            </wp:positionV>
            <wp:extent cx="34290" cy="996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996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-4299585</wp:posOffset>
            </wp:positionV>
            <wp:extent cx="34290" cy="996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996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-2113915</wp:posOffset>
            </wp:positionV>
            <wp:extent cx="34290" cy="742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-2113915</wp:posOffset>
            </wp:positionV>
            <wp:extent cx="34290" cy="742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-708025</wp:posOffset>
            </wp:positionV>
            <wp:extent cx="34290" cy="742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-708025</wp:posOffset>
            </wp:positionV>
            <wp:extent cx="34290" cy="742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-424815</wp:posOffset>
            </wp:positionV>
            <wp:extent cx="34290" cy="742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-424815</wp:posOffset>
            </wp:positionV>
            <wp:extent cx="34290" cy="742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-142240</wp:posOffset>
            </wp:positionV>
            <wp:extent cx="34290" cy="742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-142240</wp:posOffset>
            </wp:positionV>
            <wp:extent cx="34290" cy="742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74295"/>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15"/>
        </w:trPr>
        <w:tc>
          <w:tcPr>
            <w:tcW w:w="2540" w:type="dxa"/>
            <w:vAlign w:val="bottom"/>
          </w:tcPr>
          <w:p>
            <w:pPr>
              <w:ind w:left="120"/>
              <w:spacing w:after="0"/>
              <w:rPr>
                <w:sz w:val="20"/>
                <w:szCs w:val="20"/>
                <w:color w:val="auto"/>
              </w:rPr>
            </w:pPr>
            <w:r>
              <w:rPr>
                <w:rFonts w:ascii="Arial" w:cs="Arial" w:eastAsia="Arial" w:hAnsi="Arial"/>
                <w:sz w:val="9"/>
                <w:szCs w:val="9"/>
                <w:color w:val="auto"/>
              </w:rPr>
              <w:t>First Lien Debt</w:t>
            </w:r>
          </w:p>
        </w:tc>
        <w:tc>
          <w:tcPr>
            <w:tcW w:w="3160" w:type="dxa"/>
            <w:vAlign w:val="bottom"/>
          </w:tcPr>
          <w:p>
            <w:pPr>
              <w:ind w:left="2120"/>
              <w:spacing w:after="0"/>
              <w:rPr>
                <w:sz w:val="20"/>
                <w:szCs w:val="20"/>
                <w:color w:val="auto"/>
              </w:rPr>
            </w:pPr>
            <w:r>
              <w:rPr>
                <w:rFonts w:ascii="Arial" w:cs="Arial" w:eastAsia="Arial" w:hAnsi="Arial"/>
                <w:sz w:val="9"/>
                <w:szCs w:val="9"/>
                <w:color w:val="auto"/>
              </w:rPr>
              <w:t>(L + 10.00%) / (2.00%)</w:t>
            </w:r>
          </w:p>
        </w:tc>
        <w:tc>
          <w:tcPr>
            <w:tcW w:w="940" w:type="dxa"/>
            <w:vAlign w:val="bottom"/>
          </w:tcPr>
          <w:p>
            <w:pPr>
              <w:ind w:left="200"/>
              <w:spacing w:after="0"/>
              <w:rPr>
                <w:sz w:val="20"/>
                <w:szCs w:val="20"/>
                <w:color w:val="auto"/>
              </w:rPr>
            </w:pPr>
            <w:r>
              <w:rPr>
                <w:rFonts w:ascii="Arial" w:cs="Arial" w:eastAsia="Arial" w:hAnsi="Arial"/>
                <w:sz w:val="9"/>
                <w:szCs w:val="9"/>
                <w:color w:val="auto"/>
              </w:rPr>
              <w:t>12.00%/0.00%</w:t>
            </w:r>
          </w:p>
        </w:tc>
        <w:tc>
          <w:tcPr>
            <w:tcW w:w="820" w:type="dxa"/>
            <w:vAlign w:val="bottom"/>
          </w:tcPr>
          <w:p>
            <w:pPr>
              <w:ind w:left="220"/>
              <w:spacing w:after="0"/>
              <w:rPr>
                <w:sz w:val="20"/>
                <w:szCs w:val="20"/>
                <w:color w:val="auto"/>
              </w:rPr>
            </w:pPr>
            <w:r>
              <w:rPr>
                <w:rFonts w:ascii="Arial" w:cs="Arial" w:eastAsia="Arial" w:hAnsi="Arial"/>
                <w:sz w:val="9"/>
                <w:szCs w:val="9"/>
                <w:color w:val="auto"/>
              </w:rPr>
              <w:t>1/31/2020</w:t>
            </w:r>
          </w:p>
        </w:tc>
        <w:tc>
          <w:tcPr>
            <w:tcW w:w="960" w:type="dxa"/>
            <w:vAlign w:val="bottom"/>
          </w:tcPr>
          <w:p>
            <w:pPr>
              <w:ind w:left="180"/>
              <w:spacing w:after="0"/>
              <w:rPr>
                <w:sz w:val="20"/>
                <w:szCs w:val="20"/>
                <w:color w:val="auto"/>
              </w:rPr>
            </w:pPr>
            <w:r>
              <w:rPr>
                <w:rFonts w:ascii="Arial" w:cs="Arial" w:eastAsia="Arial" w:hAnsi="Arial"/>
                <w:sz w:val="9"/>
                <w:szCs w:val="9"/>
                <w:color w:val="auto"/>
              </w:rPr>
              <w:t>1/31/2025</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7,600</w:t>
            </w:r>
          </w:p>
        </w:tc>
        <w:tc>
          <w:tcPr>
            <w:tcW w:w="600" w:type="dxa"/>
            <w:vAlign w:val="bottom"/>
          </w:tcPr>
          <w:p>
            <w:pPr>
              <w:jc w:val="right"/>
              <w:spacing w:after="0"/>
              <w:rPr>
                <w:sz w:val="20"/>
                <w:szCs w:val="20"/>
                <w:color w:val="auto"/>
              </w:rPr>
            </w:pPr>
            <w:r>
              <w:rPr>
                <w:rFonts w:ascii="Arial" w:cs="Arial" w:eastAsia="Arial" w:hAnsi="Arial"/>
                <w:sz w:val="9"/>
                <w:szCs w:val="9"/>
                <w:color w:val="auto"/>
              </w:rPr>
              <w:t>7,553</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7,600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Revolving Loan ($1,050 unfunded commitment) (j)(ac)</w:t>
            </w:r>
          </w:p>
        </w:tc>
        <w:tc>
          <w:tcPr>
            <w:tcW w:w="3160" w:type="dxa"/>
            <w:vAlign w:val="bottom"/>
            <w:tcBorders>
              <w:bottom w:val="single" w:sz="8" w:color="DBEEF4"/>
            </w:tcBorders>
            <w:shd w:val="clear" w:color="auto" w:fill="DBEEF4"/>
          </w:tcPr>
          <w:p>
            <w:pPr>
              <w:ind w:left="2120"/>
              <w:spacing w:after="0"/>
              <w:rPr>
                <w:sz w:val="20"/>
                <w:szCs w:val="20"/>
                <w:color w:val="auto"/>
              </w:rPr>
            </w:pPr>
            <w:r>
              <w:rPr>
                <w:rFonts w:ascii="Arial" w:cs="Arial" w:eastAsia="Arial" w:hAnsi="Arial"/>
                <w:sz w:val="9"/>
                <w:szCs w:val="9"/>
                <w:color w:val="auto"/>
              </w:rPr>
              <w:t>(L + 9.00%) / (2.00%)</w:t>
            </w:r>
          </w:p>
        </w:tc>
        <w:tc>
          <w:tcPr>
            <w:tcW w:w="940" w:type="dxa"/>
            <w:vAlign w:val="bottom"/>
            <w:tcBorders>
              <w:bottom w:val="single" w:sz="8" w:color="DBEEF4"/>
            </w:tcBorders>
            <w:shd w:val="clear" w:color="auto" w:fill="DBEEF4"/>
          </w:tcPr>
          <w:p>
            <w:pPr>
              <w:ind w:left="200"/>
              <w:spacing w:after="0"/>
              <w:rPr>
                <w:sz w:val="20"/>
                <w:szCs w:val="20"/>
                <w:color w:val="auto"/>
              </w:rPr>
            </w:pPr>
            <w:r>
              <w:rPr>
                <w:rFonts w:ascii="Arial" w:cs="Arial" w:eastAsia="Arial" w:hAnsi="Arial"/>
                <w:sz w:val="9"/>
                <w:szCs w:val="9"/>
                <w:color w:val="auto"/>
              </w:rPr>
              <w:t>11.00%/0.00%</w:t>
            </w: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1/31/2020</w:t>
            </w:r>
          </w:p>
        </w:tc>
        <w:tc>
          <w:tcPr>
            <w:tcW w:w="960" w:type="dxa"/>
            <w:vAlign w:val="bottom"/>
            <w:tcBorders>
              <w:bottom w:val="single" w:sz="8" w:color="DBEEF4"/>
            </w:tcBorders>
            <w:shd w:val="clear" w:color="auto" w:fill="DBEEF4"/>
          </w:tcPr>
          <w:p>
            <w:pPr>
              <w:ind w:left="180"/>
              <w:spacing w:after="0"/>
              <w:rPr>
                <w:sz w:val="20"/>
                <w:szCs w:val="20"/>
                <w:color w:val="auto"/>
              </w:rPr>
            </w:pPr>
            <w:r>
              <w:rPr>
                <w:rFonts w:ascii="Arial" w:cs="Arial" w:eastAsia="Arial" w:hAnsi="Arial"/>
                <w:sz w:val="9"/>
                <w:szCs w:val="9"/>
                <w:color w:val="auto"/>
              </w:rPr>
              <w:t>1/31/2025</w:t>
            </w:r>
          </w:p>
        </w:tc>
        <w:tc>
          <w:tcPr>
            <w:tcW w:w="760" w:type="dxa"/>
            <w:vAlign w:val="bottom"/>
            <w:tcBorders>
              <w:bottom w:val="single" w:sz="8" w:color="DBEEF4"/>
            </w:tcBorders>
            <w:shd w:val="clear" w:color="auto" w:fill="DBEEF4"/>
          </w:tcPr>
          <w:p>
            <w:pPr>
              <w:jc w:val="right"/>
              <w:ind w:right="95"/>
              <w:spacing w:after="0"/>
              <w:rPr>
                <w:sz w:val="20"/>
                <w:szCs w:val="20"/>
                <w:color w:val="auto"/>
              </w:rPr>
            </w:pPr>
            <w:r>
              <w:rPr>
                <w:rFonts w:ascii="Arial" w:cs="Arial" w:eastAsia="Arial" w:hAnsi="Arial"/>
                <w:sz w:val="9"/>
                <w:szCs w:val="9"/>
                <w:color w:val="auto"/>
              </w:rPr>
              <w:t>2,950</w:t>
            </w: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2,930</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2,950</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10,483</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10,550</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Comply365,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Aerospace &amp; Defense Manufacturing</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First Lien Debt (ad)</w:t>
            </w:r>
          </w:p>
        </w:tc>
        <w:tc>
          <w:tcPr>
            <w:tcW w:w="3160" w:type="dxa"/>
            <w:vAlign w:val="bottom"/>
          </w:tcPr>
          <w:p>
            <w:pPr>
              <w:ind w:left="2120"/>
              <w:spacing w:after="0"/>
              <w:rPr>
                <w:sz w:val="20"/>
                <w:szCs w:val="20"/>
                <w:color w:val="auto"/>
              </w:rPr>
            </w:pPr>
            <w:r>
              <w:rPr>
                <w:rFonts w:ascii="Arial" w:cs="Arial" w:eastAsia="Arial" w:hAnsi="Arial"/>
                <w:sz w:val="9"/>
                <w:szCs w:val="9"/>
                <w:color w:val="auto"/>
              </w:rPr>
              <w:t>(L + 8.00%) / (1.00%)</w:t>
            </w:r>
          </w:p>
        </w:tc>
        <w:tc>
          <w:tcPr>
            <w:tcW w:w="940" w:type="dxa"/>
            <w:vAlign w:val="bottom"/>
          </w:tcPr>
          <w:p>
            <w:pPr>
              <w:ind w:left="200"/>
              <w:spacing w:after="0"/>
              <w:rPr>
                <w:sz w:val="20"/>
                <w:szCs w:val="20"/>
                <w:color w:val="auto"/>
              </w:rPr>
            </w:pPr>
            <w:r>
              <w:rPr>
                <w:rFonts w:ascii="Arial" w:cs="Arial" w:eastAsia="Arial" w:hAnsi="Arial"/>
                <w:sz w:val="9"/>
                <w:szCs w:val="9"/>
                <w:color w:val="auto"/>
              </w:rPr>
              <w:t>9.00%/0.00%</w:t>
            </w:r>
          </w:p>
        </w:tc>
        <w:tc>
          <w:tcPr>
            <w:tcW w:w="820" w:type="dxa"/>
            <w:vAlign w:val="bottom"/>
          </w:tcPr>
          <w:p>
            <w:pPr>
              <w:ind w:left="220"/>
              <w:spacing w:after="0"/>
              <w:rPr>
                <w:sz w:val="20"/>
                <w:szCs w:val="20"/>
                <w:color w:val="auto"/>
              </w:rPr>
            </w:pPr>
            <w:r>
              <w:rPr>
                <w:rFonts w:ascii="Arial" w:cs="Arial" w:eastAsia="Arial" w:hAnsi="Arial"/>
                <w:sz w:val="9"/>
                <w:szCs w:val="9"/>
                <w:color w:val="auto"/>
              </w:rPr>
              <w:t>12/11/2020</w:t>
            </w:r>
          </w:p>
        </w:tc>
        <w:tc>
          <w:tcPr>
            <w:tcW w:w="960" w:type="dxa"/>
            <w:vAlign w:val="bottom"/>
          </w:tcPr>
          <w:p>
            <w:pPr>
              <w:ind w:left="180"/>
              <w:spacing w:after="0"/>
              <w:rPr>
                <w:sz w:val="20"/>
                <w:szCs w:val="20"/>
                <w:color w:val="auto"/>
              </w:rPr>
            </w:pPr>
            <w:r>
              <w:rPr>
                <w:rFonts w:ascii="Arial" w:cs="Arial" w:eastAsia="Arial" w:hAnsi="Arial"/>
                <w:sz w:val="9"/>
                <w:szCs w:val="9"/>
                <w:color w:val="auto"/>
              </w:rPr>
              <w:t>12/11/2025</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10,000</w:t>
            </w:r>
          </w:p>
        </w:tc>
        <w:tc>
          <w:tcPr>
            <w:tcW w:w="600" w:type="dxa"/>
            <w:vAlign w:val="bottom"/>
          </w:tcPr>
          <w:p>
            <w:pPr>
              <w:jc w:val="right"/>
              <w:spacing w:after="0"/>
              <w:rPr>
                <w:sz w:val="20"/>
                <w:szCs w:val="20"/>
                <w:color w:val="auto"/>
              </w:rPr>
            </w:pPr>
            <w:r>
              <w:rPr>
                <w:rFonts w:ascii="Arial" w:cs="Arial" w:eastAsia="Arial" w:hAnsi="Arial"/>
                <w:sz w:val="9"/>
                <w:szCs w:val="9"/>
                <w:color w:val="auto"/>
              </w:rPr>
              <w:t>9,855</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9,855</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(1,000,000 units)</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12/11/2020</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1,000</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1,000</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10,855</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10,855</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CRS Solutions Holdings, LLC (dba CRS Texas)</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Business Services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Second Lien Debt</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10.50%/1.50%</w:t>
            </w:r>
          </w:p>
        </w:tc>
        <w:tc>
          <w:tcPr>
            <w:tcW w:w="820" w:type="dxa"/>
            <w:vAlign w:val="bottom"/>
          </w:tcPr>
          <w:p>
            <w:pPr>
              <w:ind w:left="220"/>
              <w:spacing w:after="0"/>
              <w:rPr>
                <w:sz w:val="20"/>
                <w:szCs w:val="20"/>
                <w:color w:val="auto"/>
              </w:rPr>
            </w:pPr>
            <w:r>
              <w:rPr>
                <w:rFonts w:ascii="Arial" w:cs="Arial" w:eastAsia="Arial" w:hAnsi="Arial"/>
                <w:sz w:val="9"/>
                <w:szCs w:val="9"/>
                <w:color w:val="auto"/>
              </w:rPr>
              <w:t>3/14/2018</w:t>
            </w:r>
          </w:p>
        </w:tc>
        <w:tc>
          <w:tcPr>
            <w:tcW w:w="960" w:type="dxa"/>
            <w:vAlign w:val="bottom"/>
          </w:tcPr>
          <w:p>
            <w:pPr>
              <w:ind w:left="180"/>
              <w:spacing w:after="0"/>
              <w:rPr>
                <w:sz w:val="20"/>
                <w:szCs w:val="20"/>
                <w:color w:val="auto"/>
              </w:rPr>
            </w:pPr>
            <w:r>
              <w:rPr>
                <w:rFonts w:ascii="Arial" w:cs="Arial" w:eastAsia="Arial" w:hAnsi="Arial"/>
                <w:sz w:val="9"/>
                <w:szCs w:val="9"/>
                <w:color w:val="auto"/>
              </w:rPr>
              <w:t>4/30/2024</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11,305</w:t>
            </w:r>
          </w:p>
        </w:tc>
        <w:tc>
          <w:tcPr>
            <w:tcW w:w="600" w:type="dxa"/>
            <w:vAlign w:val="bottom"/>
          </w:tcPr>
          <w:p>
            <w:pPr>
              <w:jc w:val="right"/>
              <w:spacing w:after="0"/>
              <w:rPr>
                <w:sz w:val="20"/>
                <w:szCs w:val="20"/>
                <w:color w:val="auto"/>
              </w:rPr>
            </w:pPr>
            <w:r>
              <w:rPr>
                <w:rFonts w:ascii="Arial" w:cs="Arial" w:eastAsia="Arial" w:hAnsi="Arial"/>
                <w:sz w:val="9"/>
                <w:szCs w:val="9"/>
                <w:color w:val="auto"/>
              </w:rPr>
              <w:t>11,270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11,305</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(450,382 units) (h)(j)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3/14/2018</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488</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321</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11,758</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11,626</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Dataguise, Inc.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Information Technology Services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First Lien Debt (j)</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11.00%/0.00%</w:t>
            </w:r>
          </w:p>
        </w:tc>
        <w:tc>
          <w:tcPr>
            <w:tcW w:w="820" w:type="dxa"/>
            <w:vAlign w:val="bottom"/>
          </w:tcPr>
          <w:p>
            <w:pPr>
              <w:ind w:left="220"/>
              <w:spacing w:after="0"/>
              <w:rPr>
                <w:sz w:val="20"/>
                <w:szCs w:val="20"/>
                <w:color w:val="auto"/>
              </w:rPr>
            </w:pPr>
            <w:r>
              <w:rPr>
                <w:rFonts w:ascii="Arial" w:cs="Arial" w:eastAsia="Arial" w:hAnsi="Arial"/>
                <w:sz w:val="9"/>
                <w:szCs w:val="9"/>
                <w:color w:val="auto"/>
              </w:rPr>
              <w:t>12/31/2020</w:t>
            </w:r>
          </w:p>
        </w:tc>
        <w:tc>
          <w:tcPr>
            <w:tcW w:w="960" w:type="dxa"/>
            <w:vAlign w:val="bottom"/>
          </w:tcPr>
          <w:p>
            <w:pPr>
              <w:ind w:left="180"/>
              <w:spacing w:after="0"/>
              <w:rPr>
                <w:sz w:val="20"/>
                <w:szCs w:val="20"/>
                <w:color w:val="auto"/>
              </w:rPr>
            </w:pPr>
            <w:r>
              <w:rPr>
                <w:rFonts w:ascii="Arial" w:cs="Arial" w:eastAsia="Arial" w:hAnsi="Arial"/>
                <w:sz w:val="9"/>
                <w:szCs w:val="9"/>
                <w:color w:val="auto"/>
              </w:rPr>
              <w:t>12/31/2023</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20,000</w:t>
            </w:r>
          </w:p>
        </w:tc>
        <w:tc>
          <w:tcPr>
            <w:tcW w:w="600" w:type="dxa"/>
            <w:vAlign w:val="bottom"/>
          </w:tcPr>
          <w:p>
            <w:pPr>
              <w:jc w:val="right"/>
              <w:spacing w:after="0"/>
              <w:rPr>
                <w:sz w:val="20"/>
                <w:szCs w:val="20"/>
                <w:color w:val="auto"/>
              </w:rPr>
            </w:pPr>
            <w:r>
              <w:rPr>
                <w:rFonts w:ascii="Arial" w:cs="Arial" w:eastAsia="Arial" w:hAnsi="Arial"/>
                <w:sz w:val="9"/>
                <w:szCs w:val="9"/>
                <w:color w:val="auto"/>
              </w:rPr>
              <w:t>19,900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19,900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(909 shares) (j)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12/31/2020</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1,500</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1,500</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21,400</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21,400</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Diversified Search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Business Services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First Lien Debt (k)(r)</w:t>
            </w:r>
          </w:p>
        </w:tc>
        <w:tc>
          <w:tcPr>
            <w:tcW w:w="3160" w:type="dxa"/>
            <w:vAlign w:val="bottom"/>
          </w:tcPr>
          <w:p>
            <w:pPr>
              <w:ind w:left="2120"/>
              <w:spacing w:after="0"/>
              <w:rPr>
                <w:sz w:val="20"/>
                <w:szCs w:val="20"/>
                <w:color w:val="auto"/>
              </w:rPr>
            </w:pPr>
            <w:r>
              <w:rPr>
                <w:rFonts w:ascii="Arial" w:cs="Arial" w:eastAsia="Arial" w:hAnsi="Arial"/>
                <w:sz w:val="9"/>
                <w:szCs w:val="9"/>
                <w:color w:val="auto"/>
              </w:rPr>
              <w:t>(L + 8.00%) / (1.75%)</w:t>
            </w:r>
          </w:p>
        </w:tc>
        <w:tc>
          <w:tcPr>
            <w:tcW w:w="940" w:type="dxa"/>
            <w:vAlign w:val="bottom"/>
          </w:tcPr>
          <w:p>
            <w:pPr>
              <w:ind w:left="200"/>
              <w:spacing w:after="0"/>
              <w:rPr>
                <w:sz w:val="20"/>
                <w:szCs w:val="20"/>
                <w:color w:val="auto"/>
              </w:rPr>
            </w:pPr>
            <w:r>
              <w:rPr>
                <w:rFonts w:ascii="Arial" w:cs="Arial" w:eastAsia="Arial" w:hAnsi="Arial"/>
                <w:sz w:val="9"/>
                <w:szCs w:val="9"/>
                <w:color w:val="auto"/>
              </w:rPr>
              <w:t>9.75%/0.00%</w:t>
            </w:r>
          </w:p>
        </w:tc>
        <w:tc>
          <w:tcPr>
            <w:tcW w:w="820" w:type="dxa"/>
            <w:vAlign w:val="bottom"/>
          </w:tcPr>
          <w:p>
            <w:pPr>
              <w:ind w:left="220"/>
              <w:spacing w:after="0"/>
              <w:rPr>
                <w:sz w:val="20"/>
                <w:szCs w:val="20"/>
                <w:color w:val="auto"/>
              </w:rPr>
            </w:pPr>
            <w:r>
              <w:rPr>
                <w:rFonts w:ascii="Arial" w:cs="Arial" w:eastAsia="Arial" w:hAnsi="Arial"/>
                <w:sz w:val="9"/>
                <w:szCs w:val="9"/>
                <w:color w:val="auto"/>
              </w:rPr>
              <w:t>2/7/2019</w:t>
            </w:r>
          </w:p>
        </w:tc>
        <w:tc>
          <w:tcPr>
            <w:tcW w:w="960" w:type="dxa"/>
            <w:vAlign w:val="bottom"/>
          </w:tcPr>
          <w:p>
            <w:pPr>
              <w:ind w:left="180"/>
              <w:spacing w:after="0"/>
              <w:rPr>
                <w:sz w:val="20"/>
                <w:szCs w:val="20"/>
                <w:color w:val="auto"/>
              </w:rPr>
            </w:pPr>
            <w:r>
              <w:rPr>
                <w:rFonts w:ascii="Arial" w:cs="Arial" w:eastAsia="Arial" w:hAnsi="Arial"/>
                <w:sz w:val="9"/>
                <w:szCs w:val="9"/>
                <w:color w:val="auto"/>
              </w:rPr>
              <w:t>2/7/2024</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17,355</w:t>
            </w:r>
          </w:p>
        </w:tc>
        <w:tc>
          <w:tcPr>
            <w:tcW w:w="600" w:type="dxa"/>
            <w:vAlign w:val="bottom"/>
          </w:tcPr>
          <w:p>
            <w:pPr>
              <w:jc w:val="right"/>
              <w:spacing w:after="0"/>
              <w:rPr>
                <w:sz w:val="20"/>
                <w:szCs w:val="20"/>
                <w:color w:val="auto"/>
              </w:rPr>
            </w:pPr>
            <w:r>
              <w:rPr>
                <w:rFonts w:ascii="Arial" w:cs="Arial" w:eastAsia="Arial" w:hAnsi="Arial"/>
                <w:sz w:val="9"/>
                <w:szCs w:val="9"/>
                <w:color w:val="auto"/>
              </w:rPr>
              <w:t>17,159</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17,355</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(573 units) (h)(j)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2/7/2019</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593</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494</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17,752</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17,849</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EBL, LLC (EbLens)</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Retail</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Second Lien Debt (j)(p)</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12.00%/1.00%</w:t>
            </w:r>
          </w:p>
        </w:tc>
        <w:tc>
          <w:tcPr>
            <w:tcW w:w="820" w:type="dxa"/>
            <w:vAlign w:val="bottom"/>
          </w:tcPr>
          <w:p>
            <w:pPr>
              <w:ind w:left="220"/>
              <w:spacing w:after="0"/>
              <w:rPr>
                <w:sz w:val="20"/>
                <w:szCs w:val="20"/>
                <w:color w:val="auto"/>
              </w:rPr>
            </w:pPr>
            <w:r>
              <w:rPr>
                <w:rFonts w:ascii="Arial" w:cs="Arial" w:eastAsia="Arial" w:hAnsi="Arial"/>
                <w:sz w:val="9"/>
                <w:szCs w:val="9"/>
                <w:color w:val="auto"/>
              </w:rPr>
              <w:t>7/13/2017</w:t>
            </w:r>
          </w:p>
        </w:tc>
        <w:tc>
          <w:tcPr>
            <w:tcW w:w="960" w:type="dxa"/>
            <w:vAlign w:val="bottom"/>
          </w:tcPr>
          <w:p>
            <w:pPr>
              <w:ind w:left="180"/>
              <w:spacing w:after="0"/>
              <w:rPr>
                <w:sz w:val="20"/>
                <w:szCs w:val="20"/>
                <w:color w:val="auto"/>
              </w:rPr>
            </w:pPr>
            <w:r>
              <w:rPr>
                <w:rFonts w:ascii="Arial" w:cs="Arial" w:eastAsia="Arial" w:hAnsi="Arial"/>
                <w:sz w:val="9"/>
                <w:szCs w:val="9"/>
                <w:color w:val="auto"/>
              </w:rPr>
              <w:t>1/13/2023</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9,253</w:t>
            </w:r>
          </w:p>
        </w:tc>
        <w:tc>
          <w:tcPr>
            <w:tcW w:w="600" w:type="dxa"/>
            <w:vAlign w:val="bottom"/>
          </w:tcPr>
          <w:p>
            <w:pPr>
              <w:jc w:val="right"/>
              <w:spacing w:after="0"/>
              <w:rPr>
                <w:sz w:val="20"/>
                <w:szCs w:val="20"/>
                <w:color w:val="auto"/>
              </w:rPr>
            </w:pPr>
            <w:r>
              <w:rPr>
                <w:rFonts w:ascii="Arial" w:cs="Arial" w:eastAsia="Arial" w:hAnsi="Arial"/>
                <w:sz w:val="9"/>
                <w:szCs w:val="9"/>
                <w:color w:val="auto"/>
              </w:rPr>
              <w:t>9,214</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5,454</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(75,000 units) (j)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7/13/2017</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750</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9,964</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5,454</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ECM Industries,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Component Manufacturing</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Subordinated Debt (j)</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11.50%/0.00%</w:t>
            </w:r>
          </w:p>
        </w:tc>
        <w:tc>
          <w:tcPr>
            <w:tcW w:w="820" w:type="dxa"/>
            <w:vAlign w:val="bottom"/>
          </w:tcPr>
          <w:p>
            <w:pPr>
              <w:ind w:left="220"/>
              <w:spacing w:after="0"/>
              <w:rPr>
                <w:sz w:val="20"/>
                <w:szCs w:val="20"/>
                <w:color w:val="auto"/>
              </w:rPr>
            </w:pPr>
            <w:r>
              <w:rPr>
                <w:rFonts w:ascii="Arial" w:cs="Arial" w:eastAsia="Arial" w:hAnsi="Arial"/>
                <w:sz w:val="9"/>
                <w:szCs w:val="9"/>
                <w:color w:val="auto"/>
              </w:rPr>
              <w:t>4/30/2020</w:t>
            </w:r>
          </w:p>
        </w:tc>
        <w:tc>
          <w:tcPr>
            <w:tcW w:w="960" w:type="dxa"/>
            <w:vAlign w:val="bottom"/>
          </w:tcPr>
          <w:p>
            <w:pPr>
              <w:ind w:left="180"/>
              <w:spacing w:after="0"/>
              <w:rPr>
                <w:sz w:val="20"/>
                <w:szCs w:val="20"/>
                <w:color w:val="auto"/>
              </w:rPr>
            </w:pPr>
            <w:r>
              <w:rPr>
                <w:rFonts w:ascii="Arial" w:cs="Arial" w:eastAsia="Arial" w:hAnsi="Arial"/>
                <w:sz w:val="9"/>
                <w:szCs w:val="9"/>
                <w:color w:val="auto"/>
              </w:rPr>
              <w:t>5/23/2026</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11,500</w:t>
            </w:r>
          </w:p>
        </w:tc>
        <w:tc>
          <w:tcPr>
            <w:tcW w:w="600" w:type="dxa"/>
            <w:vAlign w:val="bottom"/>
          </w:tcPr>
          <w:p>
            <w:pPr>
              <w:jc w:val="right"/>
              <w:spacing w:after="0"/>
              <w:rPr>
                <w:sz w:val="20"/>
                <w:szCs w:val="20"/>
                <w:color w:val="auto"/>
              </w:rPr>
            </w:pPr>
            <w:r>
              <w:rPr>
                <w:rFonts w:ascii="Arial" w:cs="Arial" w:eastAsia="Arial" w:hAnsi="Arial"/>
                <w:sz w:val="9"/>
                <w:szCs w:val="9"/>
                <w:color w:val="auto"/>
              </w:rPr>
              <w:t>11,295</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11,500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(1,000,000 units) (h)(j)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4/30/2020</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1,000</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1,562</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12,295</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13,062</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Elements Brands,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Consumer Products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First Lien Debt</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12.25%/0.00%</w:t>
            </w:r>
          </w:p>
        </w:tc>
        <w:tc>
          <w:tcPr>
            <w:tcW w:w="820" w:type="dxa"/>
            <w:vAlign w:val="bottom"/>
          </w:tcPr>
          <w:p>
            <w:pPr>
              <w:ind w:left="220"/>
              <w:spacing w:after="0"/>
              <w:rPr>
                <w:sz w:val="20"/>
                <w:szCs w:val="20"/>
                <w:color w:val="auto"/>
              </w:rPr>
            </w:pPr>
            <w:r>
              <w:rPr>
                <w:rFonts w:ascii="Arial" w:cs="Arial" w:eastAsia="Arial" w:hAnsi="Arial"/>
                <w:sz w:val="9"/>
                <w:szCs w:val="9"/>
                <w:color w:val="auto"/>
              </w:rPr>
              <w:t>12/31/2020</w:t>
            </w:r>
          </w:p>
        </w:tc>
        <w:tc>
          <w:tcPr>
            <w:tcW w:w="960" w:type="dxa"/>
            <w:vAlign w:val="bottom"/>
          </w:tcPr>
          <w:p>
            <w:pPr>
              <w:ind w:left="180"/>
              <w:spacing w:after="0"/>
              <w:rPr>
                <w:sz w:val="20"/>
                <w:szCs w:val="20"/>
                <w:color w:val="auto"/>
              </w:rPr>
            </w:pPr>
            <w:r>
              <w:rPr>
                <w:rFonts w:ascii="Arial" w:cs="Arial" w:eastAsia="Arial" w:hAnsi="Arial"/>
                <w:sz w:val="9"/>
                <w:szCs w:val="9"/>
                <w:color w:val="auto"/>
              </w:rPr>
              <w:t>12/31/2025</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6,000</w:t>
            </w:r>
          </w:p>
        </w:tc>
        <w:tc>
          <w:tcPr>
            <w:tcW w:w="600" w:type="dxa"/>
            <w:vAlign w:val="bottom"/>
          </w:tcPr>
          <w:p>
            <w:pPr>
              <w:jc w:val="right"/>
              <w:spacing w:after="0"/>
              <w:rPr>
                <w:sz w:val="20"/>
                <w:szCs w:val="20"/>
                <w:color w:val="auto"/>
              </w:rPr>
            </w:pPr>
            <w:r>
              <w:rPr>
                <w:rFonts w:ascii="Arial" w:cs="Arial" w:eastAsia="Arial" w:hAnsi="Arial"/>
                <w:sz w:val="9"/>
                <w:szCs w:val="9"/>
                <w:color w:val="auto"/>
              </w:rPr>
              <w:t>5,967</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5,967</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Revolving Loan ($838 unfunded commitment) (i)(j)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ind w:left="200"/>
              <w:spacing w:after="0"/>
              <w:rPr>
                <w:sz w:val="20"/>
                <w:szCs w:val="20"/>
                <w:color w:val="auto"/>
              </w:rPr>
            </w:pPr>
            <w:r>
              <w:rPr>
                <w:rFonts w:ascii="Arial" w:cs="Arial" w:eastAsia="Arial" w:hAnsi="Arial"/>
                <w:sz w:val="9"/>
                <w:szCs w:val="9"/>
                <w:color w:val="auto"/>
              </w:rPr>
              <w:t>12.25%/0.00%</w:t>
            </w: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12/31/2020</w:t>
            </w:r>
          </w:p>
        </w:tc>
        <w:tc>
          <w:tcPr>
            <w:tcW w:w="960" w:type="dxa"/>
            <w:vAlign w:val="bottom"/>
            <w:tcBorders>
              <w:bottom w:val="single" w:sz="8" w:color="DBEEF4"/>
            </w:tcBorders>
            <w:shd w:val="clear" w:color="auto" w:fill="DBEEF4"/>
          </w:tcPr>
          <w:p>
            <w:pPr>
              <w:ind w:left="180"/>
              <w:spacing w:after="0"/>
              <w:rPr>
                <w:sz w:val="20"/>
                <w:szCs w:val="20"/>
                <w:color w:val="auto"/>
              </w:rPr>
            </w:pPr>
            <w:r>
              <w:rPr>
                <w:rFonts w:ascii="Arial" w:cs="Arial" w:eastAsia="Arial" w:hAnsi="Arial"/>
                <w:sz w:val="9"/>
                <w:szCs w:val="9"/>
                <w:color w:val="auto"/>
              </w:rPr>
              <w:t>12/31/2025</w:t>
            </w:r>
          </w:p>
        </w:tc>
        <w:tc>
          <w:tcPr>
            <w:tcW w:w="760" w:type="dxa"/>
            <w:vAlign w:val="bottom"/>
            <w:tcBorders>
              <w:bottom w:val="single" w:sz="8" w:color="DBEEF4"/>
            </w:tcBorders>
            <w:shd w:val="clear" w:color="auto" w:fill="DBEEF4"/>
          </w:tcPr>
          <w:p>
            <w:pPr>
              <w:jc w:val="right"/>
              <w:ind w:right="95"/>
              <w:spacing w:after="0"/>
              <w:rPr>
                <w:sz w:val="20"/>
                <w:szCs w:val="20"/>
                <w:color w:val="auto"/>
              </w:rPr>
            </w:pPr>
            <w:r>
              <w:rPr>
                <w:rFonts w:ascii="Arial" w:cs="Arial" w:eastAsia="Arial" w:hAnsi="Arial"/>
                <w:sz w:val="9"/>
                <w:szCs w:val="9"/>
                <w:color w:val="auto"/>
              </w:rPr>
              <w:t>2,162</w:t>
            </w: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2,146</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2,146</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8,113</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8,113</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French Transit,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Consumer Products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First Lien Debt (j)</w:t>
            </w:r>
          </w:p>
        </w:tc>
        <w:tc>
          <w:tcPr>
            <w:tcW w:w="3160" w:type="dxa"/>
            <w:vAlign w:val="bottom"/>
          </w:tcPr>
          <w:p>
            <w:pPr>
              <w:ind w:left="2120"/>
              <w:spacing w:after="0"/>
              <w:rPr>
                <w:sz w:val="20"/>
                <w:szCs w:val="20"/>
                <w:color w:val="auto"/>
              </w:rPr>
            </w:pPr>
            <w:r>
              <w:rPr>
                <w:rFonts w:ascii="Arial" w:cs="Arial" w:eastAsia="Arial" w:hAnsi="Arial"/>
                <w:sz w:val="9"/>
                <w:szCs w:val="9"/>
                <w:color w:val="auto"/>
              </w:rPr>
              <w:t>(L + 10.00%) / (2.25%)</w:t>
            </w:r>
          </w:p>
        </w:tc>
        <w:tc>
          <w:tcPr>
            <w:tcW w:w="940" w:type="dxa"/>
            <w:vAlign w:val="bottom"/>
          </w:tcPr>
          <w:p>
            <w:pPr>
              <w:ind w:left="200"/>
              <w:spacing w:after="0"/>
              <w:rPr>
                <w:sz w:val="20"/>
                <w:szCs w:val="20"/>
                <w:color w:val="auto"/>
              </w:rPr>
            </w:pPr>
            <w:r>
              <w:rPr>
                <w:rFonts w:ascii="Arial" w:cs="Arial" w:eastAsia="Arial" w:hAnsi="Arial"/>
                <w:sz w:val="9"/>
                <w:szCs w:val="9"/>
                <w:color w:val="auto"/>
              </w:rPr>
              <w:t>12.25%/0.00%</w:t>
            </w:r>
          </w:p>
        </w:tc>
        <w:tc>
          <w:tcPr>
            <w:tcW w:w="820" w:type="dxa"/>
            <w:vAlign w:val="bottom"/>
          </w:tcPr>
          <w:p>
            <w:pPr>
              <w:ind w:left="220"/>
              <w:spacing w:after="0"/>
              <w:rPr>
                <w:sz w:val="20"/>
                <w:szCs w:val="20"/>
                <w:color w:val="auto"/>
              </w:rPr>
            </w:pPr>
            <w:r>
              <w:rPr>
                <w:rFonts w:ascii="Arial" w:cs="Arial" w:eastAsia="Arial" w:hAnsi="Arial"/>
                <w:sz w:val="9"/>
                <w:szCs w:val="9"/>
                <w:color w:val="auto"/>
              </w:rPr>
              <w:t>6/21/2019</w:t>
            </w:r>
          </w:p>
        </w:tc>
        <w:tc>
          <w:tcPr>
            <w:tcW w:w="960" w:type="dxa"/>
            <w:vAlign w:val="bottom"/>
          </w:tcPr>
          <w:p>
            <w:pPr>
              <w:ind w:left="180"/>
              <w:spacing w:after="0"/>
              <w:rPr>
                <w:sz w:val="20"/>
                <w:szCs w:val="20"/>
                <w:color w:val="auto"/>
              </w:rPr>
            </w:pPr>
            <w:r>
              <w:rPr>
                <w:rFonts w:ascii="Arial" w:cs="Arial" w:eastAsia="Arial" w:hAnsi="Arial"/>
                <w:sz w:val="9"/>
                <w:szCs w:val="9"/>
                <w:color w:val="auto"/>
              </w:rPr>
              <w:t>6/21/2024</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4,116</w:t>
            </w:r>
          </w:p>
        </w:tc>
        <w:tc>
          <w:tcPr>
            <w:tcW w:w="600" w:type="dxa"/>
            <w:vAlign w:val="bottom"/>
          </w:tcPr>
          <w:p>
            <w:pPr>
              <w:jc w:val="right"/>
              <w:spacing w:after="0"/>
              <w:rPr>
                <w:sz w:val="20"/>
                <w:szCs w:val="20"/>
                <w:color w:val="auto"/>
              </w:rPr>
            </w:pPr>
            <w:r>
              <w:rPr>
                <w:rFonts w:ascii="Arial" w:cs="Arial" w:eastAsia="Arial" w:hAnsi="Arial"/>
                <w:sz w:val="9"/>
                <w:szCs w:val="9"/>
                <w:color w:val="auto"/>
              </w:rPr>
              <w:t>4,088</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4,116</w:t>
            </w: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spacing w:after="0"/>
              <w:rPr>
                <w:sz w:val="9"/>
                <w:szCs w:val="9"/>
                <w:color w:val="auto"/>
              </w:rPr>
            </w:pP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20"/>
              <w:spacing w:after="0"/>
              <w:rPr>
                <w:sz w:val="20"/>
                <w:szCs w:val="20"/>
                <w:color w:val="auto"/>
              </w:rPr>
            </w:pPr>
            <w:r>
              <w:rPr>
                <w:rFonts w:ascii="Arial" w:cs="Arial" w:eastAsia="Arial" w:hAnsi="Arial"/>
                <w:sz w:val="9"/>
                <w:szCs w:val="9"/>
                <w:i w:val="1"/>
                <w:iCs w:val="1"/>
                <w:color w:val="auto"/>
              </w:rPr>
              <w:t>Global Plasma Solutions, Inc.</w:t>
            </w:r>
          </w:p>
        </w:tc>
        <w:tc>
          <w:tcPr>
            <w:tcW w:w="3160" w:type="dxa"/>
            <w:vAlign w:val="bottom"/>
          </w:tcPr>
          <w:p>
            <w:pPr>
              <w:ind w:left="60"/>
              <w:spacing w:after="0"/>
              <w:rPr>
                <w:sz w:val="20"/>
                <w:szCs w:val="20"/>
                <w:color w:val="auto"/>
              </w:rPr>
            </w:pPr>
            <w:r>
              <w:rPr>
                <w:rFonts w:ascii="Arial" w:cs="Arial" w:eastAsia="Arial" w:hAnsi="Arial"/>
                <w:sz w:val="9"/>
                <w:szCs w:val="9"/>
                <w:color w:val="auto"/>
              </w:rPr>
              <w:t>Component Manufacturing</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Common Equity (947 shares) (j)</w:t>
            </w: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9/21/2018</w:t>
            </w: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9,995</w:t>
            </w:r>
          </w:p>
        </w:tc>
        <w:tc>
          <w:tcPr>
            <w:tcW w:w="720" w:type="dxa"/>
            <w:vAlign w:val="bottom"/>
            <w:shd w:val="clear" w:color="auto" w:fill="DBEEF4"/>
          </w:tcPr>
          <w:p>
            <w:pPr>
              <w:jc w:val="right"/>
              <w:ind w:right="55"/>
              <w:spacing w:after="0"/>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Gurobi Optimization,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Information Technology Services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Common Equity (3 shares)</w:t>
            </w: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12/19/2017</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592</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1,660</w:t>
            </w: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spacing w:after="0"/>
              <w:rPr>
                <w:sz w:val="9"/>
                <w:szCs w:val="9"/>
                <w:color w:val="auto"/>
              </w:rPr>
            </w:pP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20"/>
              <w:spacing w:after="0"/>
              <w:rPr>
                <w:sz w:val="20"/>
                <w:szCs w:val="20"/>
                <w:color w:val="auto"/>
              </w:rPr>
            </w:pPr>
            <w:r>
              <w:rPr>
                <w:rFonts w:ascii="Arial" w:cs="Arial" w:eastAsia="Arial" w:hAnsi="Arial"/>
                <w:sz w:val="9"/>
                <w:szCs w:val="9"/>
                <w:i w:val="1"/>
                <w:iCs w:val="1"/>
                <w:color w:val="auto"/>
              </w:rPr>
              <w:t>Haematologic Technologies, Inc.</w:t>
            </w:r>
          </w:p>
        </w:tc>
        <w:tc>
          <w:tcPr>
            <w:tcW w:w="3160" w:type="dxa"/>
            <w:vAlign w:val="bottom"/>
          </w:tcPr>
          <w:p>
            <w:pPr>
              <w:ind w:left="60"/>
              <w:spacing w:after="0"/>
              <w:rPr>
                <w:sz w:val="20"/>
                <w:szCs w:val="20"/>
                <w:color w:val="auto"/>
              </w:rPr>
            </w:pPr>
            <w:r>
              <w:rPr>
                <w:rFonts w:ascii="Arial" w:cs="Arial" w:eastAsia="Arial" w:hAnsi="Arial"/>
                <w:sz w:val="9"/>
                <w:szCs w:val="9"/>
                <w:color w:val="auto"/>
              </w:rPr>
              <w:t>Healthcare Services</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First Lien Debt (x)</w:t>
            </w:r>
          </w:p>
        </w:tc>
        <w:tc>
          <w:tcPr>
            <w:tcW w:w="3160" w:type="dxa"/>
            <w:vAlign w:val="bottom"/>
            <w:shd w:val="clear" w:color="auto" w:fill="DBEEF4"/>
          </w:tcPr>
          <w:p>
            <w:pPr>
              <w:ind w:left="2120"/>
              <w:spacing w:after="0"/>
              <w:rPr>
                <w:sz w:val="20"/>
                <w:szCs w:val="20"/>
                <w:color w:val="auto"/>
              </w:rPr>
            </w:pPr>
            <w:r>
              <w:rPr>
                <w:rFonts w:ascii="Arial" w:cs="Arial" w:eastAsia="Arial" w:hAnsi="Arial"/>
                <w:sz w:val="9"/>
                <w:szCs w:val="9"/>
                <w:color w:val="auto"/>
              </w:rPr>
              <w:t>(L + 8.25%) / (2.00%)</w:t>
            </w: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10.25%/0.00%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10/11/2019</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10/11/2024</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5,500</w:t>
            </w: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5,469</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5,500</w:t>
            </w: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Common Equity (549 units) (h)(j)</w:t>
            </w: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10/11/2019</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549</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255</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shd w:val="clear" w:color="auto" w:fill="DBEEF4"/>
          </w:tcPr>
          <w:p>
            <w:pPr>
              <w:spacing w:after="0"/>
              <w:rPr>
                <w:sz w:val="8"/>
                <w:szCs w:val="8"/>
                <w:color w:val="auto"/>
              </w:rPr>
            </w:pPr>
          </w:p>
        </w:tc>
        <w:tc>
          <w:tcPr>
            <w:tcW w:w="31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760" w:type="dxa"/>
            <w:vAlign w:val="bottom"/>
            <w:shd w:val="clear" w:color="auto" w:fill="DBEEF4"/>
          </w:tcPr>
          <w:p>
            <w:pPr>
              <w:spacing w:after="0"/>
              <w:rPr>
                <w:sz w:val="8"/>
                <w:szCs w:val="8"/>
                <w:color w:val="auto"/>
              </w:rPr>
            </w:pPr>
          </w:p>
        </w:tc>
        <w:tc>
          <w:tcPr>
            <w:tcW w:w="600" w:type="dxa"/>
            <w:vAlign w:val="bottom"/>
            <w:tcBorders>
              <w:top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6,018</w:t>
            </w:r>
          </w:p>
        </w:tc>
        <w:tc>
          <w:tcPr>
            <w:tcW w:w="160" w:type="dxa"/>
            <w:vAlign w:val="bottom"/>
            <w:shd w:val="clear" w:color="auto" w:fill="DBEEF4"/>
          </w:tcPr>
          <w:p>
            <w:pPr>
              <w:spacing w:after="0"/>
              <w:rPr>
                <w:sz w:val="8"/>
                <w:szCs w:val="8"/>
                <w:color w:val="auto"/>
              </w:rPr>
            </w:pPr>
          </w:p>
        </w:tc>
        <w:tc>
          <w:tcPr>
            <w:tcW w:w="580" w:type="dxa"/>
            <w:vAlign w:val="bottom"/>
            <w:tcBorders>
              <w:top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5,755</w:t>
            </w:r>
          </w:p>
        </w:tc>
        <w:tc>
          <w:tcPr>
            <w:tcW w:w="720" w:type="dxa"/>
            <w:vAlign w:val="bottom"/>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40" w:type="dxa"/>
            <w:vAlign w:val="bottom"/>
          </w:tcPr>
          <w:p>
            <w:pPr>
              <w:ind w:left="20"/>
              <w:spacing w:after="0"/>
              <w:rPr>
                <w:sz w:val="20"/>
                <w:szCs w:val="20"/>
                <w:color w:val="auto"/>
              </w:rPr>
            </w:pPr>
            <w:r>
              <w:rPr>
                <w:rFonts w:ascii="Arial" w:cs="Arial" w:eastAsia="Arial" w:hAnsi="Arial"/>
                <w:sz w:val="9"/>
                <w:szCs w:val="9"/>
                <w:i w:val="1"/>
                <w:iCs w:val="1"/>
                <w:color w:val="auto"/>
              </w:rPr>
              <w:t>Hallmark Health Care Solutions, Inc.</w:t>
            </w:r>
          </w:p>
        </w:tc>
        <w:tc>
          <w:tcPr>
            <w:tcW w:w="3160" w:type="dxa"/>
            <w:vAlign w:val="bottom"/>
          </w:tcPr>
          <w:p>
            <w:pPr>
              <w:ind w:left="60"/>
              <w:spacing w:after="0"/>
              <w:rPr>
                <w:sz w:val="20"/>
                <w:szCs w:val="20"/>
                <w:color w:val="auto"/>
              </w:rPr>
            </w:pPr>
            <w:r>
              <w:rPr>
                <w:rFonts w:ascii="Arial" w:cs="Arial" w:eastAsia="Arial" w:hAnsi="Arial"/>
                <w:sz w:val="9"/>
                <w:szCs w:val="9"/>
                <w:color w:val="auto"/>
              </w:rPr>
              <w:t>Healthcare Services</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First Lien Debt (j)(ae)</w:t>
            </w:r>
          </w:p>
        </w:tc>
        <w:tc>
          <w:tcPr>
            <w:tcW w:w="3160" w:type="dxa"/>
            <w:vAlign w:val="bottom"/>
            <w:shd w:val="clear" w:color="auto" w:fill="DBEEF4"/>
          </w:tcPr>
          <w:p>
            <w:pPr>
              <w:ind w:left="2120"/>
              <w:spacing w:after="0"/>
              <w:rPr>
                <w:sz w:val="20"/>
                <w:szCs w:val="20"/>
                <w:color w:val="auto"/>
              </w:rPr>
            </w:pPr>
            <w:r>
              <w:rPr>
                <w:rFonts w:ascii="Arial" w:cs="Arial" w:eastAsia="Arial" w:hAnsi="Arial"/>
                <w:sz w:val="9"/>
                <w:szCs w:val="9"/>
                <w:color w:val="auto"/>
              </w:rPr>
              <w:t>(L + 7.25%) / (1.50%)</w:t>
            </w: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8.75%/0.00%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12/4/2020</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12/4/2025</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8,500</w:t>
            </w: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8,437</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8,437</w:t>
            </w: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Common Equity (750,000 units) (j)</w:t>
            </w: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12/4/2020</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750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750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shd w:val="clear" w:color="auto" w:fill="DBEEF4"/>
          </w:tcPr>
          <w:p>
            <w:pPr>
              <w:spacing w:after="0"/>
              <w:rPr>
                <w:sz w:val="8"/>
                <w:szCs w:val="8"/>
                <w:color w:val="auto"/>
              </w:rPr>
            </w:pPr>
          </w:p>
        </w:tc>
        <w:tc>
          <w:tcPr>
            <w:tcW w:w="31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760" w:type="dxa"/>
            <w:vAlign w:val="bottom"/>
            <w:shd w:val="clear" w:color="auto" w:fill="DBEEF4"/>
          </w:tcPr>
          <w:p>
            <w:pPr>
              <w:spacing w:after="0"/>
              <w:rPr>
                <w:sz w:val="8"/>
                <w:szCs w:val="8"/>
                <w:color w:val="auto"/>
              </w:rPr>
            </w:pPr>
          </w:p>
        </w:tc>
        <w:tc>
          <w:tcPr>
            <w:tcW w:w="600" w:type="dxa"/>
            <w:vAlign w:val="bottom"/>
            <w:tcBorders>
              <w:top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9,187</w:t>
            </w:r>
          </w:p>
        </w:tc>
        <w:tc>
          <w:tcPr>
            <w:tcW w:w="160" w:type="dxa"/>
            <w:vAlign w:val="bottom"/>
            <w:shd w:val="clear" w:color="auto" w:fill="DBEEF4"/>
          </w:tcPr>
          <w:p>
            <w:pPr>
              <w:spacing w:after="0"/>
              <w:rPr>
                <w:sz w:val="8"/>
                <w:szCs w:val="8"/>
                <w:color w:val="auto"/>
              </w:rPr>
            </w:pPr>
          </w:p>
        </w:tc>
        <w:tc>
          <w:tcPr>
            <w:tcW w:w="580" w:type="dxa"/>
            <w:vAlign w:val="bottom"/>
            <w:tcBorders>
              <w:top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9,187</w:t>
            </w:r>
          </w:p>
        </w:tc>
        <w:tc>
          <w:tcPr>
            <w:tcW w:w="720" w:type="dxa"/>
            <w:vAlign w:val="bottom"/>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40" w:type="dxa"/>
            <w:vAlign w:val="bottom"/>
          </w:tcPr>
          <w:p>
            <w:pPr>
              <w:ind w:left="20"/>
              <w:spacing w:after="0"/>
              <w:rPr>
                <w:sz w:val="20"/>
                <w:szCs w:val="20"/>
                <w:color w:val="auto"/>
              </w:rPr>
            </w:pPr>
            <w:r>
              <w:rPr>
                <w:rFonts w:ascii="Arial" w:cs="Arial" w:eastAsia="Arial" w:hAnsi="Arial"/>
                <w:sz w:val="9"/>
                <w:szCs w:val="9"/>
                <w:i w:val="1"/>
                <w:iCs w:val="1"/>
                <w:color w:val="auto"/>
              </w:rPr>
              <w:t>Healthfuse, LLC</w:t>
            </w:r>
          </w:p>
        </w:tc>
        <w:tc>
          <w:tcPr>
            <w:tcW w:w="3160" w:type="dxa"/>
            <w:vAlign w:val="bottom"/>
          </w:tcPr>
          <w:p>
            <w:pPr>
              <w:ind w:left="60"/>
              <w:spacing w:after="0"/>
              <w:rPr>
                <w:sz w:val="20"/>
                <w:szCs w:val="20"/>
                <w:color w:val="auto"/>
              </w:rPr>
            </w:pPr>
            <w:r>
              <w:rPr>
                <w:rFonts w:ascii="Arial" w:cs="Arial" w:eastAsia="Arial" w:hAnsi="Arial"/>
                <w:sz w:val="9"/>
                <w:szCs w:val="9"/>
                <w:color w:val="auto"/>
              </w:rPr>
              <w:t>Healthcare Services</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First Lien Debt (af)</w:t>
            </w:r>
          </w:p>
        </w:tc>
        <w:tc>
          <w:tcPr>
            <w:tcW w:w="3160" w:type="dxa"/>
            <w:vAlign w:val="bottom"/>
            <w:shd w:val="clear" w:color="auto" w:fill="DBEEF4"/>
          </w:tcPr>
          <w:p>
            <w:pPr>
              <w:ind w:left="2120"/>
              <w:spacing w:after="0"/>
              <w:rPr>
                <w:sz w:val="20"/>
                <w:szCs w:val="20"/>
                <w:color w:val="auto"/>
              </w:rPr>
            </w:pPr>
            <w:r>
              <w:rPr>
                <w:rFonts w:ascii="Arial" w:cs="Arial" w:eastAsia="Arial" w:hAnsi="Arial"/>
                <w:sz w:val="9"/>
                <w:szCs w:val="9"/>
                <w:color w:val="auto"/>
              </w:rPr>
              <w:t>(L + 7.25%) / (1.00%)</w:t>
            </w: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8.25%/0.00%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11/13/2020</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11/13/2025</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6,000</w:t>
            </w: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5,960</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5,960</w:t>
            </w: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Preferred Equity (197,980 units)</w:t>
            </w: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11/13/2020</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750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750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shd w:val="clear" w:color="auto" w:fill="DBEEF4"/>
          </w:tcPr>
          <w:p>
            <w:pPr>
              <w:spacing w:after="0"/>
              <w:rPr>
                <w:sz w:val="8"/>
                <w:szCs w:val="8"/>
                <w:color w:val="auto"/>
              </w:rPr>
            </w:pPr>
          </w:p>
        </w:tc>
        <w:tc>
          <w:tcPr>
            <w:tcW w:w="31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760" w:type="dxa"/>
            <w:vAlign w:val="bottom"/>
            <w:shd w:val="clear" w:color="auto" w:fill="DBEEF4"/>
          </w:tcPr>
          <w:p>
            <w:pPr>
              <w:spacing w:after="0"/>
              <w:rPr>
                <w:sz w:val="8"/>
                <w:szCs w:val="8"/>
                <w:color w:val="auto"/>
              </w:rPr>
            </w:pPr>
          </w:p>
        </w:tc>
        <w:tc>
          <w:tcPr>
            <w:tcW w:w="600" w:type="dxa"/>
            <w:vAlign w:val="bottom"/>
            <w:tcBorders>
              <w:top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6,710</w:t>
            </w:r>
          </w:p>
        </w:tc>
        <w:tc>
          <w:tcPr>
            <w:tcW w:w="160" w:type="dxa"/>
            <w:vAlign w:val="bottom"/>
            <w:shd w:val="clear" w:color="auto" w:fill="DBEEF4"/>
          </w:tcPr>
          <w:p>
            <w:pPr>
              <w:spacing w:after="0"/>
              <w:rPr>
                <w:sz w:val="8"/>
                <w:szCs w:val="8"/>
                <w:color w:val="auto"/>
              </w:rPr>
            </w:pPr>
          </w:p>
        </w:tc>
        <w:tc>
          <w:tcPr>
            <w:tcW w:w="580" w:type="dxa"/>
            <w:vAlign w:val="bottom"/>
            <w:tcBorders>
              <w:top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6,710</w:t>
            </w:r>
          </w:p>
        </w:tc>
        <w:tc>
          <w:tcPr>
            <w:tcW w:w="720" w:type="dxa"/>
            <w:vAlign w:val="bottom"/>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40" w:type="dxa"/>
            <w:vAlign w:val="bottom"/>
          </w:tcPr>
          <w:p>
            <w:pPr>
              <w:ind w:left="20"/>
              <w:spacing w:after="0"/>
              <w:rPr>
                <w:sz w:val="20"/>
                <w:szCs w:val="20"/>
                <w:color w:val="auto"/>
              </w:rPr>
            </w:pPr>
            <w:r>
              <w:rPr>
                <w:rFonts w:ascii="Arial" w:cs="Arial" w:eastAsia="Arial" w:hAnsi="Arial"/>
                <w:sz w:val="9"/>
                <w:szCs w:val="9"/>
                <w:i w:val="1"/>
                <w:iCs w:val="1"/>
                <w:color w:val="auto"/>
              </w:rPr>
              <w:t>Hilco Plastics Holdings, LLC (dba Hilco Technologies)</w:t>
            </w:r>
          </w:p>
        </w:tc>
        <w:tc>
          <w:tcPr>
            <w:tcW w:w="3160" w:type="dxa"/>
            <w:vAlign w:val="bottom"/>
          </w:tcPr>
          <w:p>
            <w:pPr>
              <w:ind w:left="60"/>
              <w:spacing w:after="0"/>
              <w:rPr>
                <w:sz w:val="20"/>
                <w:szCs w:val="20"/>
                <w:color w:val="auto"/>
              </w:rPr>
            </w:pPr>
            <w:r>
              <w:rPr>
                <w:rFonts w:ascii="Arial" w:cs="Arial" w:eastAsia="Arial" w:hAnsi="Arial"/>
                <w:sz w:val="9"/>
                <w:szCs w:val="9"/>
                <w:color w:val="auto"/>
              </w:rPr>
              <w:t>Component Manufacturing</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Second Lien Debt (j)</w:t>
            </w: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11.50%/1.50%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9/23/2016</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12/31/2019</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10,301</w:t>
            </w: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10,301</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8,878</w:t>
            </w: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Revolving Loan (j)</w:t>
            </w:r>
          </w:p>
        </w:tc>
        <w:tc>
          <w:tcPr>
            <w:tcW w:w="3160" w:type="dxa"/>
            <w:vAlign w:val="bottom"/>
          </w:tcPr>
          <w:p>
            <w:pPr>
              <w:ind w:left="2120"/>
              <w:spacing w:after="0"/>
              <w:rPr>
                <w:sz w:val="20"/>
                <w:szCs w:val="20"/>
                <w:color w:val="auto"/>
              </w:rPr>
            </w:pPr>
            <w:r>
              <w:rPr>
                <w:rFonts w:ascii="Arial" w:cs="Arial" w:eastAsia="Arial" w:hAnsi="Arial"/>
                <w:sz w:val="9"/>
                <w:szCs w:val="9"/>
                <w:color w:val="auto"/>
              </w:rPr>
              <w:t>(L + 6.50%) / (0.00%)</w:t>
            </w:r>
          </w:p>
        </w:tc>
        <w:tc>
          <w:tcPr>
            <w:tcW w:w="940" w:type="dxa"/>
            <w:vAlign w:val="bottom"/>
          </w:tcPr>
          <w:p>
            <w:pPr>
              <w:ind w:left="200"/>
              <w:spacing w:after="0"/>
              <w:rPr>
                <w:sz w:val="20"/>
                <w:szCs w:val="20"/>
                <w:color w:val="auto"/>
              </w:rPr>
            </w:pPr>
            <w:r>
              <w:rPr>
                <w:rFonts w:ascii="Arial" w:cs="Arial" w:eastAsia="Arial" w:hAnsi="Arial"/>
                <w:sz w:val="9"/>
                <w:szCs w:val="9"/>
                <w:color w:val="auto"/>
              </w:rPr>
              <w:t>6.65%/0.00%</w:t>
            </w:r>
          </w:p>
        </w:tc>
        <w:tc>
          <w:tcPr>
            <w:tcW w:w="820" w:type="dxa"/>
            <w:vAlign w:val="bottom"/>
          </w:tcPr>
          <w:p>
            <w:pPr>
              <w:ind w:left="220"/>
              <w:spacing w:after="0"/>
              <w:rPr>
                <w:sz w:val="20"/>
                <w:szCs w:val="20"/>
                <w:color w:val="auto"/>
              </w:rPr>
            </w:pPr>
            <w:r>
              <w:rPr>
                <w:rFonts w:ascii="Arial" w:cs="Arial" w:eastAsia="Arial" w:hAnsi="Arial"/>
                <w:sz w:val="9"/>
                <w:szCs w:val="9"/>
                <w:color w:val="auto"/>
              </w:rPr>
              <w:t>12/20/2019</w:t>
            </w:r>
          </w:p>
        </w:tc>
        <w:tc>
          <w:tcPr>
            <w:tcW w:w="960" w:type="dxa"/>
            <w:vAlign w:val="bottom"/>
          </w:tcPr>
          <w:p>
            <w:pPr>
              <w:ind w:left="180"/>
              <w:spacing w:after="0"/>
              <w:rPr>
                <w:sz w:val="20"/>
                <w:szCs w:val="20"/>
                <w:color w:val="auto"/>
              </w:rPr>
            </w:pPr>
            <w:r>
              <w:rPr>
                <w:rFonts w:ascii="Arial" w:cs="Arial" w:eastAsia="Arial" w:hAnsi="Arial"/>
                <w:sz w:val="9"/>
                <w:szCs w:val="9"/>
                <w:color w:val="auto"/>
              </w:rPr>
              <w:t>12/15/2019</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5,962</w:t>
            </w:r>
          </w:p>
        </w:tc>
        <w:tc>
          <w:tcPr>
            <w:tcW w:w="600" w:type="dxa"/>
            <w:vAlign w:val="bottom"/>
          </w:tcPr>
          <w:p>
            <w:pPr>
              <w:jc w:val="right"/>
              <w:spacing w:after="0"/>
              <w:rPr>
                <w:sz w:val="20"/>
                <w:szCs w:val="20"/>
                <w:color w:val="auto"/>
              </w:rPr>
            </w:pPr>
            <w:r>
              <w:rPr>
                <w:rFonts w:ascii="Arial" w:cs="Arial" w:eastAsia="Arial" w:hAnsi="Arial"/>
                <w:sz w:val="9"/>
                <w:szCs w:val="9"/>
                <w:color w:val="auto"/>
              </w:rPr>
              <w:t>5,962</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5,962</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First Lien Debt (j)</w:t>
            </w:r>
          </w:p>
        </w:tc>
        <w:tc>
          <w:tcPr>
            <w:tcW w:w="3160" w:type="dxa"/>
            <w:vAlign w:val="bottom"/>
            <w:shd w:val="clear" w:color="auto" w:fill="DBEEF4"/>
          </w:tcPr>
          <w:p>
            <w:pPr>
              <w:ind w:left="2120"/>
              <w:spacing w:after="0"/>
              <w:rPr>
                <w:sz w:val="20"/>
                <w:szCs w:val="20"/>
                <w:color w:val="auto"/>
              </w:rPr>
            </w:pPr>
            <w:r>
              <w:rPr>
                <w:rFonts w:ascii="Arial" w:cs="Arial" w:eastAsia="Arial" w:hAnsi="Arial"/>
                <w:sz w:val="9"/>
                <w:szCs w:val="9"/>
                <w:color w:val="auto"/>
              </w:rPr>
              <w:t>(L + 6.95%) / (0.00%)</w:t>
            </w: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7.10%/0.00%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12/20/2019</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12/15/2019</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5,092</w:t>
            </w: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5,092</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5,092</w:t>
            </w: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Preferred Equity (1,000,000 units) (h)(j)</w:t>
            </w: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4/18/2018</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1,000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(72,507 units) (h)(j)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9/23/2016</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473</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22,828</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19,932</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Hub Acquisition Sub, LLC (dba Hub Pen)</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Promotional products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Second Lien Debt (k)</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13.00%/0.00%</w:t>
            </w:r>
          </w:p>
        </w:tc>
        <w:tc>
          <w:tcPr>
            <w:tcW w:w="820" w:type="dxa"/>
            <w:vAlign w:val="bottom"/>
          </w:tcPr>
          <w:p>
            <w:pPr>
              <w:ind w:left="220"/>
              <w:spacing w:after="0"/>
              <w:rPr>
                <w:sz w:val="20"/>
                <w:szCs w:val="20"/>
                <w:color w:val="auto"/>
              </w:rPr>
            </w:pPr>
            <w:r>
              <w:rPr>
                <w:rFonts w:ascii="Arial" w:cs="Arial" w:eastAsia="Arial" w:hAnsi="Arial"/>
                <w:sz w:val="9"/>
                <w:szCs w:val="9"/>
                <w:color w:val="auto"/>
              </w:rPr>
              <w:t>3/23/2016</w:t>
            </w:r>
          </w:p>
        </w:tc>
        <w:tc>
          <w:tcPr>
            <w:tcW w:w="960" w:type="dxa"/>
            <w:vAlign w:val="bottom"/>
          </w:tcPr>
          <w:p>
            <w:pPr>
              <w:ind w:left="180"/>
              <w:spacing w:after="0"/>
              <w:rPr>
                <w:sz w:val="20"/>
                <w:szCs w:val="20"/>
                <w:color w:val="auto"/>
              </w:rPr>
            </w:pPr>
            <w:r>
              <w:rPr>
                <w:rFonts w:ascii="Arial" w:cs="Arial" w:eastAsia="Arial" w:hAnsi="Arial"/>
                <w:sz w:val="9"/>
                <w:szCs w:val="9"/>
                <w:color w:val="auto"/>
              </w:rPr>
              <w:t>3/31/2023</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25,000</w:t>
            </w:r>
          </w:p>
        </w:tc>
        <w:tc>
          <w:tcPr>
            <w:tcW w:w="600" w:type="dxa"/>
            <w:vAlign w:val="bottom"/>
          </w:tcPr>
          <w:p>
            <w:pPr>
              <w:jc w:val="right"/>
              <w:spacing w:after="0"/>
              <w:rPr>
                <w:sz w:val="20"/>
                <w:szCs w:val="20"/>
                <w:color w:val="auto"/>
              </w:rPr>
            </w:pPr>
            <w:r>
              <w:rPr>
                <w:rFonts w:ascii="Arial" w:cs="Arial" w:eastAsia="Arial" w:hAnsi="Arial"/>
                <w:sz w:val="9"/>
                <w:szCs w:val="9"/>
                <w:color w:val="auto"/>
              </w:rPr>
              <w:t>24,976</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24,106</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Common Equity (3,750 units)</w:t>
            </w: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3/23/2016</w:t>
            </w: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131</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283</w:t>
            </w: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Preferred Equity (868 units) (j)</w:t>
            </w: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10/16/2020</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154</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158</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40" w:type="dxa"/>
            <w:vAlign w:val="bottom"/>
            <w:shd w:val="clear" w:color="auto" w:fill="DBEEF4"/>
          </w:tcPr>
          <w:p>
            <w:pPr>
              <w:spacing w:after="0"/>
              <w:rPr>
                <w:sz w:val="8"/>
                <w:szCs w:val="8"/>
                <w:color w:val="auto"/>
              </w:rPr>
            </w:pPr>
          </w:p>
        </w:tc>
        <w:tc>
          <w:tcPr>
            <w:tcW w:w="31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760" w:type="dxa"/>
            <w:vAlign w:val="bottom"/>
            <w:shd w:val="clear" w:color="auto" w:fill="DBEEF4"/>
          </w:tcPr>
          <w:p>
            <w:pPr>
              <w:spacing w:after="0"/>
              <w:rPr>
                <w:sz w:val="8"/>
                <w:szCs w:val="8"/>
                <w:color w:val="auto"/>
              </w:rPr>
            </w:pPr>
          </w:p>
        </w:tc>
        <w:tc>
          <w:tcPr>
            <w:tcW w:w="600" w:type="dxa"/>
            <w:vAlign w:val="bottom"/>
            <w:tcBorders>
              <w:top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25,261</w:t>
            </w:r>
          </w:p>
        </w:tc>
        <w:tc>
          <w:tcPr>
            <w:tcW w:w="160" w:type="dxa"/>
            <w:vAlign w:val="bottom"/>
            <w:shd w:val="clear" w:color="auto" w:fill="DBEEF4"/>
          </w:tcPr>
          <w:p>
            <w:pPr>
              <w:spacing w:after="0"/>
              <w:rPr>
                <w:sz w:val="8"/>
                <w:szCs w:val="8"/>
                <w:color w:val="auto"/>
              </w:rPr>
            </w:pPr>
          </w:p>
        </w:tc>
        <w:tc>
          <w:tcPr>
            <w:tcW w:w="580" w:type="dxa"/>
            <w:vAlign w:val="bottom"/>
            <w:tcBorders>
              <w:top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24,547</w:t>
            </w:r>
          </w:p>
        </w:tc>
        <w:tc>
          <w:tcPr>
            <w:tcW w:w="720" w:type="dxa"/>
            <w:vAlign w:val="bottom"/>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6 %</w:t>
            </w:r>
          </w:p>
        </w:tc>
        <w:tc>
          <w:tcPr>
            <w:tcW w:w="0" w:type="dxa"/>
            <w:vAlign w:val="bottom"/>
          </w:tcPr>
          <w:p>
            <w:pPr>
              <w:spacing w:after="0"/>
              <w:rPr>
                <w:sz w:val="1"/>
                <w:szCs w:val="1"/>
                <w:color w:val="auto"/>
              </w:rPr>
            </w:pPr>
          </w:p>
        </w:tc>
      </w:tr>
      <w:tr>
        <w:trPr>
          <w:trHeight w:val="108"/>
        </w:trPr>
        <w:tc>
          <w:tcPr>
            <w:tcW w:w="2540" w:type="dxa"/>
            <w:vAlign w:val="bottom"/>
          </w:tcPr>
          <w:p>
            <w:pPr>
              <w:ind w:left="20"/>
              <w:spacing w:after="0"/>
              <w:rPr>
                <w:sz w:val="20"/>
                <w:szCs w:val="20"/>
                <w:color w:val="auto"/>
              </w:rPr>
            </w:pPr>
            <w:r>
              <w:rPr>
                <w:rFonts w:ascii="Arial" w:cs="Arial" w:eastAsia="Arial" w:hAnsi="Arial"/>
                <w:sz w:val="9"/>
                <w:szCs w:val="9"/>
                <w:i w:val="1"/>
                <w:iCs w:val="1"/>
                <w:color w:val="auto"/>
              </w:rPr>
              <w:t>IBH Holdings, LLC (fka Inflexxion, Inc.)</w:t>
            </w:r>
          </w:p>
        </w:tc>
        <w:tc>
          <w:tcPr>
            <w:tcW w:w="3160" w:type="dxa"/>
            <w:vAlign w:val="bottom"/>
          </w:tcPr>
          <w:p>
            <w:pPr>
              <w:ind w:left="60"/>
              <w:spacing w:after="0"/>
              <w:rPr>
                <w:sz w:val="20"/>
                <w:szCs w:val="20"/>
                <w:color w:val="auto"/>
              </w:rPr>
            </w:pPr>
            <w:r>
              <w:rPr>
                <w:rFonts w:ascii="Arial" w:cs="Arial" w:eastAsia="Arial" w:hAnsi="Arial"/>
                <w:sz w:val="9"/>
                <w:szCs w:val="9"/>
                <w:color w:val="auto"/>
              </w:rPr>
              <w:t>Business Services</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Common Equity (150,000 units)</w:t>
            </w: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6/20/2018</w:t>
            </w: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235</w:t>
            </w:r>
          </w:p>
        </w:tc>
        <w:tc>
          <w:tcPr>
            <w:tcW w:w="720" w:type="dxa"/>
            <w:vAlign w:val="bottom"/>
            <w:shd w:val="clear" w:color="auto" w:fill="DBEEF4"/>
          </w:tcPr>
          <w:p>
            <w:pPr>
              <w:jc w:val="right"/>
              <w:ind w:right="55"/>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Ipro Tech,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Information Technology Services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First Lien Debt (j)(u)</w:t>
            </w:r>
          </w:p>
        </w:tc>
        <w:tc>
          <w:tcPr>
            <w:tcW w:w="3160" w:type="dxa"/>
            <w:vAlign w:val="bottom"/>
          </w:tcPr>
          <w:p>
            <w:pPr>
              <w:ind w:left="2120"/>
              <w:spacing w:after="0"/>
              <w:rPr>
                <w:sz w:val="20"/>
                <w:szCs w:val="20"/>
                <w:color w:val="auto"/>
              </w:rPr>
            </w:pPr>
            <w:r>
              <w:rPr>
                <w:rFonts w:ascii="Arial" w:cs="Arial" w:eastAsia="Arial" w:hAnsi="Arial"/>
                <w:sz w:val="9"/>
                <w:szCs w:val="9"/>
                <w:color w:val="auto"/>
              </w:rPr>
              <w:t>(L + 8.50%) / (2.00%)</w:t>
            </w:r>
          </w:p>
        </w:tc>
        <w:tc>
          <w:tcPr>
            <w:tcW w:w="940" w:type="dxa"/>
            <w:vAlign w:val="bottom"/>
          </w:tcPr>
          <w:p>
            <w:pPr>
              <w:ind w:left="200"/>
              <w:spacing w:after="0"/>
              <w:rPr>
                <w:sz w:val="20"/>
                <w:szCs w:val="20"/>
                <w:color w:val="auto"/>
              </w:rPr>
            </w:pPr>
            <w:r>
              <w:rPr>
                <w:rFonts w:ascii="Arial" w:cs="Arial" w:eastAsia="Arial" w:hAnsi="Arial"/>
                <w:sz w:val="9"/>
                <w:szCs w:val="9"/>
                <w:color w:val="auto"/>
              </w:rPr>
              <w:t>10.50%/0.00%</w:t>
            </w:r>
          </w:p>
        </w:tc>
        <w:tc>
          <w:tcPr>
            <w:tcW w:w="820" w:type="dxa"/>
            <w:vAlign w:val="bottom"/>
          </w:tcPr>
          <w:p>
            <w:pPr>
              <w:ind w:left="220"/>
              <w:spacing w:after="0"/>
              <w:rPr>
                <w:sz w:val="20"/>
                <w:szCs w:val="20"/>
                <w:color w:val="auto"/>
              </w:rPr>
            </w:pPr>
            <w:r>
              <w:rPr>
                <w:rFonts w:ascii="Arial" w:cs="Arial" w:eastAsia="Arial" w:hAnsi="Arial"/>
                <w:sz w:val="9"/>
                <w:szCs w:val="9"/>
                <w:color w:val="auto"/>
              </w:rPr>
              <w:t>6/30/2020</w:t>
            </w:r>
          </w:p>
        </w:tc>
        <w:tc>
          <w:tcPr>
            <w:tcW w:w="960" w:type="dxa"/>
            <w:vAlign w:val="bottom"/>
          </w:tcPr>
          <w:p>
            <w:pPr>
              <w:ind w:left="180"/>
              <w:spacing w:after="0"/>
              <w:rPr>
                <w:sz w:val="20"/>
                <w:szCs w:val="20"/>
                <w:color w:val="auto"/>
              </w:rPr>
            </w:pPr>
            <w:r>
              <w:rPr>
                <w:rFonts w:ascii="Arial" w:cs="Arial" w:eastAsia="Arial" w:hAnsi="Arial"/>
                <w:sz w:val="9"/>
                <w:szCs w:val="9"/>
                <w:color w:val="auto"/>
              </w:rPr>
              <w:t>6/30/2025</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2,469</w:t>
            </w:r>
          </w:p>
        </w:tc>
        <w:tc>
          <w:tcPr>
            <w:tcW w:w="600" w:type="dxa"/>
            <w:vAlign w:val="bottom"/>
          </w:tcPr>
          <w:p>
            <w:pPr>
              <w:jc w:val="right"/>
              <w:spacing w:after="0"/>
              <w:rPr>
                <w:sz w:val="20"/>
                <w:szCs w:val="20"/>
                <w:color w:val="auto"/>
              </w:rPr>
            </w:pPr>
            <w:r>
              <w:rPr>
                <w:rFonts w:ascii="Arial" w:cs="Arial" w:eastAsia="Arial" w:hAnsi="Arial"/>
                <w:sz w:val="9"/>
                <w:szCs w:val="9"/>
                <w:color w:val="auto"/>
              </w:rPr>
              <w:t>1,923</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2,469</w:t>
            </w: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spacing w:after="0"/>
              <w:rPr>
                <w:sz w:val="9"/>
                <w:szCs w:val="9"/>
                <w:color w:val="auto"/>
              </w:rPr>
            </w:pP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40" w:type="dxa"/>
            <w:vAlign w:val="bottom"/>
          </w:tcPr>
          <w:p>
            <w:pPr>
              <w:ind w:left="20"/>
              <w:spacing w:after="0" w:line="81" w:lineRule="exact"/>
              <w:rPr>
                <w:sz w:val="20"/>
                <w:szCs w:val="20"/>
                <w:color w:val="auto"/>
              </w:rPr>
            </w:pPr>
            <w:r>
              <w:rPr>
                <w:rFonts w:ascii="Arial" w:cs="Arial" w:eastAsia="Arial" w:hAnsi="Arial"/>
                <w:sz w:val="9"/>
                <w:szCs w:val="9"/>
                <w:i w:val="1"/>
                <w:iCs w:val="1"/>
                <w:color w:val="auto"/>
                <w:w w:val="94"/>
              </w:rPr>
              <w:t>K2 Merger Agreement Agent, LLC (fka K2 Industrial Services, Inc.)</w:t>
            </w:r>
          </w:p>
        </w:tc>
        <w:tc>
          <w:tcPr>
            <w:tcW w:w="3160" w:type="dxa"/>
            <w:vAlign w:val="bottom"/>
            <w:vMerge w:val="restart"/>
          </w:tcPr>
          <w:p>
            <w:pPr>
              <w:ind w:left="60"/>
              <w:spacing w:after="0"/>
              <w:rPr>
                <w:sz w:val="20"/>
                <w:szCs w:val="20"/>
                <w:color w:val="auto"/>
              </w:rPr>
            </w:pPr>
            <w:r>
              <w:rPr>
                <w:rFonts w:ascii="Arial" w:cs="Arial" w:eastAsia="Arial" w:hAnsi="Arial"/>
                <w:sz w:val="9"/>
                <w:szCs w:val="9"/>
                <w:color w:val="auto"/>
              </w:rPr>
              <w:t>Industrial Cleaning &amp; Coatings</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20"/>
              <w:spacing w:after="0"/>
              <w:rPr>
                <w:sz w:val="20"/>
                <w:szCs w:val="20"/>
                <w:color w:val="auto"/>
              </w:rPr>
            </w:pPr>
            <w:r>
              <w:rPr>
                <w:rFonts w:ascii="Arial" w:cs="Arial" w:eastAsia="Arial" w:hAnsi="Arial"/>
                <w:sz w:val="9"/>
                <w:szCs w:val="9"/>
                <w:i w:val="1"/>
                <w:iCs w:val="1"/>
                <w:color w:val="auto"/>
              </w:rPr>
              <w:t>(n)</w:t>
            </w:r>
          </w:p>
        </w:tc>
        <w:tc>
          <w:tcPr>
            <w:tcW w:w="31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Second Lien Debt (j)</w:t>
            </w: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0.00%/10.00%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1/28/2019</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1/28/2021</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2,140</w:t>
            </w: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2,140</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2,140</w:t>
            </w:r>
          </w:p>
        </w:tc>
        <w:tc>
          <w:tcPr>
            <w:tcW w:w="720" w:type="dxa"/>
            <w:vAlign w:val="bottom"/>
            <w:shd w:val="clear" w:color="auto" w:fill="DBEEF4"/>
          </w:tcPr>
          <w:p>
            <w:pPr>
              <w:jc w:val="right"/>
              <w:ind w:right="55"/>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The Kyjen Company, LLC (dba Outward Hound)</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Consumer Products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Second Lien Debt (k)</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12.00%/0.00%</w:t>
            </w:r>
          </w:p>
        </w:tc>
        <w:tc>
          <w:tcPr>
            <w:tcW w:w="820" w:type="dxa"/>
            <w:vAlign w:val="bottom"/>
          </w:tcPr>
          <w:p>
            <w:pPr>
              <w:ind w:left="220"/>
              <w:spacing w:after="0"/>
              <w:rPr>
                <w:sz w:val="20"/>
                <w:szCs w:val="20"/>
                <w:color w:val="auto"/>
              </w:rPr>
            </w:pPr>
            <w:r>
              <w:rPr>
                <w:rFonts w:ascii="Arial" w:cs="Arial" w:eastAsia="Arial" w:hAnsi="Arial"/>
                <w:sz w:val="9"/>
                <w:szCs w:val="9"/>
                <w:color w:val="auto"/>
              </w:rPr>
              <w:t>12/8/2017</w:t>
            </w:r>
          </w:p>
        </w:tc>
        <w:tc>
          <w:tcPr>
            <w:tcW w:w="960" w:type="dxa"/>
            <w:vAlign w:val="bottom"/>
          </w:tcPr>
          <w:p>
            <w:pPr>
              <w:ind w:left="180"/>
              <w:spacing w:after="0"/>
              <w:rPr>
                <w:sz w:val="20"/>
                <w:szCs w:val="20"/>
                <w:color w:val="auto"/>
              </w:rPr>
            </w:pPr>
            <w:r>
              <w:rPr>
                <w:rFonts w:ascii="Arial" w:cs="Arial" w:eastAsia="Arial" w:hAnsi="Arial"/>
                <w:sz w:val="9"/>
                <w:szCs w:val="9"/>
                <w:color w:val="auto"/>
              </w:rPr>
              <w:t>6/8/2024</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15,000</w:t>
            </w:r>
          </w:p>
        </w:tc>
        <w:tc>
          <w:tcPr>
            <w:tcW w:w="600" w:type="dxa"/>
            <w:vAlign w:val="bottom"/>
          </w:tcPr>
          <w:p>
            <w:pPr>
              <w:jc w:val="right"/>
              <w:spacing w:after="0"/>
              <w:rPr>
                <w:sz w:val="20"/>
                <w:szCs w:val="20"/>
                <w:color w:val="auto"/>
              </w:rPr>
            </w:pPr>
            <w:r>
              <w:rPr>
                <w:rFonts w:ascii="Arial" w:cs="Arial" w:eastAsia="Arial" w:hAnsi="Arial"/>
                <w:sz w:val="9"/>
                <w:szCs w:val="9"/>
                <w:color w:val="auto"/>
              </w:rPr>
              <w:t>14,960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15,000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(765 shares) (j)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12/8/2017</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765</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841</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15,725</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15,841</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LNG Indy, LLC (dba Kinetrex Energy)</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Oil &amp; Gas Distribution</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Second Lien Debt (k)</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11.50%/1.50%</w:t>
            </w:r>
          </w:p>
        </w:tc>
        <w:tc>
          <w:tcPr>
            <w:tcW w:w="820" w:type="dxa"/>
            <w:vAlign w:val="bottom"/>
          </w:tcPr>
          <w:p>
            <w:pPr>
              <w:ind w:left="220"/>
              <w:spacing w:after="0"/>
              <w:rPr>
                <w:sz w:val="20"/>
                <w:szCs w:val="20"/>
                <w:color w:val="auto"/>
              </w:rPr>
            </w:pPr>
            <w:r>
              <w:rPr>
                <w:rFonts w:ascii="Arial" w:cs="Arial" w:eastAsia="Arial" w:hAnsi="Arial"/>
                <w:sz w:val="9"/>
                <w:szCs w:val="9"/>
                <w:color w:val="auto"/>
              </w:rPr>
              <w:t>12/28/2016</w:t>
            </w:r>
          </w:p>
        </w:tc>
        <w:tc>
          <w:tcPr>
            <w:tcW w:w="960" w:type="dxa"/>
            <w:vAlign w:val="bottom"/>
          </w:tcPr>
          <w:p>
            <w:pPr>
              <w:ind w:left="180"/>
              <w:spacing w:after="0"/>
              <w:rPr>
                <w:sz w:val="20"/>
                <w:szCs w:val="20"/>
                <w:color w:val="auto"/>
              </w:rPr>
            </w:pPr>
            <w:r>
              <w:rPr>
                <w:rFonts w:ascii="Arial" w:cs="Arial" w:eastAsia="Arial" w:hAnsi="Arial"/>
                <w:sz w:val="9"/>
                <w:szCs w:val="9"/>
                <w:color w:val="auto"/>
              </w:rPr>
              <w:t>11/12/2021</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10,127</w:t>
            </w:r>
          </w:p>
        </w:tc>
        <w:tc>
          <w:tcPr>
            <w:tcW w:w="600" w:type="dxa"/>
            <w:vAlign w:val="bottom"/>
          </w:tcPr>
          <w:p>
            <w:pPr>
              <w:jc w:val="right"/>
              <w:spacing w:after="0"/>
              <w:rPr>
                <w:sz w:val="20"/>
                <w:szCs w:val="20"/>
                <w:color w:val="auto"/>
              </w:rPr>
            </w:pPr>
            <w:r>
              <w:rPr>
                <w:rFonts w:ascii="Arial" w:cs="Arial" w:eastAsia="Arial" w:hAnsi="Arial"/>
                <w:sz w:val="9"/>
                <w:szCs w:val="9"/>
                <w:color w:val="auto"/>
              </w:rPr>
              <w:t>10,108</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10,127</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(500 units)</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12/28/2016</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500</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959</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10,608</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11,086</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Mesa Line Services,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Utilities: Services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Second Lien Debt (j)</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10.50%/0.50%</w:t>
            </w:r>
          </w:p>
        </w:tc>
        <w:tc>
          <w:tcPr>
            <w:tcW w:w="820" w:type="dxa"/>
            <w:vAlign w:val="bottom"/>
          </w:tcPr>
          <w:p>
            <w:pPr>
              <w:ind w:left="220"/>
              <w:spacing w:after="0"/>
              <w:rPr>
                <w:sz w:val="20"/>
                <w:szCs w:val="20"/>
                <w:color w:val="auto"/>
              </w:rPr>
            </w:pPr>
            <w:r>
              <w:rPr>
                <w:rFonts w:ascii="Arial" w:cs="Arial" w:eastAsia="Arial" w:hAnsi="Arial"/>
                <w:sz w:val="9"/>
                <w:szCs w:val="9"/>
                <w:color w:val="auto"/>
              </w:rPr>
              <w:t>11/30/2017</w:t>
            </w:r>
          </w:p>
        </w:tc>
        <w:tc>
          <w:tcPr>
            <w:tcW w:w="960" w:type="dxa"/>
            <w:vAlign w:val="bottom"/>
          </w:tcPr>
          <w:p>
            <w:pPr>
              <w:ind w:left="180"/>
              <w:spacing w:after="0"/>
              <w:rPr>
                <w:sz w:val="20"/>
                <w:szCs w:val="20"/>
                <w:color w:val="auto"/>
              </w:rPr>
            </w:pPr>
            <w:r>
              <w:rPr>
                <w:rFonts w:ascii="Arial" w:cs="Arial" w:eastAsia="Arial" w:hAnsi="Arial"/>
                <w:sz w:val="9"/>
                <w:szCs w:val="9"/>
                <w:color w:val="auto"/>
              </w:rPr>
              <w:t>8/1/2024</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17,511</w:t>
            </w:r>
          </w:p>
        </w:tc>
        <w:tc>
          <w:tcPr>
            <w:tcW w:w="600" w:type="dxa"/>
            <w:vAlign w:val="bottom"/>
          </w:tcPr>
          <w:p>
            <w:pPr>
              <w:jc w:val="right"/>
              <w:spacing w:after="0"/>
              <w:rPr>
                <w:sz w:val="20"/>
                <w:szCs w:val="20"/>
                <w:color w:val="auto"/>
              </w:rPr>
            </w:pPr>
            <w:r>
              <w:rPr>
                <w:rFonts w:ascii="Arial" w:cs="Arial" w:eastAsia="Arial" w:hAnsi="Arial"/>
                <w:sz w:val="9"/>
                <w:szCs w:val="9"/>
                <w:color w:val="auto"/>
              </w:rPr>
              <w:t>17,442</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17,511</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(981 shares) (j)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11/30/2017</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1,148</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1,076</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18,590</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18,587</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Midwest Transit Equipment, Inc.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Transportation services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Warrant (7,192 shares) (j)(m)</w:t>
            </w: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6/23/2017</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180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118</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Warrant (4.79% of Junior Subordinated Notes) (j)(q)</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6/23/2017</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190</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248</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370</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366</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NGT Acquisition Holdings, LLC (dba Techniks Industries)</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Component Manufacturing</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Common Equity (378 units) (j)</w:t>
            </w: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5/24/2017</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500</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227</w:t>
            </w: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spacing w:after="0"/>
              <w:rPr>
                <w:sz w:val="9"/>
                <w:szCs w:val="9"/>
                <w:color w:val="auto"/>
              </w:rPr>
            </w:pP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20"/>
              <w:spacing w:after="0"/>
              <w:rPr>
                <w:sz w:val="20"/>
                <w:szCs w:val="20"/>
                <w:color w:val="auto"/>
              </w:rPr>
            </w:pPr>
            <w:r>
              <w:rPr>
                <w:rFonts w:ascii="Arial" w:cs="Arial" w:eastAsia="Arial" w:hAnsi="Arial"/>
                <w:sz w:val="9"/>
                <w:szCs w:val="9"/>
                <w:i w:val="1"/>
                <w:iCs w:val="1"/>
                <w:color w:val="auto"/>
              </w:rPr>
              <w:t>OMC Investors, LLC (dba Ohio Medical Corporation)</w:t>
            </w:r>
          </w:p>
        </w:tc>
        <w:tc>
          <w:tcPr>
            <w:tcW w:w="3160" w:type="dxa"/>
            <w:vAlign w:val="bottom"/>
          </w:tcPr>
          <w:p>
            <w:pPr>
              <w:ind w:left="60"/>
              <w:spacing w:after="0"/>
              <w:rPr>
                <w:sz w:val="20"/>
                <w:szCs w:val="20"/>
                <w:color w:val="auto"/>
              </w:rPr>
            </w:pPr>
            <w:r>
              <w:rPr>
                <w:rFonts w:ascii="Arial" w:cs="Arial" w:eastAsia="Arial" w:hAnsi="Arial"/>
                <w:sz w:val="9"/>
                <w:szCs w:val="9"/>
                <w:color w:val="auto"/>
              </w:rPr>
              <w:t>Healthcare Products</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Second Lien Debt</w:t>
            </w: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ind w:left="200"/>
              <w:spacing w:after="0"/>
              <w:rPr>
                <w:sz w:val="20"/>
                <w:szCs w:val="20"/>
                <w:color w:val="auto"/>
              </w:rPr>
            </w:pPr>
            <w:r>
              <w:rPr>
                <w:rFonts w:ascii="Arial" w:cs="Arial" w:eastAsia="Arial" w:hAnsi="Arial"/>
                <w:sz w:val="9"/>
                <w:szCs w:val="9"/>
                <w:color w:val="auto"/>
              </w:rPr>
              <w:t>12.00%/0.00%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1/15/2016</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6/30/2022</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10,000</w:t>
            </w: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9,985</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10,000</w:t>
            </w: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Common Equity (5,000 units)</w:t>
            </w: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1/15/2016</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462</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869</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shd w:val="clear" w:color="auto" w:fill="DBEEF4"/>
          </w:tcPr>
          <w:p>
            <w:pPr>
              <w:spacing w:after="0"/>
              <w:rPr>
                <w:sz w:val="8"/>
                <w:szCs w:val="8"/>
                <w:color w:val="auto"/>
              </w:rPr>
            </w:pPr>
          </w:p>
        </w:tc>
        <w:tc>
          <w:tcPr>
            <w:tcW w:w="3160" w:type="dxa"/>
            <w:vAlign w:val="bottom"/>
            <w:shd w:val="clear" w:color="auto" w:fill="DBEEF4"/>
          </w:tcPr>
          <w:p>
            <w:pPr>
              <w:spacing w:after="0"/>
              <w:rPr>
                <w:sz w:val="8"/>
                <w:szCs w:val="8"/>
                <w:color w:val="auto"/>
              </w:rPr>
            </w:pPr>
          </w:p>
        </w:tc>
        <w:tc>
          <w:tcPr>
            <w:tcW w:w="94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760" w:type="dxa"/>
            <w:vAlign w:val="bottom"/>
            <w:shd w:val="clear" w:color="auto" w:fill="DBEEF4"/>
          </w:tcPr>
          <w:p>
            <w:pPr>
              <w:spacing w:after="0"/>
              <w:rPr>
                <w:sz w:val="8"/>
                <w:szCs w:val="8"/>
                <w:color w:val="auto"/>
              </w:rPr>
            </w:pPr>
          </w:p>
        </w:tc>
        <w:tc>
          <w:tcPr>
            <w:tcW w:w="600" w:type="dxa"/>
            <w:vAlign w:val="bottom"/>
            <w:tcBorders>
              <w:top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10,447</w:t>
            </w:r>
          </w:p>
        </w:tc>
        <w:tc>
          <w:tcPr>
            <w:tcW w:w="160" w:type="dxa"/>
            <w:vAlign w:val="bottom"/>
            <w:shd w:val="clear" w:color="auto" w:fill="DBEEF4"/>
          </w:tcPr>
          <w:p>
            <w:pPr>
              <w:spacing w:after="0"/>
              <w:rPr>
                <w:sz w:val="8"/>
                <w:szCs w:val="8"/>
                <w:color w:val="auto"/>
              </w:rPr>
            </w:pPr>
          </w:p>
        </w:tc>
        <w:tc>
          <w:tcPr>
            <w:tcW w:w="580" w:type="dxa"/>
            <w:vAlign w:val="bottom"/>
            <w:tcBorders>
              <w:top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10,869</w:t>
            </w:r>
          </w:p>
        </w:tc>
        <w:tc>
          <w:tcPr>
            <w:tcW w:w="720" w:type="dxa"/>
            <w:vAlign w:val="bottom"/>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40" w:type="dxa"/>
            <w:vAlign w:val="bottom"/>
          </w:tcPr>
          <w:p>
            <w:pPr>
              <w:ind w:left="20"/>
              <w:spacing w:after="0"/>
              <w:rPr>
                <w:sz w:val="20"/>
                <w:szCs w:val="20"/>
                <w:color w:val="auto"/>
              </w:rPr>
            </w:pPr>
            <w:r>
              <w:rPr>
                <w:rFonts w:ascii="Arial" w:cs="Arial" w:eastAsia="Arial" w:hAnsi="Arial"/>
                <w:sz w:val="9"/>
                <w:szCs w:val="9"/>
                <w:i w:val="1"/>
                <w:iCs w:val="1"/>
                <w:color w:val="auto"/>
              </w:rPr>
              <w:t>Palisade Company, LLC</w:t>
            </w:r>
          </w:p>
        </w:tc>
        <w:tc>
          <w:tcPr>
            <w:tcW w:w="3160" w:type="dxa"/>
            <w:vAlign w:val="bottom"/>
          </w:tcPr>
          <w:p>
            <w:pPr>
              <w:ind w:left="60"/>
              <w:spacing w:after="0"/>
              <w:rPr>
                <w:sz w:val="20"/>
                <w:szCs w:val="20"/>
                <w:color w:val="auto"/>
              </w:rPr>
            </w:pPr>
            <w:r>
              <w:rPr>
                <w:rFonts w:ascii="Arial" w:cs="Arial" w:eastAsia="Arial" w:hAnsi="Arial"/>
                <w:sz w:val="9"/>
                <w:szCs w:val="9"/>
                <w:color w:val="auto"/>
              </w:rPr>
              <w:t>Information Technology Services</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Common Equity (50 shares) (j)</w:t>
            </w: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11/15/2018</w:t>
            </w: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500</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630</w:t>
            </w:r>
          </w:p>
        </w:tc>
        <w:tc>
          <w:tcPr>
            <w:tcW w:w="720" w:type="dxa"/>
            <w:vAlign w:val="bottom"/>
            <w:shd w:val="clear" w:color="auto" w:fill="DBEEF4"/>
          </w:tcPr>
          <w:p>
            <w:pPr>
              <w:jc w:val="right"/>
              <w:ind w:right="55"/>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Palmetto Moon,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Retail</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First Lien Debt (j)</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11.50%/2.50%</w:t>
            </w:r>
          </w:p>
        </w:tc>
        <w:tc>
          <w:tcPr>
            <w:tcW w:w="820" w:type="dxa"/>
            <w:vAlign w:val="bottom"/>
          </w:tcPr>
          <w:p>
            <w:pPr>
              <w:ind w:left="220"/>
              <w:spacing w:after="0"/>
              <w:rPr>
                <w:sz w:val="20"/>
                <w:szCs w:val="20"/>
                <w:color w:val="auto"/>
              </w:rPr>
            </w:pPr>
            <w:r>
              <w:rPr>
                <w:rFonts w:ascii="Arial" w:cs="Arial" w:eastAsia="Arial" w:hAnsi="Arial"/>
                <w:sz w:val="9"/>
                <w:szCs w:val="9"/>
                <w:color w:val="auto"/>
              </w:rPr>
              <w:t>11/3/2016</w:t>
            </w:r>
          </w:p>
        </w:tc>
        <w:tc>
          <w:tcPr>
            <w:tcW w:w="960" w:type="dxa"/>
            <w:vAlign w:val="bottom"/>
          </w:tcPr>
          <w:p>
            <w:pPr>
              <w:ind w:left="180"/>
              <w:spacing w:after="0"/>
              <w:rPr>
                <w:sz w:val="20"/>
                <w:szCs w:val="20"/>
                <w:color w:val="auto"/>
              </w:rPr>
            </w:pPr>
            <w:r>
              <w:rPr>
                <w:rFonts w:ascii="Arial" w:cs="Arial" w:eastAsia="Arial" w:hAnsi="Arial"/>
                <w:sz w:val="9"/>
                <w:szCs w:val="9"/>
                <w:color w:val="auto"/>
              </w:rPr>
              <w:t>10/31/2021</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4,779</w:t>
            </w:r>
          </w:p>
        </w:tc>
        <w:tc>
          <w:tcPr>
            <w:tcW w:w="600" w:type="dxa"/>
            <w:vAlign w:val="bottom"/>
          </w:tcPr>
          <w:p>
            <w:pPr>
              <w:jc w:val="right"/>
              <w:spacing w:after="0"/>
              <w:rPr>
                <w:sz w:val="20"/>
                <w:szCs w:val="20"/>
                <w:color w:val="auto"/>
              </w:rPr>
            </w:pPr>
            <w:r>
              <w:rPr>
                <w:rFonts w:ascii="Arial" w:cs="Arial" w:eastAsia="Arial" w:hAnsi="Arial"/>
                <w:sz w:val="9"/>
                <w:szCs w:val="9"/>
                <w:color w:val="auto"/>
              </w:rPr>
              <w:t>4,773</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4,779</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(499 units) (j)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11/3/2016</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494</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159</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5,267</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4,938</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Pool &amp; Electrical Products,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Specialty Distribution</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Second Lien Debt (j)</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11.75%/0.00%</w:t>
            </w:r>
          </w:p>
        </w:tc>
        <w:tc>
          <w:tcPr>
            <w:tcW w:w="820" w:type="dxa"/>
            <w:vAlign w:val="bottom"/>
          </w:tcPr>
          <w:p>
            <w:pPr>
              <w:ind w:left="220"/>
              <w:spacing w:after="0"/>
              <w:rPr>
                <w:sz w:val="20"/>
                <w:szCs w:val="20"/>
                <w:color w:val="auto"/>
              </w:rPr>
            </w:pPr>
            <w:r>
              <w:rPr>
                <w:rFonts w:ascii="Arial" w:cs="Arial" w:eastAsia="Arial" w:hAnsi="Arial"/>
                <w:sz w:val="9"/>
                <w:szCs w:val="9"/>
                <w:color w:val="auto"/>
              </w:rPr>
              <w:t>10/28/2020</w:t>
            </w:r>
          </w:p>
        </w:tc>
        <w:tc>
          <w:tcPr>
            <w:tcW w:w="960" w:type="dxa"/>
            <w:vAlign w:val="bottom"/>
          </w:tcPr>
          <w:p>
            <w:pPr>
              <w:ind w:left="180"/>
              <w:spacing w:after="0"/>
              <w:rPr>
                <w:sz w:val="20"/>
                <w:szCs w:val="20"/>
                <w:color w:val="auto"/>
              </w:rPr>
            </w:pPr>
            <w:r>
              <w:rPr>
                <w:rFonts w:ascii="Arial" w:cs="Arial" w:eastAsia="Arial" w:hAnsi="Arial"/>
                <w:sz w:val="9"/>
                <w:szCs w:val="9"/>
                <w:color w:val="auto"/>
              </w:rPr>
              <w:t>4/28/2027</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12,000</w:t>
            </w:r>
          </w:p>
        </w:tc>
        <w:tc>
          <w:tcPr>
            <w:tcW w:w="600" w:type="dxa"/>
            <w:vAlign w:val="bottom"/>
          </w:tcPr>
          <w:p>
            <w:pPr>
              <w:jc w:val="right"/>
              <w:spacing w:after="0"/>
              <w:rPr>
                <w:sz w:val="20"/>
                <w:szCs w:val="20"/>
                <w:color w:val="auto"/>
              </w:rPr>
            </w:pPr>
            <w:r>
              <w:rPr>
                <w:rFonts w:ascii="Arial" w:cs="Arial" w:eastAsia="Arial" w:hAnsi="Arial"/>
                <w:sz w:val="9"/>
                <w:szCs w:val="9"/>
                <w:color w:val="auto"/>
              </w:rPr>
              <w:t>11,883</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11,883</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(15,000 units) (h)(j)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10/28/2020</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1,500</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1,500</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13,383</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13,383</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Power Grid Components, Inc.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Specialty Distribution</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20"/>
              <w:spacing w:after="0"/>
              <w:rPr>
                <w:sz w:val="20"/>
                <w:szCs w:val="20"/>
                <w:color w:val="auto"/>
              </w:rPr>
            </w:pPr>
            <w:r>
              <w:rPr>
                <w:rFonts w:ascii="Arial" w:cs="Arial" w:eastAsia="Arial" w:hAnsi="Arial"/>
                <w:sz w:val="9"/>
                <w:szCs w:val="9"/>
                <w:color w:val="auto"/>
              </w:rPr>
              <w:t>Second Lien Debt (k)</w:t>
            </w:r>
          </w:p>
        </w:tc>
        <w:tc>
          <w:tcPr>
            <w:tcW w:w="3160" w:type="dxa"/>
            <w:vAlign w:val="bottom"/>
          </w:tcPr>
          <w:p>
            <w:pPr>
              <w:spacing w:after="0"/>
              <w:rPr>
                <w:sz w:val="9"/>
                <w:szCs w:val="9"/>
                <w:color w:val="auto"/>
              </w:rPr>
            </w:pPr>
          </w:p>
        </w:tc>
        <w:tc>
          <w:tcPr>
            <w:tcW w:w="940" w:type="dxa"/>
            <w:vAlign w:val="bottom"/>
          </w:tcPr>
          <w:p>
            <w:pPr>
              <w:ind w:left="200"/>
              <w:spacing w:after="0"/>
              <w:rPr>
                <w:sz w:val="20"/>
                <w:szCs w:val="20"/>
                <w:color w:val="auto"/>
              </w:rPr>
            </w:pPr>
            <w:r>
              <w:rPr>
                <w:rFonts w:ascii="Arial" w:cs="Arial" w:eastAsia="Arial" w:hAnsi="Arial"/>
                <w:sz w:val="9"/>
                <w:szCs w:val="9"/>
                <w:color w:val="auto"/>
              </w:rPr>
              <w:t>11.00%/1.00%</w:t>
            </w:r>
          </w:p>
        </w:tc>
        <w:tc>
          <w:tcPr>
            <w:tcW w:w="820" w:type="dxa"/>
            <w:vAlign w:val="bottom"/>
          </w:tcPr>
          <w:p>
            <w:pPr>
              <w:ind w:left="220"/>
              <w:spacing w:after="0"/>
              <w:rPr>
                <w:sz w:val="20"/>
                <w:szCs w:val="20"/>
                <w:color w:val="auto"/>
              </w:rPr>
            </w:pPr>
            <w:r>
              <w:rPr>
                <w:rFonts w:ascii="Arial" w:cs="Arial" w:eastAsia="Arial" w:hAnsi="Arial"/>
                <w:sz w:val="9"/>
                <w:szCs w:val="9"/>
                <w:color w:val="auto"/>
              </w:rPr>
              <w:t>4/12/2018</w:t>
            </w:r>
          </w:p>
        </w:tc>
        <w:tc>
          <w:tcPr>
            <w:tcW w:w="960" w:type="dxa"/>
            <w:vAlign w:val="bottom"/>
          </w:tcPr>
          <w:p>
            <w:pPr>
              <w:ind w:left="180"/>
              <w:spacing w:after="0"/>
              <w:rPr>
                <w:sz w:val="20"/>
                <w:szCs w:val="20"/>
                <w:color w:val="auto"/>
              </w:rPr>
            </w:pPr>
            <w:r>
              <w:rPr>
                <w:rFonts w:ascii="Arial" w:cs="Arial" w:eastAsia="Arial" w:hAnsi="Arial"/>
                <w:sz w:val="9"/>
                <w:szCs w:val="9"/>
                <w:color w:val="auto"/>
              </w:rPr>
              <w:t>12/2/2025</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22,433</w:t>
            </w:r>
          </w:p>
        </w:tc>
        <w:tc>
          <w:tcPr>
            <w:tcW w:w="600" w:type="dxa"/>
            <w:vAlign w:val="bottom"/>
          </w:tcPr>
          <w:p>
            <w:pPr>
              <w:jc w:val="right"/>
              <w:spacing w:after="0"/>
              <w:rPr>
                <w:sz w:val="20"/>
                <w:szCs w:val="20"/>
                <w:color w:val="auto"/>
              </w:rPr>
            </w:pPr>
            <w:r>
              <w:rPr>
                <w:rFonts w:ascii="Arial" w:cs="Arial" w:eastAsia="Arial" w:hAnsi="Arial"/>
                <w:sz w:val="9"/>
                <w:szCs w:val="9"/>
                <w:color w:val="auto"/>
              </w:rPr>
              <w:t>22,357</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22,433</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120"/>
              <w:spacing w:after="0"/>
              <w:rPr>
                <w:sz w:val="20"/>
                <w:szCs w:val="20"/>
                <w:color w:val="auto"/>
              </w:rPr>
            </w:pPr>
            <w:r>
              <w:rPr>
                <w:rFonts w:ascii="Arial" w:cs="Arial" w:eastAsia="Arial" w:hAnsi="Arial"/>
                <w:sz w:val="9"/>
                <w:szCs w:val="9"/>
                <w:color w:val="auto"/>
              </w:rPr>
              <w:t>Preferred Equity (392 shares) (j)</w:t>
            </w:r>
          </w:p>
        </w:tc>
        <w:tc>
          <w:tcPr>
            <w:tcW w:w="3160" w:type="dxa"/>
            <w:vAlign w:val="bottom"/>
            <w:shd w:val="clear" w:color="auto" w:fill="DBEEF4"/>
          </w:tcPr>
          <w:p>
            <w:pPr>
              <w:spacing w:after="0"/>
              <w:rPr>
                <w:sz w:val="9"/>
                <w:szCs w:val="9"/>
                <w:color w:val="auto"/>
              </w:rPr>
            </w:pP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4/12/2018</w:t>
            </w: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jc w:val="right"/>
              <w:spacing w:after="0"/>
              <w:rPr>
                <w:sz w:val="20"/>
                <w:szCs w:val="20"/>
                <w:color w:val="auto"/>
              </w:rPr>
            </w:pPr>
            <w:r>
              <w:rPr>
                <w:rFonts w:ascii="Arial" w:cs="Arial" w:eastAsia="Arial" w:hAnsi="Arial"/>
                <w:sz w:val="9"/>
                <w:szCs w:val="9"/>
                <w:color w:val="auto"/>
              </w:rPr>
              <w:t>392</w:t>
            </w:r>
          </w:p>
        </w:tc>
        <w:tc>
          <w:tcPr>
            <w:tcW w:w="740" w:type="dxa"/>
            <w:vAlign w:val="bottom"/>
            <w:gridSpan w:val="2"/>
            <w:shd w:val="clear" w:color="auto" w:fill="DBEEF4"/>
          </w:tcPr>
          <w:p>
            <w:pPr>
              <w:jc w:val="right"/>
              <w:spacing w:after="0"/>
              <w:rPr>
                <w:sz w:val="20"/>
                <w:szCs w:val="20"/>
                <w:color w:val="auto"/>
              </w:rPr>
            </w:pPr>
            <w:r>
              <w:rPr>
                <w:rFonts w:ascii="Arial" w:cs="Arial" w:eastAsia="Arial" w:hAnsi="Arial"/>
                <w:sz w:val="9"/>
                <w:szCs w:val="9"/>
                <w:color w:val="auto"/>
              </w:rPr>
              <w:t>509</w:t>
            </w: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Preferred Equity (48 shares) (j)</w:t>
            </w: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12/2/2019</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48</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63</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(10,622 shares) (j)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4/12/2018</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462</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740</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23,259</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23,745</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6 %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Prime AE Group, Inc.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Business Services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120"/>
              <w:spacing w:after="0"/>
              <w:rPr>
                <w:sz w:val="20"/>
                <w:szCs w:val="20"/>
                <w:color w:val="auto"/>
              </w:rPr>
            </w:pPr>
            <w:r>
              <w:rPr>
                <w:rFonts w:ascii="Arial" w:cs="Arial" w:eastAsia="Arial" w:hAnsi="Arial"/>
                <w:sz w:val="9"/>
                <w:szCs w:val="9"/>
                <w:color w:val="auto"/>
              </w:rPr>
              <w:t>First Lien Debt (j)</w:t>
            </w:r>
          </w:p>
        </w:tc>
        <w:tc>
          <w:tcPr>
            <w:tcW w:w="3160" w:type="dxa"/>
            <w:vAlign w:val="bottom"/>
          </w:tcPr>
          <w:p>
            <w:pPr>
              <w:ind w:left="2120"/>
              <w:spacing w:after="0"/>
              <w:rPr>
                <w:sz w:val="20"/>
                <w:szCs w:val="20"/>
                <w:color w:val="auto"/>
              </w:rPr>
            </w:pPr>
            <w:r>
              <w:rPr>
                <w:rFonts w:ascii="Arial" w:cs="Arial" w:eastAsia="Arial" w:hAnsi="Arial"/>
                <w:sz w:val="9"/>
                <w:szCs w:val="9"/>
                <w:color w:val="auto"/>
              </w:rPr>
              <w:t>(L + 6.25%) / (2.00%)</w:t>
            </w:r>
          </w:p>
        </w:tc>
        <w:tc>
          <w:tcPr>
            <w:tcW w:w="940" w:type="dxa"/>
            <w:vAlign w:val="bottom"/>
          </w:tcPr>
          <w:p>
            <w:pPr>
              <w:ind w:left="200"/>
              <w:spacing w:after="0"/>
              <w:rPr>
                <w:sz w:val="20"/>
                <w:szCs w:val="20"/>
                <w:color w:val="auto"/>
              </w:rPr>
            </w:pPr>
            <w:r>
              <w:rPr>
                <w:rFonts w:ascii="Arial" w:cs="Arial" w:eastAsia="Arial" w:hAnsi="Arial"/>
                <w:sz w:val="9"/>
                <w:szCs w:val="9"/>
                <w:color w:val="auto"/>
              </w:rPr>
              <w:t>8.25%/0.00%</w:t>
            </w:r>
          </w:p>
        </w:tc>
        <w:tc>
          <w:tcPr>
            <w:tcW w:w="820" w:type="dxa"/>
            <w:vAlign w:val="bottom"/>
          </w:tcPr>
          <w:p>
            <w:pPr>
              <w:ind w:left="220"/>
              <w:spacing w:after="0"/>
              <w:rPr>
                <w:sz w:val="20"/>
                <w:szCs w:val="20"/>
                <w:color w:val="auto"/>
              </w:rPr>
            </w:pPr>
            <w:r>
              <w:rPr>
                <w:rFonts w:ascii="Arial" w:cs="Arial" w:eastAsia="Arial" w:hAnsi="Arial"/>
                <w:sz w:val="9"/>
                <w:szCs w:val="9"/>
                <w:color w:val="auto"/>
              </w:rPr>
              <w:t>11/25/2019</w:t>
            </w:r>
          </w:p>
        </w:tc>
        <w:tc>
          <w:tcPr>
            <w:tcW w:w="960" w:type="dxa"/>
            <w:vAlign w:val="bottom"/>
          </w:tcPr>
          <w:p>
            <w:pPr>
              <w:ind w:left="180"/>
              <w:spacing w:after="0"/>
              <w:rPr>
                <w:sz w:val="20"/>
                <w:szCs w:val="20"/>
                <w:color w:val="auto"/>
              </w:rPr>
            </w:pPr>
            <w:r>
              <w:rPr>
                <w:rFonts w:ascii="Arial" w:cs="Arial" w:eastAsia="Arial" w:hAnsi="Arial"/>
                <w:sz w:val="9"/>
                <w:szCs w:val="9"/>
                <w:color w:val="auto"/>
              </w:rPr>
              <w:t>11/25/2024</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6,833</w:t>
            </w:r>
          </w:p>
        </w:tc>
        <w:tc>
          <w:tcPr>
            <w:tcW w:w="600" w:type="dxa"/>
            <w:vAlign w:val="bottom"/>
          </w:tcPr>
          <w:p>
            <w:pPr>
              <w:jc w:val="right"/>
              <w:spacing w:after="0"/>
              <w:rPr>
                <w:sz w:val="20"/>
                <w:szCs w:val="20"/>
                <w:color w:val="auto"/>
              </w:rPr>
            </w:pPr>
            <w:r>
              <w:rPr>
                <w:rFonts w:ascii="Arial" w:cs="Arial" w:eastAsia="Arial" w:hAnsi="Arial"/>
                <w:sz w:val="9"/>
                <w:szCs w:val="9"/>
                <w:color w:val="auto"/>
              </w:rPr>
              <w:t>6,683</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6,833</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Preferred Equity (500,000 shares) (j)</w:t>
            </w:r>
          </w:p>
        </w:tc>
        <w:tc>
          <w:tcPr>
            <w:tcW w:w="3160" w:type="dxa"/>
            <w:vAlign w:val="bottom"/>
            <w:tcBorders>
              <w:bottom w:val="single" w:sz="8" w:color="DBEEF4"/>
            </w:tcBorders>
            <w:shd w:val="clear" w:color="auto" w:fill="DBEEF4"/>
          </w:tcPr>
          <w:p>
            <w:pPr>
              <w:spacing w:after="0"/>
              <w:rPr>
                <w:sz w:val="9"/>
                <w:szCs w:val="9"/>
                <w:color w:val="auto"/>
              </w:rPr>
            </w:pPr>
          </w:p>
        </w:tc>
        <w:tc>
          <w:tcPr>
            <w:tcW w:w="94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11/25/2019</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6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500</w:t>
            </w:r>
          </w:p>
        </w:tc>
        <w:tc>
          <w:tcPr>
            <w:tcW w:w="160" w:type="dxa"/>
            <w:vAlign w:val="bottom"/>
            <w:tcBorders>
              <w:bottom w:val="single" w:sz="8" w:color="DBEEF4"/>
            </w:tcBorders>
            <w:shd w:val="clear" w:color="auto" w:fill="DBEEF4"/>
          </w:tcPr>
          <w:p>
            <w:pPr>
              <w:spacing w:after="0"/>
              <w:rPr>
                <w:sz w:val="9"/>
                <w:szCs w:val="9"/>
                <w:color w:val="auto"/>
              </w:rPr>
            </w:pPr>
          </w:p>
        </w:tc>
        <w:tc>
          <w:tcPr>
            <w:tcW w:w="58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566</w:t>
            </w:r>
          </w:p>
        </w:tc>
        <w:tc>
          <w:tcPr>
            <w:tcW w:w="720" w:type="dxa"/>
            <w:vAlign w:val="bottom"/>
            <w:tcBorders>
              <w:bottom w:val="single" w:sz="8" w:color="DBEEF4"/>
            </w:tcBorders>
            <w:shd w:val="clear" w:color="auto" w:fill="DBEEF4"/>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7,183</w:t>
            </w:r>
          </w:p>
        </w:tc>
        <w:tc>
          <w:tcPr>
            <w:tcW w:w="7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7,399</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4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Revenue Management Solutions, LLC</w:t>
            </w:r>
          </w:p>
        </w:tc>
        <w:tc>
          <w:tcPr>
            <w:tcW w:w="3160" w:type="dxa"/>
            <w:vAlign w:val="bottom"/>
            <w:shd w:val="clear" w:color="auto" w:fill="DBEEF4"/>
          </w:tcPr>
          <w:p>
            <w:pPr>
              <w:ind w:left="60"/>
              <w:spacing w:after="0"/>
              <w:rPr>
                <w:sz w:val="20"/>
                <w:szCs w:val="20"/>
                <w:color w:val="auto"/>
              </w:rPr>
            </w:pPr>
            <w:r>
              <w:rPr>
                <w:rFonts w:ascii="Arial" w:cs="Arial" w:eastAsia="Arial" w:hAnsi="Arial"/>
                <w:sz w:val="9"/>
                <w:szCs w:val="9"/>
                <w:color w:val="auto"/>
              </w:rPr>
              <w:t>Information Technology Services</w:t>
            </w:r>
          </w:p>
        </w:tc>
        <w:tc>
          <w:tcPr>
            <w:tcW w:w="94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60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-8191500</wp:posOffset>
            </wp:positionV>
            <wp:extent cx="34290" cy="742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-8191500</wp:posOffset>
            </wp:positionV>
            <wp:extent cx="34290" cy="742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-7908925</wp:posOffset>
            </wp:positionV>
            <wp:extent cx="34290" cy="742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-7908925</wp:posOffset>
            </wp:positionV>
            <wp:extent cx="34290" cy="742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-7625715</wp:posOffset>
            </wp:positionV>
            <wp:extent cx="34290" cy="742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-7625715</wp:posOffset>
            </wp:positionV>
            <wp:extent cx="34290" cy="742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-7343140</wp:posOffset>
            </wp:positionV>
            <wp:extent cx="34290" cy="742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-7343140</wp:posOffset>
            </wp:positionV>
            <wp:extent cx="34290" cy="742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-7059930</wp:posOffset>
            </wp:positionV>
            <wp:extent cx="34290" cy="742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-7059930</wp:posOffset>
            </wp:positionV>
            <wp:extent cx="34290" cy="742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-6777355</wp:posOffset>
            </wp:positionV>
            <wp:extent cx="34290" cy="742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-6777355</wp:posOffset>
            </wp:positionV>
            <wp:extent cx="34290" cy="742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-6494145</wp:posOffset>
            </wp:positionV>
            <wp:extent cx="34290" cy="742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-6494145</wp:posOffset>
            </wp:positionV>
            <wp:extent cx="34290" cy="742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-6211570</wp:posOffset>
            </wp:positionV>
            <wp:extent cx="34290" cy="742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-6211570</wp:posOffset>
            </wp:positionV>
            <wp:extent cx="34290" cy="742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-4257040</wp:posOffset>
            </wp:positionV>
            <wp:extent cx="34290" cy="742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-4257040</wp:posOffset>
            </wp:positionV>
            <wp:extent cx="34290" cy="742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-2954020</wp:posOffset>
            </wp:positionV>
            <wp:extent cx="34290" cy="742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-2954020</wp:posOffset>
            </wp:positionV>
            <wp:extent cx="34290" cy="742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-2670810</wp:posOffset>
            </wp:positionV>
            <wp:extent cx="34290" cy="742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-2670810</wp:posOffset>
            </wp:positionV>
            <wp:extent cx="34290" cy="742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-2388235</wp:posOffset>
            </wp:positionV>
            <wp:extent cx="34290" cy="742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-2388235</wp:posOffset>
            </wp:positionV>
            <wp:extent cx="34290" cy="742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-2105025</wp:posOffset>
            </wp:positionV>
            <wp:extent cx="34290" cy="742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-2105025</wp:posOffset>
            </wp:positionV>
            <wp:extent cx="34290" cy="742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-1127760</wp:posOffset>
            </wp:positionV>
            <wp:extent cx="34290" cy="742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-1127760</wp:posOffset>
            </wp:positionV>
            <wp:extent cx="34290" cy="742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-845185</wp:posOffset>
            </wp:positionV>
            <wp:extent cx="34290" cy="742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-845185</wp:posOffset>
            </wp:positionV>
            <wp:extent cx="34290" cy="742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-424815</wp:posOffset>
            </wp:positionV>
            <wp:extent cx="34290" cy="742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-424815</wp:posOffset>
            </wp:positionV>
            <wp:extent cx="34290" cy="742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-142240</wp:posOffset>
            </wp:positionV>
            <wp:extent cx="34290" cy="742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-142240</wp:posOffset>
            </wp:positionV>
            <wp:extent cx="34290" cy="742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74295"/>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15"/>
        </w:trPr>
        <w:tc>
          <w:tcPr>
            <w:tcW w:w="2520" w:type="dxa"/>
            <w:vAlign w:val="bottom"/>
          </w:tcPr>
          <w:p>
            <w:pPr>
              <w:ind w:left="120"/>
              <w:spacing w:after="0"/>
              <w:rPr>
                <w:sz w:val="20"/>
                <w:szCs w:val="20"/>
                <w:color w:val="auto"/>
              </w:rPr>
            </w:pPr>
            <w:r>
              <w:rPr>
                <w:rFonts w:ascii="Arial" w:cs="Arial" w:eastAsia="Arial" w:hAnsi="Arial"/>
                <w:sz w:val="9"/>
                <w:szCs w:val="9"/>
                <w:color w:val="auto"/>
              </w:rPr>
              <w:t>Common Equity (113 shares)</w:t>
            </w: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1/4/2017</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1,125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3,081</w:t>
            </w: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1 %</w:t>
            </w:r>
          </w:p>
        </w:tc>
      </w:tr>
      <w:tr>
        <w:trPr>
          <w:trHeight w:val="108"/>
        </w:trPr>
        <w:tc>
          <w:tcPr>
            <w:tcW w:w="2520" w:type="dxa"/>
            <w:vAlign w:val="bottom"/>
            <w:shd w:val="clear" w:color="auto" w:fill="DBEEF4"/>
          </w:tcPr>
          <w:p>
            <w:pPr>
              <w:spacing w:after="0"/>
              <w:rPr>
                <w:sz w:val="9"/>
                <w:szCs w:val="9"/>
                <w:color w:val="auto"/>
              </w:rPr>
            </w:pPr>
          </w:p>
        </w:tc>
        <w:tc>
          <w:tcPr>
            <w:tcW w:w="316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Rhino Assembly Company, LLC</w:t>
            </w:r>
          </w:p>
        </w:tc>
        <w:tc>
          <w:tcPr>
            <w:tcW w:w="3160" w:type="dxa"/>
            <w:vAlign w:val="bottom"/>
          </w:tcPr>
          <w:p>
            <w:pPr>
              <w:ind w:left="80"/>
              <w:spacing w:after="0"/>
              <w:rPr>
                <w:sz w:val="20"/>
                <w:szCs w:val="20"/>
                <w:color w:val="auto"/>
              </w:rPr>
            </w:pPr>
            <w:r>
              <w:rPr>
                <w:rFonts w:ascii="Arial" w:cs="Arial" w:eastAsia="Arial" w:hAnsi="Arial"/>
                <w:sz w:val="9"/>
                <w:szCs w:val="9"/>
                <w:color w:val="auto"/>
              </w:rPr>
              <w:t>Specialty Distribution</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520" w:type="dxa"/>
            <w:vAlign w:val="bottom"/>
            <w:shd w:val="clear" w:color="auto" w:fill="DBEEF4"/>
          </w:tcPr>
          <w:p>
            <w:pPr>
              <w:ind w:left="20"/>
              <w:spacing w:after="0"/>
              <w:rPr>
                <w:sz w:val="20"/>
                <w:szCs w:val="20"/>
                <w:color w:val="auto"/>
              </w:rPr>
            </w:pPr>
            <w:r>
              <w:rPr>
                <w:rFonts w:ascii="Arial" w:cs="Arial" w:eastAsia="Arial" w:hAnsi="Arial"/>
                <w:sz w:val="9"/>
                <w:szCs w:val="9"/>
                <w:color w:val="auto"/>
              </w:rPr>
              <w:t>Second Lien Debt (k)</w:t>
            </w:r>
          </w:p>
        </w:tc>
        <w:tc>
          <w:tcPr>
            <w:tcW w:w="3160" w:type="dxa"/>
            <w:vAlign w:val="bottom"/>
            <w:shd w:val="clear" w:color="auto" w:fill="DBEEF4"/>
          </w:tcPr>
          <w:p>
            <w:pPr>
              <w:spacing w:after="0"/>
              <w:rPr>
                <w:sz w:val="9"/>
                <w:szCs w:val="9"/>
                <w:color w:val="auto"/>
              </w:rPr>
            </w:pPr>
          </w:p>
        </w:tc>
        <w:tc>
          <w:tcPr>
            <w:tcW w:w="960" w:type="dxa"/>
            <w:vAlign w:val="bottom"/>
            <w:shd w:val="clear" w:color="auto" w:fill="DBEEF4"/>
          </w:tcPr>
          <w:p>
            <w:pPr>
              <w:ind w:left="220"/>
              <w:spacing w:after="0"/>
              <w:rPr>
                <w:sz w:val="20"/>
                <w:szCs w:val="20"/>
                <w:color w:val="auto"/>
              </w:rPr>
            </w:pPr>
            <w:r>
              <w:rPr>
                <w:rFonts w:ascii="Arial" w:cs="Arial" w:eastAsia="Arial" w:hAnsi="Arial"/>
                <w:sz w:val="9"/>
                <w:szCs w:val="9"/>
                <w:color w:val="auto"/>
              </w:rPr>
              <w:t>12.00%/1.50%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8/11/2017</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2/11/2023</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10,682</w:t>
            </w: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10,655</w:t>
            </w: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10,682</w:t>
            </w: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w w:val="95"/>
              </w:rPr>
              <w:t>Delayed Draw Commitment ($875 unfunded commitment) (i)(j)</w:t>
            </w:r>
          </w:p>
        </w:tc>
        <w:tc>
          <w:tcPr>
            <w:tcW w:w="3160" w:type="dxa"/>
            <w:vAlign w:val="bottom"/>
          </w:tcPr>
          <w:p>
            <w:pPr>
              <w:spacing w:after="0"/>
              <w:rPr>
                <w:sz w:val="9"/>
                <w:szCs w:val="9"/>
                <w:color w:val="auto"/>
              </w:rPr>
            </w:pPr>
          </w:p>
        </w:tc>
        <w:tc>
          <w:tcPr>
            <w:tcW w:w="960" w:type="dxa"/>
            <w:vAlign w:val="bottom"/>
          </w:tcPr>
          <w:p>
            <w:pPr>
              <w:ind w:left="220"/>
              <w:spacing w:after="0"/>
              <w:rPr>
                <w:sz w:val="20"/>
                <w:szCs w:val="20"/>
                <w:color w:val="auto"/>
              </w:rPr>
            </w:pPr>
            <w:r>
              <w:rPr>
                <w:rFonts w:ascii="Arial" w:cs="Arial" w:eastAsia="Arial" w:hAnsi="Arial"/>
                <w:sz w:val="9"/>
                <w:szCs w:val="9"/>
                <w:color w:val="auto"/>
              </w:rPr>
              <w:t>12.00%/1.00%</w:t>
            </w:r>
          </w:p>
        </w:tc>
        <w:tc>
          <w:tcPr>
            <w:tcW w:w="820" w:type="dxa"/>
            <w:vAlign w:val="bottom"/>
          </w:tcPr>
          <w:p>
            <w:pPr>
              <w:ind w:left="220"/>
              <w:spacing w:after="0"/>
              <w:rPr>
                <w:sz w:val="20"/>
                <w:szCs w:val="20"/>
                <w:color w:val="auto"/>
              </w:rPr>
            </w:pPr>
            <w:r>
              <w:rPr>
                <w:rFonts w:ascii="Arial" w:cs="Arial" w:eastAsia="Arial" w:hAnsi="Arial"/>
                <w:sz w:val="9"/>
                <w:szCs w:val="9"/>
                <w:color w:val="auto"/>
              </w:rPr>
              <w:t>8/11/2017</w:t>
            </w:r>
          </w:p>
        </w:tc>
        <w:tc>
          <w:tcPr>
            <w:tcW w:w="960" w:type="dxa"/>
            <w:vAlign w:val="bottom"/>
          </w:tcPr>
          <w:p>
            <w:pPr>
              <w:ind w:left="180"/>
              <w:spacing w:after="0"/>
              <w:rPr>
                <w:sz w:val="20"/>
                <w:szCs w:val="20"/>
                <w:color w:val="auto"/>
              </w:rPr>
            </w:pPr>
            <w:r>
              <w:rPr>
                <w:rFonts w:ascii="Arial" w:cs="Arial" w:eastAsia="Arial" w:hAnsi="Arial"/>
                <w:sz w:val="9"/>
                <w:szCs w:val="9"/>
                <w:color w:val="auto"/>
              </w:rPr>
              <w:t>5/17/2022</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9"/>
                <w:szCs w:val="9"/>
                <w:color w:val="auto"/>
              </w:rPr>
            </w:pPr>
          </w:p>
        </w:tc>
      </w:tr>
      <w:tr>
        <w:trPr>
          <w:trHeight w:val="108"/>
        </w:trPr>
        <w:tc>
          <w:tcPr>
            <w:tcW w:w="2520" w:type="dxa"/>
            <w:vAlign w:val="bottom"/>
            <w:shd w:val="clear" w:color="auto" w:fill="DBEEF4"/>
          </w:tcPr>
          <w:p>
            <w:pPr>
              <w:ind w:left="120"/>
              <w:spacing w:after="0"/>
              <w:rPr>
                <w:sz w:val="20"/>
                <w:szCs w:val="20"/>
                <w:color w:val="auto"/>
              </w:rPr>
            </w:pPr>
            <w:r>
              <w:rPr>
                <w:rFonts w:ascii="Arial" w:cs="Arial" w:eastAsia="Arial" w:hAnsi="Arial"/>
                <w:sz w:val="9"/>
                <w:szCs w:val="9"/>
                <w:color w:val="auto"/>
              </w:rPr>
              <w:t>Common Equity (Class A Units) (8,864 units) (h)(j)</w:t>
            </w:r>
          </w:p>
        </w:tc>
        <w:tc>
          <w:tcPr>
            <w:tcW w:w="316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8/11/2017</w:t>
            </w: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944</w:t>
            </w: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629</w:t>
            </w: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Preferred Equity (Units N/A) (h)(j)</w:t>
            </w: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12/10/2020</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136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137</w:t>
            </w:r>
          </w:p>
        </w:tc>
        <w:tc>
          <w:tcPr>
            <w:tcW w:w="720" w:type="dxa"/>
            <w:vAlign w:val="bottom"/>
          </w:tcPr>
          <w:p>
            <w:pPr>
              <w:spacing w:after="0"/>
              <w:rPr>
                <w:sz w:val="9"/>
                <w:szCs w:val="9"/>
                <w:color w:val="auto"/>
              </w:rPr>
            </w:pPr>
          </w:p>
        </w:tc>
      </w:tr>
      <w:tr>
        <w:trPr>
          <w:trHeight w:val="108"/>
        </w:trPr>
        <w:tc>
          <w:tcPr>
            <w:tcW w:w="252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(Class F Units) (355 units) (h)(j)</w:t>
            </w:r>
          </w:p>
        </w:tc>
        <w:tc>
          <w:tcPr>
            <w:tcW w:w="3160" w:type="dxa"/>
            <w:vAlign w:val="bottom"/>
            <w:tcBorders>
              <w:bottom w:val="single" w:sz="8" w:color="DBEEF4"/>
            </w:tcBorders>
            <w:shd w:val="clear" w:color="auto" w:fill="DBEEF4"/>
          </w:tcPr>
          <w:p>
            <w:pPr>
              <w:spacing w:after="0"/>
              <w:rPr>
                <w:sz w:val="9"/>
                <w:szCs w:val="9"/>
                <w:color w:val="auto"/>
              </w:rPr>
            </w:pPr>
          </w:p>
        </w:tc>
        <w:tc>
          <w:tcPr>
            <w:tcW w:w="96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12/10/2020</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DBEEF4"/>
            </w:tcBorders>
            <w:shd w:val="clear" w:color="auto" w:fill="DBEEF4"/>
          </w:tcPr>
          <w:p>
            <w:pPr>
              <w:spacing w:after="0"/>
              <w:rPr>
                <w:sz w:val="9"/>
                <w:szCs w:val="9"/>
                <w:color w:val="auto"/>
              </w:rPr>
            </w:pPr>
          </w:p>
        </w:tc>
        <w:tc>
          <w:tcPr>
            <w:tcW w:w="16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DBEEF4"/>
            </w:tcBorders>
            <w:shd w:val="clear" w:color="auto" w:fill="DBEEF4"/>
          </w:tcPr>
          <w:p>
            <w:pPr>
              <w:spacing w:after="0"/>
              <w:rPr>
                <w:sz w:val="9"/>
                <w:szCs w:val="9"/>
                <w:color w:val="auto"/>
              </w:rPr>
            </w:pPr>
          </w:p>
        </w:tc>
      </w:tr>
      <w:tr>
        <w:trPr>
          <w:trHeight w:val="101"/>
        </w:trPr>
        <w:tc>
          <w:tcPr>
            <w:tcW w:w="25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11,735</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11,448</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3 %</w:t>
            </w:r>
          </w:p>
        </w:tc>
      </w:tr>
      <w:tr>
        <w:trPr>
          <w:trHeight w:val="108"/>
        </w:trPr>
        <w:tc>
          <w:tcPr>
            <w:tcW w:w="252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Road Safety Services, Inc.</w:t>
            </w:r>
          </w:p>
        </w:tc>
        <w:tc>
          <w:tcPr>
            <w:tcW w:w="3160" w:type="dxa"/>
            <w:vAlign w:val="bottom"/>
            <w:shd w:val="clear" w:color="auto" w:fill="DBEEF4"/>
          </w:tcPr>
          <w:p>
            <w:pPr>
              <w:ind w:left="80"/>
              <w:spacing w:after="0"/>
              <w:rPr>
                <w:sz w:val="20"/>
                <w:szCs w:val="20"/>
                <w:color w:val="auto"/>
              </w:rPr>
            </w:pPr>
            <w:r>
              <w:rPr>
                <w:rFonts w:ascii="Arial" w:cs="Arial" w:eastAsia="Arial" w:hAnsi="Arial"/>
                <w:sz w:val="9"/>
                <w:szCs w:val="9"/>
                <w:color w:val="auto"/>
              </w:rPr>
              <w:t>Business Services</w:t>
            </w: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Second Lien Debt</w:t>
            </w:r>
          </w:p>
        </w:tc>
        <w:tc>
          <w:tcPr>
            <w:tcW w:w="3160" w:type="dxa"/>
            <w:vAlign w:val="bottom"/>
          </w:tcPr>
          <w:p>
            <w:pPr>
              <w:spacing w:after="0"/>
              <w:rPr>
                <w:sz w:val="9"/>
                <w:szCs w:val="9"/>
                <w:color w:val="auto"/>
              </w:rPr>
            </w:pPr>
          </w:p>
        </w:tc>
        <w:tc>
          <w:tcPr>
            <w:tcW w:w="960" w:type="dxa"/>
            <w:vAlign w:val="bottom"/>
          </w:tcPr>
          <w:p>
            <w:pPr>
              <w:ind w:left="220"/>
              <w:spacing w:after="0"/>
              <w:rPr>
                <w:sz w:val="20"/>
                <w:szCs w:val="20"/>
                <w:color w:val="auto"/>
              </w:rPr>
            </w:pPr>
            <w:r>
              <w:rPr>
                <w:rFonts w:ascii="Arial" w:cs="Arial" w:eastAsia="Arial" w:hAnsi="Arial"/>
                <w:sz w:val="9"/>
                <w:szCs w:val="9"/>
                <w:color w:val="auto"/>
              </w:rPr>
              <w:t>11.25%/1.50%</w:t>
            </w:r>
          </w:p>
        </w:tc>
        <w:tc>
          <w:tcPr>
            <w:tcW w:w="820" w:type="dxa"/>
            <w:vAlign w:val="bottom"/>
          </w:tcPr>
          <w:p>
            <w:pPr>
              <w:ind w:left="220"/>
              <w:spacing w:after="0"/>
              <w:rPr>
                <w:sz w:val="20"/>
                <w:szCs w:val="20"/>
                <w:color w:val="auto"/>
              </w:rPr>
            </w:pPr>
            <w:r>
              <w:rPr>
                <w:rFonts w:ascii="Arial" w:cs="Arial" w:eastAsia="Arial" w:hAnsi="Arial"/>
                <w:sz w:val="9"/>
                <w:szCs w:val="9"/>
                <w:color w:val="auto"/>
              </w:rPr>
              <w:t>9/18/2018</w:t>
            </w:r>
          </w:p>
        </w:tc>
        <w:tc>
          <w:tcPr>
            <w:tcW w:w="960" w:type="dxa"/>
            <w:vAlign w:val="bottom"/>
          </w:tcPr>
          <w:p>
            <w:pPr>
              <w:ind w:left="180"/>
              <w:spacing w:after="0"/>
              <w:rPr>
                <w:sz w:val="20"/>
                <w:szCs w:val="20"/>
                <w:color w:val="auto"/>
              </w:rPr>
            </w:pPr>
            <w:r>
              <w:rPr>
                <w:rFonts w:ascii="Arial" w:cs="Arial" w:eastAsia="Arial" w:hAnsi="Arial"/>
                <w:sz w:val="9"/>
                <w:szCs w:val="9"/>
                <w:color w:val="auto"/>
              </w:rPr>
              <w:t>3/18/2024</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10,379</w:t>
            </w: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10,351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10,379</w:t>
            </w:r>
          </w:p>
        </w:tc>
        <w:tc>
          <w:tcPr>
            <w:tcW w:w="720" w:type="dxa"/>
            <w:vAlign w:val="bottom"/>
          </w:tcPr>
          <w:p>
            <w:pPr>
              <w:spacing w:after="0"/>
              <w:rPr>
                <w:sz w:val="9"/>
                <w:szCs w:val="9"/>
                <w:color w:val="auto"/>
              </w:rPr>
            </w:pPr>
          </w:p>
        </w:tc>
      </w:tr>
      <w:tr>
        <w:trPr>
          <w:trHeight w:val="108"/>
        </w:trPr>
        <w:tc>
          <w:tcPr>
            <w:tcW w:w="252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(655 units)</w:t>
            </w:r>
          </w:p>
        </w:tc>
        <w:tc>
          <w:tcPr>
            <w:tcW w:w="3160" w:type="dxa"/>
            <w:vAlign w:val="bottom"/>
            <w:tcBorders>
              <w:bottom w:val="single" w:sz="8" w:color="DBEEF4"/>
            </w:tcBorders>
            <w:shd w:val="clear" w:color="auto" w:fill="DBEEF4"/>
          </w:tcPr>
          <w:p>
            <w:pPr>
              <w:spacing w:after="0"/>
              <w:rPr>
                <w:sz w:val="9"/>
                <w:szCs w:val="9"/>
                <w:color w:val="auto"/>
              </w:rPr>
            </w:pPr>
          </w:p>
        </w:tc>
        <w:tc>
          <w:tcPr>
            <w:tcW w:w="96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9/18/2018</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621</w:t>
            </w:r>
          </w:p>
        </w:tc>
        <w:tc>
          <w:tcPr>
            <w:tcW w:w="160" w:type="dxa"/>
            <w:vAlign w:val="bottom"/>
            <w:tcBorders>
              <w:bottom w:val="single" w:sz="8" w:color="DBEEF4"/>
            </w:tcBorders>
            <w:shd w:val="clear" w:color="auto" w:fill="DBEEF4"/>
          </w:tcPr>
          <w:p>
            <w:pPr>
              <w:spacing w:after="0"/>
              <w:rPr>
                <w:sz w:val="9"/>
                <w:szCs w:val="9"/>
                <w:color w:val="auto"/>
              </w:rPr>
            </w:pPr>
          </w:p>
        </w:tc>
        <w:tc>
          <w:tcPr>
            <w:tcW w:w="16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882</w:t>
            </w:r>
          </w:p>
        </w:tc>
        <w:tc>
          <w:tcPr>
            <w:tcW w:w="720" w:type="dxa"/>
            <w:vAlign w:val="bottom"/>
            <w:tcBorders>
              <w:bottom w:val="single" w:sz="8" w:color="DBEEF4"/>
            </w:tcBorders>
            <w:shd w:val="clear" w:color="auto" w:fill="DBEEF4"/>
          </w:tcPr>
          <w:p>
            <w:pPr>
              <w:spacing w:after="0"/>
              <w:rPr>
                <w:sz w:val="9"/>
                <w:szCs w:val="9"/>
                <w:color w:val="auto"/>
              </w:rPr>
            </w:pPr>
          </w:p>
        </w:tc>
      </w:tr>
      <w:tr>
        <w:trPr>
          <w:trHeight w:val="102"/>
        </w:trPr>
        <w:tc>
          <w:tcPr>
            <w:tcW w:w="25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10,972</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11,261</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3 %</w:t>
            </w:r>
          </w:p>
        </w:tc>
      </w:tr>
      <w:tr>
        <w:trPr>
          <w:trHeight w:val="108"/>
        </w:trPr>
        <w:tc>
          <w:tcPr>
            <w:tcW w:w="252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Rohrer Corporation</w:t>
            </w:r>
          </w:p>
        </w:tc>
        <w:tc>
          <w:tcPr>
            <w:tcW w:w="3160" w:type="dxa"/>
            <w:vAlign w:val="bottom"/>
            <w:shd w:val="clear" w:color="auto" w:fill="DBEEF4"/>
          </w:tcPr>
          <w:p>
            <w:pPr>
              <w:ind w:left="80"/>
              <w:spacing w:after="0"/>
              <w:rPr>
                <w:sz w:val="20"/>
                <w:szCs w:val="20"/>
                <w:color w:val="auto"/>
              </w:rPr>
            </w:pPr>
            <w:r>
              <w:rPr>
                <w:rFonts w:ascii="Arial" w:cs="Arial" w:eastAsia="Arial" w:hAnsi="Arial"/>
                <w:sz w:val="9"/>
                <w:szCs w:val="9"/>
                <w:color w:val="auto"/>
              </w:rPr>
              <w:t>Packaging</w:t>
            </w: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Subordinated Debt (j)</w:t>
            </w:r>
          </w:p>
        </w:tc>
        <w:tc>
          <w:tcPr>
            <w:tcW w:w="3160" w:type="dxa"/>
            <w:vAlign w:val="bottom"/>
          </w:tcPr>
          <w:p>
            <w:pPr>
              <w:spacing w:after="0"/>
              <w:rPr>
                <w:sz w:val="9"/>
                <w:szCs w:val="9"/>
                <w:color w:val="auto"/>
              </w:rPr>
            </w:pPr>
          </w:p>
        </w:tc>
        <w:tc>
          <w:tcPr>
            <w:tcW w:w="960" w:type="dxa"/>
            <w:vAlign w:val="bottom"/>
          </w:tcPr>
          <w:p>
            <w:pPr>
              <w:ind w:left="220"/>
              <w:spacing w:after="0"/>
              <w:rPr>
                <w:sz w:val="20"/>
                <w:szCs w:val="20"/>
                <w:color w:val="auto"/>
              </w:rPr>
            </w:pPr>
            <w:r>
              <w:rPr>
                <w:rFonts w:ascii="Arial" w:cs="Arial" w:eastAsia="Arial" w:hAnsi="Arial"/>
                <w:sz w:val="9"/>
                <w:szCs w:val="9"/>
                <w:color w:val="auto"/>
              </w:rPr>
              <w:t>10.50%/1.00%</w:t>
            </w:r>
          </w:p>
        </w:tc>
        <w:tc>
          <w:tcPr>
            <w:tcW w:w="820" w:type="dxa"/>
            <w:vAlign w:val="bottom"/>
          </w:tcPr>
          <w:p>
            <w:pPr>
              <w:ind w:left="220"/>
              <w:spacing w:after="0"/>
              <w:rPr>
                <w:sz w:val="20"/>
                <w:szCs w:val="20"/>
                <w:color w:val="auto"/>
              </w:rPr>
            </w:pPr>
            <w:r>
              <w:rPr>
                <w:rFonts w:ascii="Arial" w:cs="Arial" w:eastAsia="Arial" w:hAnsi="Arial"/>
                <w:sz w:val="9"/>
                <w:szCs w:val="9"/>
                <w:color w:val="auto"/>
              </w:rPr>
              <w:t>10/1/2018</w:t>
            </w:r>
          </w:p>
        </w:tc>
        <w:tc>
          <w:tcPr>
            <w:tcW w:w="960" w:type="dxa"/>
            <w:vAlign w:val="bottom"/>
          </w:tcPr>
          <w:p>
            <w:pPr>
              <w:ind w:left="180"/>
              <w:spacing w:after="0"/>
              <w:rPr>
                <w:sz w:val="20"/>
                <w:szCs w:val="20"/>
                <w:color w:val="auto"/>
              </w:rPr>
            </w:pPr>
            <w:r>
              <w:rPr>
                <w:rFonts w:ascii="Arial" w:cs="Arial" w:eastAsia="Arial" w:hAnsi="Arial"/>
                <w:sz w:val="9"/>
                <w:szCs w:val="9"/>
                <w:color w:val="auto"/>
              </w:rPr>
              <w:t>4/1/2024</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14,017</w:t>
            </w: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13,976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14,017</w:t>
            </w:r>
          </w:p>
        </w:tc>
        <w:tc>
          <w:tcPr>
            <w:tcW w:w="720" w:type="dxa"/>
            <w:vAlign w:val="bottom"/>
          </w:tcPr>
          <w:p>
            <w:pPr>
              <w:spacing w:after="0"/>
              <w:rPr>
                <w:sz w:val="9"/>
                <w:szCs w:val="9"/>
                <w:color w:val="auto"/>
              </w:rPr>
            </w:pPr>
          </w:p>
        </w:tc>
      </w:tr>
      <w:tr>
        <w:trPr>
          <w:trHeight w:val="108"/>
        </w:trPr>
        <w:tc>
          <w:tcPr>
            <w:tcW w:w="252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(400 shares) (j)</w:t>
            </w:r>
          </w:p>
        </w:tc>
        <w:tc>
          <w:tcPr>
            <w:tcW w:w="3160" w:type="dxa"/>
            <w:vAlign w:val="bottom"/>
            <w:tcBorders>
              <w:bottom w:val="single" w:sz="8" w:color="DBEEF4"/>
            </w:tcBorders>
            <w:shd w:val="clear" w:color="auto" w:fill="DBEEF4"/>
          </w:tcPr>
          <w:p>
            <w:pPr>
              <w:spacing w:after="0"/>
              <w:rPr>
                <w:sz w:val="9"/>
                <w:szCs w:val="9"/>
                <w:color w:val="auto"/>
              </w:rPr>
            </w:pPr>
          </w:p>
        </w:tc>
        <w:tc>
          <w:tcPr>
            <w:tcW w:w="96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7/18/2016</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780</w:t>
            </w:r>
          </w:p>
        </w:tc>
        <w:tc>
          <w:tcPr>
            <w:tcW w:w="160" w:type="dxa"/>
            <w:vAlign w:val="bottom"/>
            <w:tcBorders>
              <w:bottom w:val="single" w:sz="8" w:color="DBEEF4"/>
            </w:tcBorders>
            <w:shd w:val="clear" w:color="auto" w:fill="DBEEF4"/>
          </w:tcPr>
          <w:p>
            <w:pPr>
              <w:spacing w:after="0"/>
              <w:rPr>
                <w:sz w:val="9"/>
                <w:szCs w:val="9"/>
                <w:color w:val="auto"/>
              </w:rPr>
            </w:pPr>
          </w:p>
        </w:tc>
        <w:tc>
          <w:tcPr>
            <w:tcW w:w="16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1,591</w:t>
            </w:r>
          </w:p>
        </w:tc>
        <w:tc>
          <w:tcPr>
            <w:tcW w:w="720" w:type="dxa"/>
            <w:vAlign w:val="bottom"/>
            <w:tcBorders>
              <w:bottom w:val="single" w:sz="8" w:color="DBEEF4"/>
            </w:tcBorders>
            <w:shd w:val="clear" w:color="auto" w:fill="DBEEF4"/>
          </w:tcPr>
          <w:p>
            <w:pPr>
              <w:spacing w:after="0"/>
              <w:rPr>
                <w:sz w:val="9"/>
                <w:szCs w:val="9"/>
                <w:color w:val="auto"/>
              </w:rPr>
            </w:pPr>
          </w:p>
        </w:tc>
      </w:tr>
      <w:tr>
        <w:trPr>
          <w:trHeight w:val="102"/>
        </w:trPr>
        <w:tc>
          <w:tcPr>
            <w:tcW w:w="25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14,756</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15,608</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4 %</w:t>
            </w:r>
          </w:p>
        </w:tc>
      </w:tr>
      <w:tr>
        <w:trPr>
          <w:trHeight w:val="108"/>
        </w:trPr>
        <w:tc>
          <w:tcPr>
            <w:tcW w:w="252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Routeware, Inc.</w:t>
            </w:r>
          </w:p>
        </w:tc>
        <w:tc>
          <w:tcPr>
            <w:tcW w:w="3160" w:type="dxa"/>
            <w:vAlign w:val="bottom"/>
            <w:shd w:val="clear" w:color="auto" w:fill="DBEEF4"/>
          </w:tcPr>
          <w:p>
            <w:pPr>
              <w:ind w:left="80"/>
              <w:spacing w:after="0"/>
              <w:rPr>
                <w:sz w:val="20"/>
                <w:szCs w:val="20"/>
                <w:color w:val="auto"/>
              </w:rPr>
            </w:pPr>
            <w:r>
              <w:rPr>
                <w:rFonts w:ascii="Arial" w:cs="Arial" w:eastAsia="Arial" w:hAnsi="Arial"/>
                <w:sz w:val="9"/>
                <w:szCs w:val="9"/>
                <w:color w:val="auto"/>
              </w:rPr>
              <w:t>Information Technology Services</w:t>
            </w: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First Lien Debt (k)(aa)</w:t>
            </w:r>
          </w:p>
        </w:tc>
        <w:tc>
          <w:tcPr>
            <w:tcW w:w="3160" w:type="dxa"/>
            <w:vAlign w:val="bottom"/>
          </w:tcPr>
          <w:p>
            <w:pPr>
              <w:ind w:left="2140"/>
              <w:spacing w:after="0"/>
              <w:rPr>
                <w:sz w:val="20"/>
                <w:szCs w:val="20"/>
                <w:color w:val="auto"/>
              </w:rPr>
            </w:pPr>
            <w:r>
              <w:rPr>
                <w:rFonts w:ascii="Arial" w:cs="Arial" w:eastAsia="Arial" w:hAnsi="Arial"/>
                <w:sz w:val="9"/>
                <w:szCs w:val="9"/>
                <w:color w:val="auto"/>
              </w:rPr>
              <w:t>(L + 7.00%) / (1.75%)</w:t>
            </w:r>
          </w:p>
        </w:tc>
        <w:tc>
          <w:tcPr>
            <w:tcW w:w="960" w:type="dxa"/>
            <w:vAlign w:val="bottom"/>
          </w:tcPr>
          <w:p>
            <w:pPr>
              <w:ind w:left="220"/>
              <w:spacing w:after="0"/>
              <w:rPr>
                <w:sz w:val="20"/>
                <w:szCs w:val="20"/>
                <w:color w:val="auto"/>
              </w:rPr>
            </w:pPr>
            <w:r>
              <w:rPr>
                <w:rFonts w:ascii="Arial" w:cs="Arial" w:eastAsia="Arial" w:hAnsi="Arial"/>
                <w:sz w:val="9"/>
                <w:szCs w:val="9"/>
                <w:color w:val="auto"/>
              </w:rPr>
              <w:t>8.75%/0.00%</w:t>
            </w:r>
          </w:p>
        </w:tc>
        <w:tc>
          <w:tcPr>
            <w:tcW w:w="820" w:type="dxa"/>
            <w:vAlign w:val="bottom"/>
          </w:tcPr>
          <w:p>
            <w:pPr>
              <w:ind w:left="220"/>
              <w:spacing w:after="0"/>
              <w:rPr>
                <w:sz w:val="20"/>
                <w:szCs w:val="20"/>
                <w:color w:val="auto"/>
              </w:rPr>
            </w:pPr>
            <w:r>
              <w:rPr>
                <w:rFonts w:ascii="Arial" w:cs="Arial" w:eastAsia="Arial" w:hAnsi="Arial"/>
                <w:sz w:val="9"/>
                <w:szCs w:val="9"/>
                <w:color w:val="auto"/>
              </w:rPr>
              <w:t>2/7/2020</w:t>
            </w:r>
          </w:p>
        </w:tc>
        <w:tc>
          <w:tcPr>
            <w:tcW w:w="960" w:type="dxa"/>
            <w:vAlign w:val="bottom"/>
          </w:tcPr>
          <w:p>
            <w:pPr>
              <w:ind w:left="180"/>
              <w:spacing w:after="0"/>
              <w:rPr>
                <w:sz w:val="20"/>
                <w:szCs w:val="20"/>
                <w:color w:val="auto"/>
              </w:rPr>
            </w:pPr>
            <w:r>
              <w:rPr>
                <w:rFonts w:ascii="Arial" w:cs="Arial" w:eastAsia="Arial" w:hAnsi="Arial"/>
                <w:sz w:val="9"/>
                <w:szCs w:val="9"/>
                <w:color w:val="auto"/>
              </w:rPr>
              <w:t>2/7/2025</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14,888</w:t>
            </w: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14,814</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14,888</w:t>
            </w: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4 %</w:t>
            </w:r>
          </w:p>
        </w:tc>
      </w:tr>
      <w:tr>
        <w:trPr>
          <w:trHeight w:val="108"/>
        </w:trPr>
        <w:tc>
          <w:tcPr>
            <w:tcW w:w="2520" w:type="dxa"/>
            <w:vAlign w:val="bottom"/>
            <w:shd w:val="clear" w:color="auto" w:fill="DBEEF4"/>
          </w:tcPr>
          <w:p>
            <w:pPr>
              <w:spacing w:after="0"/>
              <w:rPr>
                <w:sz w:val="9"/>
                <w:szCs w:val="9"/>
                <w:color w:val="auto"/>
              </w:rPr>
            </w:pPr>
          </w:p>
        </w:tc>
        <w:tc>
          <w:tcPr>
            <w:tcW w:w="316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SES Investors, LLC (dba SES Foam)</w:t>
            </w:r>
          </w:p>
        </w:tc>
        <w:tc>
          <w:tcPr>
            <w:tcW w:w="3160" w:type="dxa"/>
            <w:vAlign w:val="bottom"/>
          </w:tcPr>
          <w:p>
            <w:pPr>
              <w:ind w:left="80"/>
              <w:spacing w:after="0"/>
              <w:rPr>
                <w:sz w:val="20"/>
                <w:szCs w:val="20"/>
                <w:color w:val="auto"/>
              </w:rPr>
            </w:pPr>
            <w:r>
              <w:rPr>
                <w:rFonts w:ascii="Arial" w:cs="Arial" w:eastAsia="Arial" w:hAnsi="Arial"/>
                <w:sz w:val="9"/>
                <w:szCs w:val="9"/>
                <w:color w:val="auto"/>
              </w:rPr>
              <w:t>Building Products Manufacturing</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520" w:type="dxa"/>
            <w:vAlign w:val="bottom"/>
            <w:shd w:val="clear" w:color="auto" w:fill="DBEEF4"/>
          </w:tcPr>
          <w:p>
            <w:pPr>
              <w:ind w:left="120"/>
              <w:spacing w:after="0"/>
              <w:rPr>
                <w:sz w:val="20"/>
                <w:szCs w:val="20"/>
                <w:color w:val="auto"/>
              </w:rPr>
            </w:pPr>
            <w:r>
              <w:rPr>
                <w:rFonts w:ascii="Arial" w:cs="Arial" w:eastAsia="Arial" w:hAnsi="Arial"/>
                <w:sz w:val="9"/>
                <w:szCs w:val="9"/>
                <w:color w:val="auto"/>
              </w:rPr>
              <w:t>Second Lien Debt</w:t>
            </w:r>
          </w:p>
        </w:tc>
        <w:tc>
          <w:tcPr>
            <w:tcW w:w="3160" w:type="dxa"/>
            <w:vAlign w:val="bottom"/>
            <w:shd w:val="clear" w:color="auto" w:fill="DBEEF4"/>
          </w:tcPr>
          <w:p>
            <w:pPr>
              <w:spacing w:after="0"/>
              <w:rPr>
                <w:sz w:val="9"/>
                <w:szCs w:val="9"/>
                <w:color w:val="auto"/>
              </w:rPr>
            </w:pPr>
          </w:p>
        </w:tc>
        <w:tc>
          <w:tcPr>
            <w:tcW w:w="960" w:type="dxa"/>
            <w:vAlign w:val="bottom"/>
            <w:shd w:val="clear" w:color="auto" w:fill="DBEEF4"/>
          </w:tcPr>
          <w:p>
            <w:pPr>
              <w:ind w:left="220"/>
              <w:spacing w:after="0"/>
              <w:rPr>
                <w:sz w:val="20"/>
                <w:szCs w:val="20"/>
                <w:color w:val="auto"/>
              </w:rPr>
            </w:pPr>
            <w:r>
              <w:rPr>
                <w:rFonts w:ascii="Arial" w:cs="Arial" w:eastAsia="Arial" w:hAnsi="Arial"/>
                <w:sz w:val="9"/>
                <w:szCs w:val="9"/>
                <w:color w:val="auto"/>
              </w:rPr>
              <w:t>13.00%/0.00%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9/8/2016</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12/29/2022</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1,000</w:t>
            </w: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997</w:t>
            </w: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1,000</w:t>
            </w: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Common Equity (6,000 units) (h)(j)</w:t>
            </w: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9/8/2016</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537</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1,869</w:t>
            </w:r>
          </w:p>
        </w:tc>
        <w:tc>
          <w:tcPr>
            <w:tcW w:w="720" w:type="dxa"/>
            <w:vAlign w:val="bottom"/>
          </w:tcPr>
          <w:p>
            <w:pPr>
              <w:spacing w:after="0"/>
              <w:rPr>
                <w:sz w:val="9"/>
                <w:szCs w:val="9"/>
                <w:color w:val="auto"/>
              </w:rPr>
            </w:pPr>
          </w:p>
        </w:tc>
      </w:tr>
      <w:tr>
        <w:trPr>
          <w:trHeight w:val="102"/>
        </w:trPr>
        <w:tc>
          <w:tcPr>
            <w:tcW w:w="2520" w:type="dxa"/>
            <w:vAlign w:val="bottom"/>
            <w:shd w:val="clear" w:color="auto" w:fill="DBEEF4"/>
          </w:tcPr>
          <w:p>
            <w:pPr>
              <w:spacing w:after="0"/>
              <w:rPr>
                <w:sz w:val="8"/>
                <w:szCs w:val="8"/>
                <w:color w:val="auto"/>
              </w:rPr>
            </w:pPr>
          </w:p>
        </w:tc>
        <w:tc>
          <w:tcPr>
            <w:tcW w:w="316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760" w:type="dxa"/>
            <w:vAlign w:val="bottom"/>
            <w:shd w:val="clear" w:color="auto" w:fill="DBEEF4"/>
          </w:tcPr>
          <w:p>
            <w:pPr>
              <w:spacing w:after="0"/>
              <w:rPr>
                <w:sz w:val="8"/>
                <w:szCs w:val="8"/>
                <w:color w:val="auto"/>
              </w:rPr>
            </w:pPr>
          </w:p>
        </w:tc>
        <w:tc>
          <w:tcPr>
            <w:tcW w:w="180" w:type="dxa"/>
            <w:vAlign w:val="bottom"/>
            <w:shd w:val="clear" w:color="auto" w:fill="DBEEF4"/>
          </w:tcPr>
          <w:p>
            <w:pPr>
              <w:spacing w:after="0"/>
              <w:rPr>
                <w:sz w:val="8"/>
                <w:szCs w:val="8"/>
                <w:color w:val="auto"/>
              </w:rPr>
            </w:pPr>
          </w:p>
        </w:tc>
        <w:tc>
          <w:tcPr>
            <w:tcW w:w="42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1,534</w:t>
            </w:r>
          </w:p>
        </w:tc>
        <w:tc>
          <w:tcPr>
            <w:tcW w:w="160" w:type="dxa"/>
            <w:vAlign w:val="bottom"/>
            <w:shd w:val="clear" w:color="auto" w:fill="DBEEF4"/>
          </w:tcPr>
          <w:p>
            <w:pPr>
              <w:spacing w:after="0"/>
              <w:rPr>
                <w:sz w:val="8"/>
                <w:szCs w:val="8"/>
                <w:color w:val="auto"/>
              </w:rPr>
            </w:pPr>
          </w:p>
        </w:tc>
        <w:tc>
          <w:tcPr>
            <w:tcW w:w="160" w:type="dxa"/>
            <w:vAlign w:val="bottom"/>
            <w:shd w:val="clear" w:color="auto" w:fill="DBEEF4"/>
          </w:tcPr>
          <w:p>
            <w:pPr>
              <w:spacing w:after="0"/>
              <w:rPr>
                <w:sz w:val="8"/>
                <w:szCs w:val="8"/>
                <w:color w:val="auto"/>
              </w:rPr>
            </w:pPr>
          </w:p>
        </w:tc>
        <w:tc>
          <w:tcPr>
            <w:tcW w:w="42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2,869</w:t>
            </w:r>
          </w:p>
        </w:tc>
        <w:tc>
          <w:tcPr>
            <w:tcW w:w="720" w:type="dxa"/>
            <w:vAlign w:val="bottom"/>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1 %</w:t>
            </w: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Software Technology, LLC</w:t>
            </w:r>
          </w:p>
        </w:tc>
        <w:tc>
          <w:tcPr>
            <w:tcW w:w="3160" w:type="dxa"/>
            <w:vAlign w:val="bottom"/>
          </w:tcPr>
          <w:p>
            <w:pPr>
              <w:ind w:left="80"/>
              <w:spacing w:after="0"/>
              <w:rPr>
                <w:sz w:val="20"/>
                <w:szCs w:val="20"/>
                <w:color w:val="auto"/>
              </w:rPr>
            </w:pPr>
            <w:r>
              <w:rPr>
                <w:rFonts w:ascii="Arial" w:cs="Arial" w:eastAsia="Arial" w:hAnsi="Arial"/>
                <w:sz w:val="9"/>
                <w:szCs w:val="9"/>
                <w:color w:val="auto"/>
              </w:rPr>
              <w:t>Information Technology Services</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520" w:type="dxa"/>
            <w:vAlign w:val="bottom"/>
            <w:shd w:val="clear" w:color="auto" w:fill="DBEEF4"/>
          </w:tcPr>
          <w:p>
            <w:pPr>
              <w:ind w:left="120"/>
              <w:spacing w:after="0"/>
              <w:rPr>
                <w:sz w:val="20"/>
                <w:szCs w:val="20"/>
                <w:color w:val="auto"/>
              </w:rPr>
            </w:pPr>
            <w:r>
              <w:rPr>
                <w:rFonts w:ascii="Arial" w:cs="Arial" w:eastAsia="Arial" w:hAnsi="Arial"/>
                <w:sz w:val="9"/>
                <w:szCs w:val="9"/>
                <w:color w:val="auto"/>
              </w:rPr>
              <w:t>Subordinated Debt (k)</w:t>
            </w:r>
          </w:p>
        </w:tc>
        <w:tc>
          <w:tcPr>
            <w:tcW w:w="3160" w:type="dxa"/>
            <w:vAlign w:val="bottom"/>
            <w:shd w:val="clear" w:color="auto" w:fill="DBEEF4"/>
          </w:tcPr>
          <w:p>
            <w:pPr>
              <w:spacing w:after="0"/>
              <w:rPr>
                <w:sz w:val="9"/>
                <w:szCs w:val="9"/>
                <w:color w:val="auto"/>
              </w:rPr>
            </w:pPr>
          </w:p>
        </w:tc>
        <w:tc>
          <w:tcPr>
            <w:tcW w:w="960" w:type="dxa"/>
            <w:vAlign w:val="bottom"/>
            <w:shd w:val="clear" w:color="auto" w:fill="DBEEF4"/>
          </w:tcPr>
          <w:p>
            <w:pPr>
              <w:ind w:left="220"/>
              <w:spacing w:after="0"/>
              <w:rPr>
                <w:sz w:val="20"/>
                <w:szCs w:val="20"/>
                <w:color w:val="auto"/>
              </w:rPr>
            </w:pPr>
            <w:r>
              <w:rPr>
                <w:rFonts w:ascii="Arial" w:cs="Arial" w:eastAsia="Arial" w:hAnsi="Arial"/>
                <w:sz w:val="9"/>
                <w:szCs w:val="9"/>
                <w:color w:val="auto"/>
              </w:rPr>
              <w:t>11.00%/0.00%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12/23/2016</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6/23/2023</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10,000</w:t>
            </w: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9,980</w:t>
            </w: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10,000</w:t>
            </w: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Common Equity (6 shares)</w:t>
            </w: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12/23/2016</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646</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942</w:t>
            </w:r>
          </w:p>
        </w:tc>
        <w:tc>
          <w:tcPr>
            <w:tcW w:w="720" w:type="dxa"/>
            <w:vAlign w:val="bottom"/>
          </w:tcPr>
          <w:p>
            <w:pPr>
              <w:spacing w:after="0"/>
              <w:rPr>
                <w:sz w:val="9"/>
                <w:szCs w:val="9"/>
                <w:color w:val="auto"/>
              </w:rPr>
            </w:pPr>
          </w:p>
        </w:tc>
      </w:tr>
      <w:tr>
        <w:trPr>
          <w:trHeight w:val="101"/>
        </w:trPr>
        <w:tc>
          <w:tcPr>
            <w:tcW w:w="2520" w:type="dxa"/>
            <w:vAlign w:val="bottom"/>
            <w:shd w:val="clear" w:color="auto" w:fill="DBEEF4"/>
          </w:tcPr>
          <w:p>
            <w:pPr>
              <w:spacing w:after="0"/>
              <w:rPr>
                <w:sz w:val="8"/>
                <w:szCs w:val="8"/>
                <w:color w:val="auto"/>
              </w:rPr>
            </w:pPr>
          </w:p>
        </w:tc>
        <w:tc>
          <w:tcPr>
            <w:tcW w:w="316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760" w:type="dxa"/>
            <w:vAlign w:val="bottom"/>
            <w:shd w:val="clear" w:color="auto" w:fill="DBEEF4"/>
          </w:tcPr>
          <w:p>
            <w:pPr>
              <w:spacing w:after="0"/>
              <w:rPr>
                <w:sz w:val="8"/>
                <w:szCs w:val="8"/>
                <w:color w:val="auto"/>
              </w:rPr>
            </w:pPr>
          </w:p>
        </w:tc>
        <w:tc>
          <w:tcPr>
            <w:tcW w:w="180" w:type="dxa"/>
            <w:vAlign w:val="bottom"/>
            <w:shd w:val="clear" w:color="auto" w:fill="DBEEF4"/>
          </w:tcPr>
          <w:p>
            <w:pPr>
              <w:spacing w:after="0"/>
              <w:rPr>
                <w:sz w:val="8"/>
                <w:szCs w:val="8"/>
                <w:color w:val="auto"/>
              </w:rPr>
            </w:pPr>
          </w:p>
        </w:tc>
        <w:tc>
          <w:tcPr>
            <w:tcW w:w="42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10,626</w:t>
            </w:r>
          </w:p>
        </w:tc>
        <w:tc>
          <w:tcPr>
            <w:tcW w:w="160" w:type="dxa"/>
            <w:vAlign w:val="bottom"/>
            <w:shd w:val="clear" w:color="auto" w:fill="DBEEF4"/>
          </w:tcPr>
          <w:p>
            <w:pPr>
              <w:spacing w:after="0"/>
              <w:rPr>
                <w:sz w:val="8"/>
                <w:szCs w:val="8"/>
                <w:color w:val="auto"/>
              </w:rPr>
            </w:pPr>
          </w:p>
        </w:tc>
        <w:tc>
          <w:tcPr>
            <w:tcW w:w="160" w:type="dxa"/>
            <w:vAlign w:val="bottom"/>
            <w:shd w:val="clear" w:color="auto" w:fill="DBEEF4"/>
          </w:tcPr>
          <w:p>
            <w:pPr>
              <w:spacing w:after="0"/>
              <w:rPr>
                <w:sz w:val="8"/>
                <w:szCs w:val="8"/>
                <w:color w:val="auto"/>
              </w:rPr>
            </w:pPr>
          </w:p>
        </w:tc>
        <w:tc>
          <w:tcPr>
            <w:tcW w:w="42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10,942</w:t>
            </w:r>
          </w:p>
        </w:tc>
        <w:tc>
          <w:tcPr>
            <w:tcW w:w="720" w:type="dxa"/>
            <w:vAlign w:val="bottom"/>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3 %</w:t>
            </w: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Specialized Elevator Services Holdings, LLC</w:t>
            </w:r>
          </w:p>
        </w:tc>
        <w:tc>
          <w:tcPr>
            <w:tcW w:w="3160" w:type="dxa"/>
            <w:vAlign w:val="bottom"/>
          </w:tcPr>
          <w:p>
            <w:pPr>
              <w:ind w:left="80"/>
              <w:spacing w:after="0"/>
              <w:rPr>
                <w:sz w:val="20"/>
                <w:szCs w:val="20"/>
                <w:color w:val="auto"/>
              </w:rPr>
            </w:pPr>
            <w:r>
              <w:rPr>
                <w:rFonts w:ascii="Arial" w:cs="Arial" w:eastAsia="Arial" w:hAnsi="Arial"/>
                <w:sz w:val="9"/>
                <w:szCs w:val="9"/>
                <w:color w:val="auto"/>
              </w:rPr>
              <w:t>Business Services</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520" w:type="dxa"/>
            <w:vAlign w:val="bottom"/>
            <w:shd w:val="clear" w:color="auto" w:fill="DBEEF4"/>
          </w:tcPr>
          <w:p>
            <w:pPr>
              <w:ind w:left="120"/>
              <w:spacing w:after="0"/>
              <w:rPr>
                <w:sz w:val="20"/>
                <w:szCs w:val="20"/>
                <w:color w:val="auto"/>
              </w:rPr>
            </w:pPr>
            <w:r>
              <w:rPr>
                <w:rFonts w:ascii="Arial" w:cs="Arial" w:eastAsia="Arial" w:hAnsi="Arial"/>
                <w:sz w:val="9"/>
                <w:szCs w:val="9"/>
                <w:color w:val="auto"/>
              </w:rPr>
              <w:t>First Lien Debt (j)(y)</w:t>
            </w:r>
          </w:p>
        </w:tc>
        <w:tc>
          <w:tcPr>
            <w:tcW w:w="3160" w:type="dxa"/>
            <w:vAlign w:val="bottom"/>
            <w:shd w:val="clear" w:color="auto" w:fill="DBEEF4"/>
          </w:tcPr>
          <w:p>
            <w:pPr>
              <w:ind w:left="2140"/>
              <w:spacing w:after="0"/>
              <w:rPr>
                <w:sz w:val="20"/>
                <w:szCs w:val="20"/>
                <w:color w:val="auto"/>
              </w:rPr>
            </w:pPr>
            <w:r>
              <w:rPr>
                <w:rFonts w:ascii="Arial" w:cs="Arial" w:eastAsia="Arial" w:hAnsi="Arial"/>
                <w:sz w:val="9"/>
                <w:szCs w:val="9"/>
                <w:color w:val="auto"/>
              </w:rPr>
              <w:t>(L + 5.25%) / (2.00%)</w:t>
            </w:r>
          </w:p>
        </w:tc>
        <w:tc>
          <w:tcPr>
            <w:tcW w:w="960" w:type="dxa"/>
            <w:vAlign w:val="bottom"/>
            <w:shd w:val="clear" w:color="auto" w:fill="DBEEF4"/>
          </w:tcPr>
          <w:p>
            <w:pPr>
              <w:ind w:left="220"/>
              <w:spacing w:after="0"/>
              <w:rPr>
                <w:sz w:val="20"/>
                <w:szCs w:val="20"/>
                <w:color w:val="auto"/>
              </w:rPr>
            </w:pPr>
            <w:r>
              <w:rPr>
                <w:rFonts w:ascii="Arial" w:cs="Arial" w:eastAsia="Arial" w:hAnsi="Arial"/>
                <w:sz w:val="9"/>
                <w:szCs w:val="9"/>
                <w:color w:val="auto"/>
              </w:rPr>
              <w:t>7.25%/0.00%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5/7/2019</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5/3/2024</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12,889</w:t>
            </w: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12,782</w:t>
            </w: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12,889</w:t>
            </w: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Common Equity (596 units) (j)</w:t>
            </w: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5/8/2019</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596</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647</w:t>
            </w:r>
          </w:p>
        </w:tc>
        <w:tc>
          <w:tcPr>
            <w:tcW w:w="720" w:type="dxa"/>
            <w:vAlign w:val="bottom"/>
          </w:tcPr>
          <w:p>
            <w:pPr>
              <w:spacing w:after="0"/>
              <w:rPr>
                <w:sz w:val="9"/>
                <w:szCs w:val="9"/>
                <w:color w:val="auto"/>
              </w:rPr>
            </w:pPr>
          </w:p>
        </w:tc>
      </w:tr>
      <w:tr>
        <w:trPr>
          <w:trHeight w:val="102"/>
        </w:trPr>
        <w:tc>
          <w:tcPr>
            <w:tcW w:w="2520" w:type="dxa"/>
            <w:vAlign w:val="bottom"/>
            <w:shd w:val="clear" w:color="auto" w:fill="DBEEF4"/>
          </w:tcPr>
          <w:p>
            <w:pPr>
              <w:spacing w:after="0"/>
              <w:rPr>
                <w:sz w:val="8"/>
                <w:szCs w:val="8"/>
                <w:color w:val="auto"/>
              </w:rPr>
            </w:pPr>
          </w:p>
        </w:tc>
        <w:tc>
          <w:tcPr>
            <w:tcW w:w="316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760" w:type="dxa"/>
            <w:vAlign w:val="bottom"/>
            <w:shd w:val="clear" w:color="auto" w:fill="DBEEF4"/>
          </w:tcPr>
          <w:p>
            <w:pPr>
              <w:spacing w:after="0"/>
              <w:rPr>
                <w:sz w:val="8"/>
                <w:szCs w:val="8"/>
                <w:color w:val="auto"/>
              </w:rPr>
            </w:pPr>
          </w:p>
        </w:tc>
        <w:tc>
          <w:tcPr>
            <w:tcW w:w="180" w:type="dxa"/>
            <w:vAlign w:val="bottom"/>
            <w:shd w:val="clear" w:color="auto" w:fill="DBEEF4"/>
          </w:tcPr>
          <w:p>
            <w:pPr>
              <w:spacing w:after="0"/>
              <w:rPr>
                <w:sz w:val="8"/>
                <w:szCs w:val="8"/>
                <w:color w:val="auto"/>
              </w:rPr>
            </w:pPr>
          </w:p>
        </w:tc>
        <w:tc>
          <w:tcPr>
            <w:tcW w:w="42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13,378</w:t>
            </w:r>
          </w:p>
        </w:tc>
        <w:tc>
          <w:tcPr>
            <w:tcW w:w="160" w:type="dxa"/>
            <w:vAlign w:val="bottom"/>
            <w:shd w:val="clear" w:color="auto" w:fill="DBEEF4"/>
          </w:tcPr>
          <w:p>
            <w:pPr>
              <w:spacing w:after="0"/>
              <w:rPr>
                <w:sz w:val="8"/>
                <w:szCs w:val="8"/>
                <w:color w:val="auto"/>
              </w:rPr>
            </w:pPr>
          </w:p>
        </w:tc>
        <w:tc>
          <w:tcPr>
            <w:tcW w:w="160" w:type="dxa"/>
            <w:vAlign w:val="bottom"/>
            <w:shd w:val="clear" w:color="auto" w:fill="DBEEF4"/>
          </w:tcPr>
          <w:p>
            <w:pPr>
              <w:spacing w:after="0"/>
              <w:rPr>
                <w:sz w:val="8"/>
                <w:szCs w:val="8"/>
                <w:color w:val="auto"/>
              </w:rPr>
            </w:pPr>
          </w:p>
        </w:tc>
        <w:tc>
          <w:tcPr>
            <w:tcW w:w="42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13,536</w:t>
            </w:r>
          </w:p>
        </w:tc>
        <w:tc>
          <w:tcPr>
            <w:tcW w:w="720" w:type="dxa"/>
            <w:vAlign w:val="bottom"/>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3 %</w:t>
            </w: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SpendMend LLC</w:t>
            </w:r>
          </w:p>
        </w:tc>
        <w:tc>
          <w:tcPr>
            <w:tcW w:w="3160" w:type="dxa"/>
            <w:vAlign w:val="bottom"/>
          </w:tcPr>
          <w:p>
            <w:pPr>
              <w:ind w:left="80"/>
              <w:spacing w:after="0"/>
              <w:rPr>
                <w:sz w:val="20"/>
                <w:szCs w:val="20"/>
                <w:color w:val="auto"/>
              </w:rPr>
            </w:pPr>
            <w:r>
              <w:rPr>
                <w:rFonts w:ascii="Arial" w:cs="Arial" w:eastAsia="Arial" w:hAnsi="Arial"/>
                <w:sz w:val="9"/>
                <w:szCs w:val="9"/>
                <w:color w:val="auto"/>
              </w:rPr>
              <w:t>Business Services</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520" w:type="dxa"/>
            <w:vAlign w:val="bottom"/>
            <w:shd w:val="clear" w:color="auto" w:fill="DBEEF4"/>
          </w:tcPr>
          <w:p>
            <w:pPr>
              <w:ind w:left="120"/>
              <w:spacing w:after="0"/>
              <w:rPr>
                <w:sz w:val="20"/>
                <w:szCs w:val="20"/>
                <w:color w:val="auto"/>
              </w:rPr>
            </w:pPr>
            <w:r>
              <w:rPr>
                <w:rFonts w:ascii="Arial" w:cs="Arial" w:eastAsia="Arial" w:hAnsi="Arial"/>
                <w:sz w:val="9"/>
                <w:szCs w:val="9"/>
                <w:color w:val="auto"/>
              </w:rPr>
              <w:t>Common Equity (1,000,000 units)</w:t>
            </w:r>
          </w:p>
        </w:tc>
        <w:tc>
          <w:tcPr>
            <w:tcW w:w="316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1/8/2018</w:t>
            </w: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972</w:t>
            </w: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1,915</w:t>
            </w:r>
          </w:p>
        </w:tc>
        <w:tc>
          <w:tcPr>
            <w:tcW w:w="720" w:type="dxa"/>
            <w:vAlign w:val="bottom"/>
            <w:shd w:val="clear" w:color="auto" w:fill="DBEEF4"/>
          </w:tcPr>
          <w:p>
            <w:pPr>
              <w:jc w:val="right"/>
              <w:ind w:right="55"/>
              <w:spacing w:after="0"/>
              <w:rPr>
                <w:sz w:val="20"/>
                <w:szCs w:val="20"/>
                <w:color w:val="auto"/>
              </w:rPr>
            </w:pPr>
            <w:r>
              <w:rPr>
                <w:rFonts w:ascii="Arial" w:cs="Arial" w:eastAsia="Arial" w:hAnsi="Arial"/>
                <w:sz w:val="9"/>
                <w:szCs w:val="9"/>
                <w:color w:val="auto"/>
              </w:rPr>
              <w:t>0 %</w:t>
            </w:r>
          </w:p>
        </w:tc>
      </w:tr>
      <w:tr>
        <w:trPr>
          <w:trHeight w:val="108"/>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52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TransGo, LLC</w:t>
            </w:r>
          </w:p>
        </w:tc>
        <w:tc>
          <w:tcPr>
            <w:tcW w:w="3160" w:type="dxa"/>
            <w:vAlign w:val="bottom"/>
            <w:shd w:val="clear" w:color="auto" w:fill="DBEEF4"/>
          </w:tcPr>
          <w:p>
            <w:pPr>
              <w:ind w:left="80"/>
              <w:spacing w:after="0"/>
              <w:rPr>
                <w:sz w:val="20"/>
                <w:szCs w:val="20"/>
                <w:color w:val="auto"/>
              </w:rPr>
            </w:pPr>
            <w:r>
              <w:rPr>
                <w:rFonts w:ascii="Arial" w:cs="Arial" w:eastAsia="Arial" w:hAnsi="Arial"/>
                <w:sz w:val="9"/>
                <w:szCs w:val="9"/>
                <w:color w:val="auto"/>
              </w:rPr>
              <w:t>Component Manufacturing</w:t>
            </w: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Common Equity (500 units) (j)</w:t>
            </w: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2/28/2017</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474</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996</w:t>
            </w: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0 %</w:t>
            </w:r>
          </w:p>
        </w:tc>
      </w:tr>
      <w:tr>
        <w:trPr>
          <w:trHeight w:val="108"/>
        </w:trPr>
        <w:tc>
          <w:tcPr>
            <w:tcW w:w="2520" w:type="dxa"/>
            <w:vAlign w:val="bottom"/>
            <w:shd w:val="clear" w:color="auto" w:fill="DBEEF4"/>
          </w:tcPr>
          <w:p>
            <w:pPr>
              <w:spacing w:after="0"/>
              <w:rPr>
                <w:sz w:val="9"/>
                <w:szCs w:val="9"/>
                <w:color w:val="auto"/>
              </w:rPr>
            </w:pPr>
          </w:p>
        </w:tc>
        <w:tc>
          <w:tcPr>
            <w:tcW w:w="316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The Tranzonic Companies</w:t>
            </w:r>
          </w:p>
        </w:tc>
        <w:tc>
          <w:tcPr>
            <w:tcW w:w="3160" w:type="dxa"/>
            <w:vAlign w:val="bottom"/>
          </w:tcPr>
          <w:p>
            <w:pPr>
              <w:ind w:left="80"/>
              <w:spacing w:after="0"/>
              <w:rPr>
                <w:sz w:val="20"/>
                <w:szCs w:val="20"/>
                <w:color w:val="auto"/>
              </w:rPr>
            </w:pPr>
            <w:r>
              <w:rPr>
                <w:rFonts w:ascii="Arial" w:cs="Arial" w:eastAsia="Arial" w:hAnsi="Arial"/>
                <w:sz w:val="9"/>
                <w:szCs w:val="9"/>
                <w:color w:val="auto"/>
              </w:rPr>
              <w:t>Specialty Distribution</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520" w:type="dxa"/>
            <w:vAlign w:val="bottom"/>
            <w:shd w:val="clear" w:color="auto" w:fill="DBEEF4"/>
          </w:tcPr>
          <w:p>
            <w:pPr>
              <w:ind w:left="120"/>
              <w:spacing w:after="0"/>
              <w:rPr>
                <w:sz w:val="20"/>
                <w:szCs w:val="20"/>
                <w:color w:val="auto"/>
              </w:rPr>
            </w:pPr>
            <w:r>
              <w:rPr>
                <w:rFonts w:ascii="Arial" w:cs="Arial" w:eastAsia="Arial" w:hAnsi="Arial"/>
                <w:sz w:val="9"/>
                <w:szCs w:val="9"/>
                <w:color w:val="auto"/>
              </w:rPr>
              <w:t>Subordinated Debt (j)</w:t>
            </w:r>
          </w:p>
        </w:tc>
        <w:tc>
          <w:tcPr>
            <w:tcW w:w="3160" w:type="dxa"/>
            <w:vAlign w:val="bottom"/>
            <w:shd w:val="clear" w:color="auto" w:fill="DBEEF4"/>
          </w:tcPr>
          <w:p>
            <w:pPr>
              <w:spacing w:after="0"/>
              <w:rPr>
                <w:sz w:val="9"/>
                <w:szCs w:val="9"/>
                <w:color w:val="auto"/>
              </w:rPr>
            </w:pPr>
          </w:p>
        </w:tc>
        <w:tc>
          <w:tcPr>
            <w:tcW w:w="960" w:type="dxa"/>
            <w:vAlign w:val="bottom"/>
            <w:shd w:val="clear" w:color="auto" w:fill="DBEEF4"/>
          </w:tcPr>
          <w:p>
            <w:pPr>
              <w:ind w:left="220"/>
              <w:spacing w:after="0"/>
              <w:rPr>
                <w:sz w:val="20"/>
                <w:szCs w:val="20"/>
                <w:color w:val="auto"/>
              </w:rPr>
            </w:pPr>
            <w:r>
              <w:rPr>
                <w:rFonts w:ascii="Arial" w:cs="Arial" w:eastAsia="Arial" w:hAnsi="Arial"/>
                <w:sz w:val="9"/>
                <w:szCs w:val="9"/>
                <w:color w:val="auto"/>
              </w:rPr>
              <w:t>10.00%/1.00%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3/27/2018</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3/27/2025</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7,001</w:t>
            </w: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6,959</w:t>
            </w: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7,001</w:t>
            </w: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Preferred Equity (5,653 units) (j)</w:t>
            </w: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3/27/2018</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565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730</w:t>
            </w:r>
          </w:p>
        </w:tc>
        <w:tc>
          <w:tcPr>
            <w:tcW w:w="720" w:type="dxa"/>
            <w:vAlign w:val="bottom"/>
          </w:tcPr>
          <w:p>
            <w:pPr>
              <w:spacing w:after="0"/>
              <w:rPr>
                <w:sz w:val="9"/>
                <w:szCs w:val="9"/>
                <w:color w:val="auto"/>
              </w:rPr>
            </w:pPr>
          </w:p>
        </w:tc>
      </w:tr>
      <w:tr>
        <w:trPr>
          <w:trHeight w:val="108"/>
        </w:trPr>
        <w:tc>
          <w:tcPr>
            <w:tcW w:w="252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(1 units) (j)</w:t>
            </w:r>
          </w:p>
        </w:tc>
        <w:tc>
          <w:tcPr>
            <w:tcW w:w="3160" w:type="dxa"/>
            <w:vAlign w:val="bottom"/>
            <w:tcBorders>
              <w:bottom w:val="single" w:sz="8" w:color="DBEEF4"/>
            </w:tcBorders>
            <w:shd w:val="clear" w:color="auto" w:fill="DBEEF4"/>
          </w:tcPr>
          <w:p>
            <w:pPr>
              <w:spacing w:after="0"/>
              <w:rPr>
                <w:sz w:val="9"/>
                <w:szCs w:val="9"/>
                <w:color w:val="auto"/>
              </w:rPr>
            </w:pPr>
          </w:p>
        </w:tc>
        <w:tc>
          <w:tcPr>
            <w:tcW w:w="96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3/27/2018</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DBEEF4"/>
            </w:tcBorders>
            <w:shd w:val="clear" w:color="auto" w:fill="DBEEF4"/>
          </w:tcPr>
          <w:p>
            <w:pPr>
              <w:spacing w:after="0"/>
              <w:rPr>
                <w:sz w:val="9"/>
                <w:szCs w:val="9"/>
                <w:color w:val="auto"/>
              </w:rPr>
            </w:pPr>
          </w:p>
        </w:tc>
        <w:tc>
          <w:tcPr>
            <w:tcW w:w="16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683</w:t>
            </w:r>
          </w:p>
        </w:tc>
        <w:tc>
          <w:tcPr>
            <w:tcW w:w="720" w:type="dxa"/>
            <w:vAlign w:val="bottom"/>
            <w:tcBorders>
              <w:bottom w:val="single" w:sz="8" w:color="DBEEF4"/>
            </w:tcBorders>
            <w:shd w:val="clear" w:color="auto" w:fill="DBEEF4"/>
          </w:tcPr>
          <w:p>
            <w:pPr>
              <w:spacing w:after="0"/>
              <w:rPr>
                <w:sz w:val="9"/>
                <w:szCs w:val="9"/>
                <w:color w:val="auto"/>
              </w:rPr>
            </w:pPr>
          </w:p>
        </w:tc>
      </w:tr>
      <w:tr>
        <w:trPr>
          <w:trHeight w:val="102"/>
        </w:trPr>
        <w:tc>
          <w:tcPr>
            <w:tcW w:w="25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7,524</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8,414</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2 %</w:t>
            </w:r>
          </w:p>
        </w:tc>
      </w:tr>
      <w:tr>
        <w:trPr>
          <w:trHeight w:val="108"/>
        </w:trPr>
        <w:tc>
          <w:tcPr>
            <w:tcW w:w="252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UBEO, LLC</w:t>
            </w:r>
          </w:p>
        </w:tc>
        <w:tc>
          <w:tcPr>
            <w:tcW w:w="3160" w:type="dxa"/>
            <w:vAlign w:val="bottom"/>
            <w:shd w:val="clear" w:color="auto" w:fill="DBEEF4"/>
          </w:tcPr>
          <w:p>
            <w:pPr>
              <w:ind w:left="80"/>
              <w:spacing w:after="0"/>
              <w:rPr>
                <w:sz w:val="20"/>
                <w:szCs w:val="20"/>
                <w:color w:val="auto"/>
              </w:rPr>
            </w:pPr>
            <w:r>
              <w:rPr>
                <w:rFonts w:ascii="Arial" w:cs="Arial" w:eastAsia="Arial" w:hAnsi="Arial"/>
                <w:sz w:val="9"/>
                <w:szCs w:val="9"/>
                <w:color w:val="auto"/>
              </w:rPr>
              <w:t>Business Services</w:t>
            </w: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Subordinated Debt (j)</w:t>
            </w:r>
          </w:p>
        </w:tc>
        <w:tc>
          <w:tcPr>
            <w:tcW w:w="3160" w:type="dxa"/>
            <w:vAlign w:val="bottom"/>
          </w:tcPr>
          <w:p>
            <w:pPr>
              <w:spacing w:after="0"/>
              <w:rPr>
                <w:sz w:val="9"/>
                <w:szCs w:val="9"/>
                <w:color w:val="auto"/>
              </w:rPr>
            </w:pPr>
          </w:p>
        </w:tc>
        <w:tc>
          <w:tcPr>
            <w:tcW w:w="960" w:type="dxa"/>
            <w:vAlign w:val="bottom"/>
          </w:tcPr>
          <w:p>
            <w:pPr>
              <w:ind w:left="220"/>
              <w:spacing w:after="0"/>
              <w:rPr>
                <w:sz w:val="20"/>
                <w:szCs w:val="20"/>
                <w:color w:val="auto"/>
              </w:rPr>
            </w:pPr>
            <w:r>
              <w:rPr>
                <w:rFonts w:ascii="Arial" w:cs="Arial" w:eastAsia="Arial" w:hAnsi="Arial"/>
                <w:sz w:val="9"/>
                <w:szCs w:val="9"/>
                <w:color w:val="auto"/>
              </w:rPr>
              <w:t>11.00%/0.00%</w:t>
            </w:r>
          </w:p>
        </w:tc>
        <w:tc>
          <w:tcPr>
            <w:tcW w:w="820" w:type="dxa"/>
            <w:vAlign w:val="bottom"/>
          </w:tcPr>
          <w:p>
            <w:pPr>
              <w:ind w:left="220"/>
              <w:spacing w:after="0"/>
              <w:rPr>
                <w:sz w:val="20"/>
                <w:szCs w:val="20"/>
                <w:color w:val="auto"/>
              </w:rPr>
            </w:pPr>
            <w:r>
              <w:rPr>
                <w:rFonts w:ascii="Arial" w:cs="Arial" w:eastAsia="Arial" w:hAnsi="Arial"/>
                <w:sz w:val="9"/>
                <w:szCs w:val="9"/>
                <w:color w:val="auto"/>
              </w:rPr>
              <w:t>4/3/2018</w:t>
            </w:r>
          </w:p>
        </w:tc>
        <w:tc>
          <w:tcPr>
            <w:tcW w:w="960" w:type="dxa"/>
            <w:vAlign w:val="bottom"/>
          </w:tcPr>
          <w:p>
            <w:pPr>
              <w:ind w:left="180"/>
              <w:spacing w:after="0"/>
              <w:rPr>
                <w:sz w:val="20"/>
                <w:szCs w:val="20"/>
                <w:color w:val="auto"/>
              </w:rPr>
            </w:pPr>
            <w:r>
              <w:rPr>
                <w:rFonts w:ascii="Arial" w:cs="Arial" w:eastAsia="Arial" w:hAnsi="Arial"/>
                <w:sz w:val="9"/>
                <w:szCs w:val="9"/>
                <w:color w:val="auto"/>
              </w:rPr>
              <w:t>10/3/2024</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13,893</w:t>
            </w: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13,814</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13,893</w:t>
            </w:r>
          </w:p>
        </w:tc>
        <w:tc>
          <w:tcPr>
            <w:tcW w:w="720" w:type="dxa"/>
            <w:vAlign w:val="bottom"/>
          </w:tcPr>
          <w:p>
            <w:pPr>
              <w:spacing w:after="0"/>
              <w:rPr>
                <w:sz w:val="9"/>
                <w:szCs w:val="9"/>
                <w:color w:val="auto"/>
              </w:rPr>
            </w:pPr>
          </w:p>
        </w:tc>
      </w:tr>
      <w:tr>
        <w:trPr>
          <w:trHeight w:val="108"/>
        </w:trPr>
        <w:tc>
          <w:tcPr>
            <w:tcW w:w="252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(705,000 units) (h)(j)</w:t>
            </w:r>
          </w:p>
        </w:tc>
        <w:tc>
          <w:tcPr>
            <w:tcW w:w="3160" w:type="dxa"/>
            <w:vAlign w:val="bottom"/>
            <w:tcBorders>
              <w:bottom w:val="single" w:sz="8" w:color="DBEEF4"/>
            </w:tcBorders>
            <w:shd w:val="clear" w:color="auto" w:fill="DBEEF4"/>
          </w:tcPr>
          <w:p>
            <w:pPr>
              <w:spacing w:after="0"/>
              <w:rPr>
                <w:sz w:val="9"/>
                <w:szCs w:val="9"/>
                <w:color w:val="auto"/>
              </w:rPr>
            </w:pPr>
          </w:p>
        </w:tc>
        <w:tc>
          <w:tcPr>
            <w:tcW w:w="96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4/3/2018</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668</w:t>
            </w:r>
          </w:p>
        </w:tc>
        <w:tc>
          <w:tcPr>
            <w:tcW w:w="160" w:type="dxa"/>
            <w:vAlign w:val="bottom"/>
            <w:tcBorders>
              <w:bottom w:val="single" w:sz="8" w:color="DBEEF4"/>
            </w:tcBorders>
            <w:shd w:val="clear" w:color="auto" w:fill="DBEEF4"/>
          </w:tcPr>
          <w:p>
            <w:pPr>
              <w:spacing w:after="0"/>
              <w:rPr>
                <w:sz w:val="9"/>
                <w:szCs w:val="9"/>
                <w:color w:val="auto"/>
              </w:rPr>
            </w:pPr>
          </w:p>
        </w:tc>
        <w:tc>
          <w:tcPr>
            <w:tcW w:w="16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661</w:t>
            </w:r>
          </w:p>
        </w:tc>
        <w:tc>
          <w:tcPr>
            <w:tcW w:w="720" w:type="dxa"/>
            <w:vAlign w:val="bottom"/>
            <w:tcBorders>
              <w:bottom w:val="single" w:sz="8" w:color="DBEEF4"/>
            </w:tcBorders>
            <w:shd w:val="clear" w:color="auto" w:fill="DBEEF4"/>
          </w:tcPr>
          <w:p>
            <w:pPr>
              <w:spacing w:after="0"/>
              <w:rPr>
                <w:sz w:val="9"/>
                <w:szCs w:val="9"/>
                <w:color w:val="auto"/>
              </w:rPr>
            </w:pPr>
          </w:p>
        </w:tc>
      </w:tr>
      <w:tr>
        <w:trPr>
          <w:trHeight w:val="102"/>
        </w:trPr>
        <w:tc>
          <w:tcPr>
            <w:tcW w:w="25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14,482</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14,554</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3 %</w:t>
            </w:r>
          </w:p>
        </w:tc>
      </w:tr>
      <w:tr>
        <w:trPr>
          <w:trHeight w:val="108"/>
        </w:trPr>
        <w:tc>
          <w:tcPr>
            <w:tcW w:w="252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United Biologics, LLC</w:t>
            </w:r>
          </w:p>
        </w:tc>
        <w:tc>
          <w:tcPr>
            <w:tcW w:w="3160" w:type="dxa"/>
            <w:vAlign w:val="bottom"/>
            <w:shd w:val="clear" w:color="auto" w:fill="DBEEF4"/>
          </w:tcPr>
          <w:p>
            <w:pPr>
              <w:ind w:left="80"/>
              <w:spacing w:after="0"/>
              <w:rPr>
                <w:sz w:val="20"/>
                <w:szCs w:val="20"/>
                <w:color w:val="auto"/>
              </w:rPr>
            </w:pPr>
            <w:r>
              <w:rPr>
                <w:rFonts w:ascii="Arial" w:cs="Arial" w:eastAsia="Arial" w:hAnsi="Arial"/>
                <w:sz w:val="9"/>
                <w:szCs w:val="9"/>
                <w:color w:val="auto"/>
              </w:rPr>
              <w:t>Healthcare Services</w:t>
            </w: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Preferred Equity (98,377 units) (h)(j)</w:t>
            </w: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4/1/2012</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1,008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9"/>
                <w:szCs w:val="9"/>
                <w:color w:val="auto"/>
              </w:rPr>
            </w:pPr>
          </w:p>
        </w:tc>
      </w:tr>
      <w:tr>
        <w:trPr>
          <w:trHeight w:val="108"/>
        </w:trPr>
        <w:tc>
          <w:tcPr>
            <w:tcW w:w="252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Warrant (57,469 units) (j)(m)</w:t>
            </w:r>
          </w:p>
        </w:tc>
        <w:tc>
          <w:tcPr>
            <w:tcW w:w="3160" w:type="dxa"/>
            <w:vAlign w:val="bottom"/>
            <w:tcBorders>
              <w:bottom w:val="single" w:sz="8" w:color="DBEEF4"/>
            </w:tcBorders>
            <w:shd w:val="clear" w:color="auto" w:fill="DBEEF4"/>
          </w:tcPr>
          <w:p>
            <w:pPr>
              <w:spacing w:after="0"/>
              <w:rPr>
                <w:sz w:val="9"/>
                <w:szCs w:val="9"/>
                <w:color w:val="auto"/>
              </w:rPr>
            </w:pPr>
          </w:p>
        </w:tc>
        <w:tc>
          <w:tcPr>
            <w:tcW w:w="96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3/5/2012</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566</w:t>
            </w:r>
          </w:p>
        </w:tc>
        <w:tc>
          <w:tcPr>
            <w:tcW w:w="160" w:type="dxa"/>
            <w:vAlign w:val="bottom"/>
            <w:tcBorders>
              <w:bottom w:val="single" w:sz="8" w:color="DBEEF4"/>
            </w:tcBorders>
            <w:shd w:val="clear" w:color="auto" w:fill="DBEEF4"/>
          </w:tcPr>
          <w:p>
            <w:pPr>
              <w:spacing w:after="0"/>
              <w:rPr>
                <w:sz w:val="9"/>
                <w:szCs w:val="9"/>
                <w:color w:val="auto"/>
              </w:rPr>
            </w:pPr>
          </w:p>
        </w:tc>
        <w:tc>
          <w:tcPr>
            <w:tcW w:w="16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DBEEF4"/>
            </w:tcBorders>
            <w:shd w:val="clear" w:color="auto" w:fill="DBEEF4"/>
          </w:tcPr>
          <w:p>
            <w:pPr>
              <w:spacing w:after="0"/>
              <w:rPr>
                <w:sz w:val="9"/>
                <w:szCs w:val="9"/>
                <w:color w:val="auto"/>
              </w:rPr>
            </w:pPr>
          </w:p>
        </w:tc>
      </w:tr>
      <w:tr>
        <w:trPr>
          <w:trHeight w:val="102"/>
        </w:trPr>
        <w:tc>
          <w:tcPr>
            <w:tcW w:w="25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1,574</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0 %</w:t>
            </w:r>
          </w:p>
        </w:tc>
      </w:tr>
      <w:tr>
        <w:trPr>
          <w:trHeight w:val="108"/>
        </w:trPr>
        <w:tc>
          <w:tcPr>
            <w:tcW w:w="252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Virginia Tile Company, LLC</w:t>
            </w:r>
          </w:p>
        </w:tc>
        <w:tc>
          <w:tcPr>
            <w:tcW w:w="3160" w:type="dxa"/>
            <w:vAlign w:val="bottom"/>
            <w:shd w:val="clear" w:color="auto" w:fill="DBEEF4"/>
          </w:tcPr>
          <w:p>
            <w:pPr>
              <w:ind w:left="80"/>
              <w:spacing w:after="0"/>
              <w:rPr>
                <w:sz w:val="20"/>
                <w:szCs w:val="20"/>
                <w:color w:val="auto"/>
              </w:rPr>
            </w:pPr>
            <w:r>
              <w:rPr>
                <w:rFonts w:ascii="Arial" w:cs="Arial" w:eastAsia="Arial" w:hAnsi="Arial"/>
                <w:sz w:val="9"/>
                <w:szCs w:val="9"/>
                <w:color w:val="auto"/>
              </w:rPr>
              <w:t>Specialty Distribution</w:t>
            </w: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Second Lien Debt (j)</w:t>
            </w:r>
          </w:p>
        </w:tc>
        <w:tc>
          <w:tcPr>
            <w:tcW w:w="3160" w:type="dxa"/>
            <w:vAlign w:val="bottom"/>
          </w:tcPr>
          <w:p>
            <w:pPr>
              <w:spacing w:after="0"/>
              <w:rPr>
                <w:sz w:val="9"/>
                <w:szCs w:val="9"/>
                <w:color w:val="auto"/>
              </w:rPr>
            </w:pPr>
          </w:p>
        </w:tc>
        <w:tc>
          <w:tcPr>
            <w:tcW w:w="960" w:type="dxa"/>
            <w:vAlign w:val="bottom"/>
          </w:tcPr>
          <w:p>
            <w:pPr>
              <w:ind w:left="220"/>
              <w:spacing w:after="0"/>
              <w:rPr>
                <w:sz w:val="20"/>
                <w:szCs w:val="20"/>
                <w:color w:val="auto"/>
              </w:rPr>
            </w:pPr>
            <w:r>
              <w:rPr>
                <w:rFonts w:ascii="Arial" w:cs="Arial" w:eastAsia="Arial" w:hAnsi="Arial"/>
                <w:sz w:val="9"/>
                <w:szCs w:val="9"/>
                <w:color w:val="auto"/>
              </w:rPr>
              <w:t>12.25%/0.00%</w:t>
            </w:r>
          </w:p>
        </w:tc>
        <w:tc>
          <w:tcPr>
            <w:tcW w:w="820" w:type="dxa"/>
            <w:vAlign w:val="bottom"/>
          </w:tcPr>
          <w:p>
            <w:pPr>
              <w:ind w:left="220"/>
              <w:spacing w:after="0"/>
              <w:rPr>
                <w:sz w:val="20"/>
                <w:szCs w:val="20"/>
                <w:color w:val="auto"/>
              </w:rPr>
            </w:pPr>
            <w:r>
              <w:rPr>
                <w:rFonts w:ascii="Arial" w:cs="Arial" w:eastAsia="Arial" w:hAnsi="Arial"/>
                <w:sz w:val="9"/>
                <w:szCs w:val="9"/>
                <w:color w:val="auto"/>
              </w:rPr>
              <w:t>12/19/2014</w:t>
            </w:r>
          </w:p>
        </w:tc>
        <w:tc>
          <w:tcPr>
            <w:tcW w:w="960" w:type="dxa"/>
            <w:vAlign w:val="bottom"/>
          </w:tcPr>
          <w:p>
            <w:pPr>
              <w:ind w:left="180"/>
              <w:spacing w:after="0"/>
              <w:rPr>
                <w:sz w:val="20"/>
                <w:szCs w:val="20"/>
                <w:color w:val="auto"/>
              </w:rPr>
            </w:pPr>
            <w:r>
              <w:rPr>
                <w:rFonts w:ascii="Arial" w:cs="Arial" w:eastAsia="Arial" w:hAnsi="Arial"/>
                <w:sz w:val="9"/>
                <w:szCs w:val="9"/>
                <w:color w:val="auto"/>
              </w:rPr>
              <w:t>4/7/2022</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12,000</w:t>
            </w: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11,998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12,000</w:t>
            </w:r>
          </w:p>
        </w:tc>
        <w:tc>
          <w:tcPr>
            <w:tcW w:w="720" w:type="dxa"/>
            <w:vAlign w:val="bottom"/>
          </w:tcPr>
          <w:p>
            <w:pPr>
              <w:spacing w:after="0"/>
              <w:rPr>
                <w:sz w:val="9"/>
                <w:szCs w:val="9"/>
                <w:color w:val="auto"/>
              </w:rPr>
            </w:pPr>
          </w:p>
        </w:tc>
      </w:tr>
      <w:tr>
        <w:trPr>
          <w:trHeight w:val="108"/>
        </w:trPr>
        <w:tc>
          <w:tcPr>
            <w:tcW w:w="252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9"/>
                <w:szCs w:val="9"/>
                <w:color w:val="auto"/>
              </w:rPr>
              <w:t>Common Equity (17 units) (j)</w:t>
            </w:r>
          </w:p>
        </w:tc>
        <w:tc>
          <w:tcPr>
            <w:tcW w:w="3160" w:type="dxa"/>
            <w:vAlign w:val="bottom"/>
            <w:tcBorders>
              <w:bottom w:val="single" w:sz="8" w:color="DBEEF4"/>
            </w:tcBorders>
            <w:shd w:val="clear" w:color="auto" w:fill="DBEEF4"/>
          </w:tcPr>
          <w:p>
            <w:pPr>
              <w:spacing w:after="0"/>
              <w:rPr>
                <w:sz w:val="9"/>
                <w:szCs w:val="9"/>
                <w:color w:val="auto"/>
              </w:rPr>
            </w:pPr>
          </w:p>
        </w:tc>
        <w:tc>
          <w:tcPr>
            <w:tcW w:w="960" w:type="dxa"/>
            <w:vAlign w:val="bottom"/>
            <w:tcBorders>
              <w:bottom w:val="single" w:sz="8" w:color="DBEEF4"/>
            </w:tcBorders>
            <w:shd w:val="clear" w:color="auto" w:fill="DBEEF4"/>
          </w:tcPr>
          <w:p>
            <w:pPr>
              <w:spacing w:after="0"/>
              <w:rPr>
                <w:sz w:val="9"/>
                <w:szCs w:val="9"/>
                <w:color w:val="auto"/>
              </w:rPr>
            </w:pPr>
          </w:p>
        </w:tc>
        <w:tc>
          <w:tcPr>
            <w:tcW w:w="820" w:type="dxa"/>
            <w:vAlign w:val="bottom"/>
            <w:tcBorders>
              <w:bottom w:val="single" w:sz="8" w:color="DBEEF4"/>
            </w:tcBorders>
            <w:shd w:val="clear" w:color="auto" w:fill="DBEEF4"/>
          </w:tcPr>
          <w:p>
            <w:pPr>
              <w:ind w:left="220"/>
              <w:spacing w:after="0"/>
              <w:rPr>
                <w:sz w:val="20"/>
                <w:szCs w:val="20"/>
                <w:color w:val="auto"/>
              </w:rPr>
            </w:pPr>
            <w:r>
              <w:rPr>
                <w:rFonts w:ascii="Arial" w:cs="Arial" w:eastAsia="Arial" w:hAnsi="Arial"/>
                <w:sz w:val="9"/>
                <w:szCs w:val="9"/>
                <w:color w:val="auto"/>
              </w:rPr>
              <w:t>12/19/2014</w:t>
            </w:r>
          </w:p>
        </w:tc>
        <w:tc>
          <w:tcPr>
            <w:tcW w:w="960" w:type="dxa"/>
            <w:vAlign w:val="bottom"/>
            <w:tcBorders>
              <w:bottom w:val="single" w:sz="8" w:color="DBEEF4"/>
            </w:tcBorders>
            <w:shd w:val="clear" w:color="auto" w:fill="DBEEF4"/>
          </w:tcPr>
          <w:p>
            <w:pPr>
              <w:spacing w:after="0"/>
              <w:rPr>
                <w:sz w:val="9"/>
                <w:szCs w:val="9"/>
                <w:color w:val="auto"/>
              </w:rPr>
            </w:pPr>
          </w:p>
        </w:tc>
        <w:tc>
          <w:tcPr>
            <w:tcW w:w="760" w:type="dxa"/>
            <w:vAlign w:val="bottom"/>
            <w:tcBorders>
              <w:bottom w:val="single" w:sz="8" w:color="DBEEF4"/>
            </w:tcBorders>
            <w:shd w:val="clear" w:color="auto" w:fill="DBEEF4"/>
          </w:tcPr>
          <w:p>
            <w:pPr>
              <w:spacing w:after="0"/>
              <w:rPr>
                <w:sz w:val="9"/>
                <w:szCs w:val="9"/>
                <w:color w:val="auto"/>
              </w:rPr>
            </w:pPr>
          </w:p>
        </w:tc>
        <w:tc>
          <w:tcPr>
            <w:tcW w:w="18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342</w:t>
            </w:r>
          </w:p>
        </w:tc>
        <w:tc>
          <w:tcPr>
            <w:tcW w:w="160" w:type="dxa"/>
            <w:vAlign w:val="bottom"/>
            <w:tcBorders>
              <w:bottom w:val="single" w:sz="8" w:color="DBEEF4"/>
            </w:tcBorders>
            <w:shd w:val="clear" w:color="auto" w:fill="DBEEF4"/>
          </w:tcPr>
          <w:p>
            <w:pPr>
              <w:spacing w:after="0"/>
              <w:rPr>
                <w:sz w:val="9"/>
                <w:szCs w:val="9"/>
                <w:color w:val="auto"/>
              </w:rPr>
            </w:pPr>
          </w:p>
        </w:tc>
        <w:tc>
          <w:tcPr>
            <w:tcW w:w="160" w:type="dxa"/>
            <w:vAlign w:val="bottom"/>
            <w:tcBorders>
              <w:bottom w:val="single" w:sz="8" w:color="auto"/>
            </w:tcBorders>
            <w:shd w:val="clear" w:color="auto" w:fill="DBEEF4"/>
          </w:tcPr>
          <w:p>
            <w:pPr>
              <w:spacing w:after="0"/>
              <w:rPr>
                <w:sz w:val="9"/>
                <w:szCs w:val="9"/>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9"/>
                <w:szCs w:val="9"/>
                <w:color w:val="auto"/>
              </w:rPr>
              <w:t>521</w:t>
            </w:r>
          </w:p>
        </w:tc>
        <w:tc>
          <w:tcPr>
            <w:tcW w:w="720" w:type="dxa"/>
            <w:vAlign w:val="bottom"/>
            <w:tcBorders>
              <w:bottom w:val="single" w:sz="8" w:color="DBEEF4"/>
            </w:tcBorders>
            <w:shd w:val="clear" w:color="auto" w:fill="DBEEF4"/>
          </w:tcPr>
          <w:p>
            <w:pPr>
              <w:spacing w:after="0"/>
              <w:rPr>
                <w:sz w:val="9"/>
                <w:szCs w:val="9"/>
                <w:color w:val="auto"/>
              </w:rPr>
            </w:pPr>
          </w:p>
        </w:tc>
      </w:tr>
      <w:tr>
        <w:trPr>
          <w:trHeight w:val="101"/>
        </w:trPr>
        <w:tc>
          <w:tcPr>
            <w:tcW w:w="25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12,340</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12,521</w:t>
            </w:r>
          </w:p>
        </w:tc>
        <w:tc>
          <w:tcPr>
            <w:tcW w:w="720" w:type="dxa"/>
            <w:vAlign w:val="bottom"/>
          </w:tcPr>
          <w:p>
            <w:pPr>
              <w:jc w:val="right"/>
              <w:ind w:right="55"/>
              <w:spacing w:after="0" w:line="102" w:lineRule="exact"/>
              <w:rPr>
                <w:sz w:val="20"/>
                <w:szCs w:val="20"/>
                <w:color w:val="auto"/>
              </w:rPr>
            </w:pPr>
            <w:r>
              <w:rPr>
                <w:rFonts w:ascii="Arial" w:cs="Arial" w:eastAsia="Arial" w:hAnsi="Arial"/>
                <w:sz w:val="9"/>
                <w:szCs w:val="9"/>
                <w:color w:val="auto"/>
              </w:rPr>
              <w:t>3 %</w:t>
            </w:r>
          </w:p>
        </w:tc>
      </w:tr>
      <w:tr>
        <w:trPr>
          <w:trHeight w:val="108"/>
        </w:trPr>
        <w:tc>
          <w:tcPr>
            <w:tcW w:w="2520" w:type="dxa"/>
            <w:vAlign w:val="bottom"/>
            <w:shd w:val="clear" w:color="auto" w:fill="DBEEF4"/>
          </w:tcPr>
          <w:p>
            <w:pPr>
              <w:ind w:left="20"/>
              <w:spacing w:after="0"/>
              <w:rPr>
                <w:sz w:val="20"/>
                <w:szCs w:val="20"/>
                <w:color w:val="auto"/>
              </w:rPr>
            </w:pPr>
            <w:r>
              <w:rPr>
                <w:rFonts w:ascii="Arial" w:cs="Arial" w:eastAsia="Arial" w:hAnsi="Arial"/>
                <w:sz w:val="9"/>
                <w:szCs w:val="9"/>
                <w:i w:val="1"/>
                <w:iCs w:val="1"/>
                <w:color w:val="auto"/>
              </w:rPr>
              <w:t>Western's Smokehouse, LLC</w:t>
            </w:r>
          </w:p>
        </w:tc>
        <w:tc>
          <w:tcPr>
            <w:tcW w:w="3160" w:type="dxa"/>
            <w:vAlign w:val="bottom"/>
            <w:shd w:val="clear" w:color="auto" w:fill="DBEEF4"/>
          </w:tcPr>
          <w:p>
            <w:pPr>
              <w:ind w:left="80"/>
              <w:spacing w:after="0"/>
              <w:rPr>
                <w:sz w:val="20"/>
                <w:szCs w:val="20"/>
                <w:color w:val="auto"/>
              </w:rPr>
            </w:pPr>
            <w:r>
              <w:rPr>
                <w:rFonts w:ascii="Arial" w:cs="Arial" w:eastAsia="Arial" w:hAnsi="Arial"/>
                <w:sz w:val="9"/>
                <w:szCs w:val="9"/>
                <w:color w:val="auto"/>
              </w:rPr>
              <w:t>Consumer Products</w:t>
            </w: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First Lien Debt (j)(ab)</w:t>
            </w:r>
          </w:p>
        </w:tc>
        <w:tc>
          <w:tcPr>
            <w:tcW w:w="3160" w:type="dxa"/>
            <w:vAlign w:val="bottom"/>
          </w:tcPr>
          <w:p>
            <w:pPr>
              <w:ind w:left="2140"/>
              <w:spacing w:after="0"/>
              <w:rPr>
                <w:sz w:val="20"/>
                <w:szCs w:val="20"/>
                <w:color w:val="auto"/>
              </w:rPr>
            </w:pPr>
            <w:r>
              <w:rPr>
                <w:rFonts w:ascii="Arial" w:cs="Arial" w:eastAsia="Arial" w:hAnsi="Arial"/>
                <w:sz w:val="9"/>
                <w:szCs w:val="9"/>
                <w:color w:val="auto"/>
              </w:rPr>
              <w:t>(L + 6.50%) / (1.25%)</w:t>
            </w:r>
          </w:p>
        </w:tc>
        <w:tc>
          <w:tcPr>
            <w:tcW w:w="960" w:type="dxa"/>
            <w:vAlign w:val="bottom"/>
          </w:tcPr>
          <w:p>
            <w:pPr>
              <w:ind w:left="220"/>
              <w:spacing w:after="0"/>
              <w:rPr>
                <w:sz w:val="20"/>
                <w:szCs w:val="20"/>
                <w:color w:val="auto"/>
              </w:rPr>
            </w:pPr>
            <w:r>
              <w:rPr>
                <w:rFonts w:ascii="Arial" w:cs="Arial" w:eastAsia="Arial" w:hAnsi="Arial"/>
                <w:sz w:val="9"/>
                <w:szCs w:val="9"/>
                <w:color w:val="auto"/>
              </w:rPr>
              <w:t>7.75%/0.00%</w:t>
            </w:r>
          </w:p>
        </w:tc>
        <w:tc>
          <w:tcPr>
            <w:tcW w:w="820" w:type="dxa"/>
            <w:vAlign w:val="bottom"/>
          </w:tcPr>
          <w:p>
            <w:pPr>
              <w:ind w:left="220"/>
              <w:spacing w:after="0"/>
              <w:rPr>
                <w:sz w:val="20"/>
                <w:szCs w:val="20"/>
                <w:color w:val="auto"/>
              </w:rPr>
            </w:pPr>
            <w:r>
              <w:rPr>
                <w:rFonts w:ascii="Arial" w:cs="Arial" w:eastAsia="Arial" w:hAnsi="Arial"/>
                <w:sz w:val="9"/>
                <w:szCs w:val="9"/>
                <w:color w:val="auto"/>
              </w:rPr>
              <w:t>2/28/2020</w:t>
            </w:r>
          </w:p>
        </w:tc>
        <w:tc>
          <w:tcPr>
            <w:tcW w:w="960" w:type="dxa"/>
            <w:vAlign w:val="bottom"/>
          </w:tcPr>
          <w:p>
            <w:pPr>
              <w:ind w:left="180"/>
              <w:spacing w:after="0"/>
              <w:rPr>
                <w:sz w:val="20"/>
                <w:szCs w:val="20"/>
                <w:color w:val="auto"/>
              </w:rPr>
            </w:pPr>
            <w:r>
              <w:rPr>
                <w:rFonts w:ascii="Arial" w:cs="Arial" w:eastAsia="Arial" w:hAnsi="Arial"/>
                <w:sz w:val="9"/>
                <w:szCs w:val="9"/>
                <w:color w:val="auto"/>
              </w:rPr>
              <w:t>12/23/2024</w:t>
            </w:r>
          </w:p>
        </w:tc>
        <w:tc>
          <w:tcPr>
            <w:tcW w:w="760" w:type="dxa"/>
            <w:vAlign w:val="bottom"/>
          </w:tcPr>
          <w:p>
            <w:pPr>
              <w:jc w:val="right"/>
              <w:ind w:right="95"/>
              <w:spacing w:after="0"/>
              <w:rPr>
                <w:sz w:val="20"/>
                <w:szCs w:val="20"/>
                <w:color w:val="auto"/>
              </w:rPr>
            </w:pPr>
            <w:r>
              <w:rPr>
                <w:rFonts w:ascii="Arial" w:cs="Arial" w:eastAsia="Arial" w:hAnsi="Arial"/>
                <w:sz w:val="9"/>
                <w:szCs w:val="9"/>
                <w:color w:val="auto"/>
              </w:rPr>
              <w:t>10,000</w:t>
            </w: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9,876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10,000</w:t>
            </w: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2 %</w:t>
            </w:r>
          </w:p>
        </w:tc>
      </w:tr>
      <w:tr>
        <w:trPr>
          <w:trHeight w:val="108"/>
        </w:trPr>
        <w:tc>
          <w:tcPr>
            <w:tcW w:w="2520" w:type="dxa"/>
            <w:vAlign w:val="bottom"/>
            <w:shd w:val="clear" w:color="auto" w:fill="DBEEF4"/>
          </w:tcPr>
          <w:p>
            <w:pPr>
              <w:spacing w:after="0"/>
              <w:rPr>
                <w:sz w:val="9"/>
                <w:szCs w:val="9"/>
                <w:color w:val="auto"/>
              </w:rPr>
            </w:pPr>
          </w:p>
        </w:tc>
        <w:tc>
          <w:tcPr>
            <w:tcW w:w="316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960" w:type="dxa"/>
            <w:vAlign w:val="bottom"/>
            <w:shd w:val="clear" w:color="auto" w:fill="DBEEF4"/>
          </w:tcPr>
          <w:p>
            <w:pPr>
              <w:spacing w:after="0"/>
              <w:rPr>
                <w:sz w:val="9"/>
                <w:szCs w:val="9"/>
                <w:color w:val="auto"/>
              </w:rPr>
            </w:pPr>
          </w:p>
        </w:tc>
        <w:tc>
          <w:tcPr>
            <w:tcW w:w="760" w:type="dxa"/>
            <w:vAlign w:val="bottom"/>
            <w:shd w:val="clear" w:color="auto" w:fill="DBEEF4"/>
          </w:tcPr>
          <w:p>
            <w:pPr>
              <w:spacing w:after="0"/>
              <w:rPr>
                <w:sz w:val="9"/>
                <w:szCs w:val="9"/>
                <w:color w:val="auto"/>
              </w:rPr>
            </w:pP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Wheel Pros, Inc.</w:t>
            </w:r>
          </w:p>
        </w:tc>
        <w:tc>
          <w:tcPr>
            <w:tcW w:w="3160" w:type="dxa"/>
            <w:vAlign w:val="bottom"/>
          </w:tcPr>
          <w:p>
            <w:pPr>
              <w:ind w:left="80"/>
              <w:spacing w:after="0"/>
              <w:rPr>
                <w:sz w:val="20"/>
                <w:szCs w:val="20"/>
                <w:color w:val="auto"/>
              </w:rPr>
            </w:pPr>
            <w:r>
              <w:rPr>
                <w:rFonts w:ascii="Arial" w:cs="Arial" w:eastAsia="Arial" w:hAnsi="Arial"/>
                <w:sz w:val="9"/>
                <w:szCs w:val="9"/>
                <w:color w:val="auto"/>
              </w:rPr>
              <w:t>Specialty Distribution</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520" w:type="dxa"/>
            <w:vAlign w:val="bottom"/>
            <w:shd w:val="clear" w:color="auto" w:fill="DBEEF4"/>
          </w:tcPr>
          <w:p>
            <w:pPr>
              <w:ind w:left="120"/>
              <w:spacing w:after="0"/>
              <w:rPr>
                <w:sz w:val="20"/>
                <w:szCs w:val="20"/>
                <w:color w:val="auto"/>
              </w:rPr>
            </w:pPr>
            <w:r>
              <w:rPr>
                <w:rFonts w:ascii="Arial" w:cs="Arial" w:eastAsia="Arial" w:hAnsi="Arial"/>
                <w:sz w:val="9"/>
                <w:szCs w:val="9"/>
                <w:color w:val="auto"/>
              </w:rPr>
              <w:t>Second Lien Debt (j)</w:t>
            </w:r>
          </w:p>
        </w:tc>
        <w:tc>
          <w:tcPr>
            <w:tcW w:w="3160" w:type="dxa"/>
            <w:vAlign w:val="bottom"/>
            <w:shd w:val="clear" w:color="auto" w:fill="DBEEF4"/>
          </w:tcPr>
          <w:p>
            <w:pPr>
              <w:ind w:left="2140"/>
              <w:spacing w:after="0"/>
              <w:rPr>
                <w:sz w:val="20"/>
                <w:szCs w:val="20"/>
                <w:color w:val="auto"/>
              </w:rPr>
            </w:pPr>
            <w:r>
              <w:rPr>
                <w:rFonts w:ascii="Arial" w:cs="Arial" w:eastAsia="Arial" w:hAnsi="Arial"/>
                <w:sz w:val="9"/>
                <w:szCs w:val="9"/>
                <w:color w:val="auto"/>
              </w:rPr>
              <w:t>(L + 9.00%) / (1.00%)</w:t>
            </w:r>
          </w:p>
        </w:tc>
        <w:tc>
          <w:tcPr>
            <w:tcW w:w="960" w:type="dxa"/>
            <w:vAlign w:val="bottom"/>
            <w:shd w:val="clear" w:color="auto" w:fill="DBEEF4"/>
          </w:tcPr>
          <w:p>
            <w:pPr>
              <w:ind w:left="220"/>
              <w:spacing w:after="0"/>
              <w:rPr>
                <w:sz w:val="20"/>
                <w:szCs w:val="20"/>
                <w:color w:val="auto"/>
              </w:rPr>
            </w:pPr>
            <w:r>
              <w:rPr>
                <w:rFonts w:ascii="Arial" w:cs="Arial" w:eastAsia="Arial" w:hAnsi="Arial"/>
                <w:sz w:val="9"/>
                <w:szCs w:val="9"/>
                <w:color w:val="auto"/>
              </w:rPr>
              <w:t>10.00%/0.00%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11/10/2020</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11/10/2028</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20,000</w:t>
            </w: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19,411</w:t>
            </w: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19,411</w:t>
            </w: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Preferred Equity (347,222 units) (j)</w:t>
            </w: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5/15/2019</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301</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1,031</w:t>
            </w:r>
          </w:p>
        </w:tc>
        <w:tc>
          <w:tcPr>
            <w:tcW w:w="720" w:type="dxa"/>
            <w:vAlign w:val="bottom"/>
          </w:tcPr>
          <w:p>
            <w:pPr>
              <w:spacing w:after="0"/>
              <w:rPr>
                <w:sz w:val="9"/>
                <w:szCs w:val="9"/>
                <w:color w:val="auto"/>
              </w:rPr>
            </w:pPr>
          </w:p>
        </w:tc>
      </w:tr>
      <w:tr>
        <w:trPr>
          <w:trHeight w:val="101"/>
        </w:trPr>
        <w:tc>
          <w:tcPr>
            <w:tcW w:w="2520" w:type="dxa"/>
            <w:vAlign w:val="bottom"/>
            <w:shd w:val="clear" w:color="auto" w:fill="DBEEF4"/>
          </w:tcPr>
          <w:p>
            <w:pPr>
              <w:spacing w:after="0"/>
              <w:rPr>
                <w:sz w:val="8"/>
                <w:szCs w:val="8"/>
                <w:color w:val="auto"/>
              </w:rPr>
            </w:pPr>
          </w:p>
        </w:tc>
        <w:tc>
          <w:tcPr>
            <w:tcW w:w="316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760" w:type="dxa"/>
            <w:vAlign w:val="bottom"/>
            <w:shd w:val="clear" w:color="auto" w:fill="DBEEF4"/>
          </w:tcPr>
          <w:p>
            <w:pPr>
              <w:spacing w:after="0"/>
              <w:rPr>
                <w:sz w:val="8"/>
                <w:szCs w:val="8"/>
                <w:color w:val="auto"/>
              </w:rPr>
            </w:pPr>
          </w:p>
        </w:tc>
        <w:tc>
          <w:tcPr>
            <w:tcW w:w="180" w:type="dxa"/>
            <w:vAlign w:val="bottom"/>
            <w:shd w:val="clear" w:color="auto" w:fill="DBEEF4"/>
          </w:tcPr>
          <w:p>
            <w:pPr>
              <w:spacing w:after="0"/>
              <w:rPr>
                <w:sz w:val="8"/>
                <w:szCs w:val="8"/>
                <w:color w:val="auto"/>
              </w:rPr>
            </w:pPr>
          </w:p>
        </w:tc>
        <w:tc>
          <w:tcPr>
            <w:tcW w:w="42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19,712</w:t>
            </w:r>
          </w:p>
        </w:tc>
        <w:tc>
          <w:tcPr>
            <w:tcW w:w="160" w:type="dxa"/>
            <w:vAlign w:val="bottom"/>
            <w:shd w:val="clear" w:color="auto" w:fill="DBEEF4"/>
          </w:tcPr>
          <w:p>
            <w:pPr>
              <w:spacing w:after="0"/>
              <w:rPr>
                <w:sz w:val="8"/>
                <w:szCs w:val="8"/>
                <w:color w:val="auto"/>
              </w:rPr>
            </w:pPr>
          </w:p>
        </w:tc>
        <w:tc>
          <w:tcPr>
            <w:tcW w:w="160" w:type="dxa"/>
            <w:vAlign w:val="bottom"/>
            <w:shd w:val="clear" w:color="auto" w:fill="DBEEF4"/>
          </w:tcPr>
          <w:p>
            <w:pPr>
              <w:spacing w:after="0"/>
              <w:rPr>
                <w:sz w:val="8"/>
                <w:szCs w:val="8"/>
                <w:color w:val="auto"/>
              </w:rPr>
            </w:pPr>
          </w:p>
        </w:tc>
        <w:tc>
          <w:tcPr>
            <w:tcW w:w="42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20,442</w:t>
            </w:r>
          </w:p>
        </w:tc>
        <w:tc>
          <w:tcPr>
            <w:tcW w:w="720" w:type="dxa"/>
            <w:vAlign w:val="bottom"/>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5 %</w:t>
            </w: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Worldwide Express Operations, LLC</w:t>
            </w:r>
          </w:p>
        </w:tc>
        <w:tc>
          <w:tcPr>
            <w:tcW w:w="3160" w:type="dxa"/>
            <w:vAlign w:val="bottom"/>
          </w:tcPr>
          <w:p>
            <w:pPr>
              <w:ind w:left="80"/>
              <w:spacing w:after="0"/>
              <w:rPr>
                <w:sz w:val="20"/>
                <w:szCs w:val="20"/>
                <w:color w:val="auto"/>
              </w:rPr>
            </w:pPr>
            <w:r>
              <w:rPr>
                <w:rFonts w:ascii="Arial" w:cs="Arial" w:eastAsia="Arial" w:hAnsi="Arial"/>
                <w:sz w:val="9"/>
                <w:szCs w:val="9"/>
                <w:color w:val="auto"/>
              </w:rPr>
              <w:t>Transportation services</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520" w:type="dxa"/>
            <w:vAlign w:val="bottom"/>
            <w:shd w:val="clear" w:color="auto" w:fill="DBEEF4"/>
          </w:tcPr>
          <w:p>
            <w:pPr>
              <w:ind w:left="120"/>
              <w:spacing w:after="0"/>
              <w:rPr>
                <w:sz w:val="20"/>
                <w:szCs w:val="20"/>
                <w:color w:val="auto"/>
              </w:rPr>
            </w:pPr>
            <w:r>
              <w:rPr>
                <w:rFonts w:ascii="Arial" w:cs="Arial" w:eastAsia="Arial" w:hAnsi="Arial"/>
                <w:sz w:val="9"/>
                <w:szCs w:val="9"/>
                <w:color w:val="auto"/>
              </w:rPr>
              <w:t>Second Lien Debt (j)</w:t>
            </w:r>
          </w:p>
        </w:tc>
        <w:tc>
          <w:tcPr>
            <w:tcW w:w="3160" w:type="dxa"/>
            <w:vAlign w:val="bottom"/>
            <w:shd w:val="clear" w:color="auto" w:fill="DBEEF4"/>
          </w:tcPr>
          <w:p>
            <w:pPr>
              <w:ind w:left="2140"/>
              <w:spacing w:after="0"/>
              <w:rPr>
                <w:sz w:val="20"/>
                <w:szCs w:val="20"/>
                <w:color w:val="auto"/>
              </w:rPr>
            </w:pPr>
            <w:r>
              <w:rPr>
                <w:rFonts w:ascii="Arial" w:cs="Arial" w:eastAsia="Arial" w:hAnsi="Arial"/>
                <w:sz w:val="9"/>
                <w:szCs w:val="9"/>
                <w:color w:val="auto"/>
              </w:rPr>
              <w:t>(L + 8.00%) / (1.00%)</w:t>
            </w:r>
          </w:p>
        </w:tc>
        <w:tc>
          <w:tcPr>
            <w:tcW w:w="960" w:type="dxa"/>
            <w:vAlign w:val="bottom"/>
            <w:shd w:val="clear" w:color="auto" w:fill="DBEEF4"/>
          </w:tcPr>
          <w:p>
            <w:pPr>
              <w:ind w:left="220"/>
              <w:spacing w:after="0"/>
              <w:rPr>
                <w:sz w:val="20"/>
                <w:szCs w:val="20"/>
                <w:color w:val="auto"/>
              </w:rPr>
            </w:pPr>
            <w:r>
              <w:rPr>
                <w:rFonts w:ascii="Arial" w:cs="Arial" w:eastAsia="Arial" w:hAnsi="Arial"/>
                <w:sz w:val="9"/>
                <w:szCs w:val="9"/>
                <w:color w:val="auto"/>
              </w:rPr>
              <w:t>9.00%/0.00%</w:t>
            </w:r>
          </w:p>
        </w:tc>
        <w:tc>
          <w:tcPr>
            <w:tcW w:w="820" w:type="dxa"/>
            <w:vAlign w:val="bottom"/>
            <w:shd w:val="clear" w:color="auto" w:fill="DBEEF4"/>
          </w:tcPr>
          <w:p>
            <w:pPr>
              <w:ind w:left="220"/>
              <w:spacing w:after="0"/>
              <w:rPr>
                <w:sz w:val="20"/>
                <w:szCs w:val="20"/>
                <w:color w:val="auto"/>
              </w:rPr>
            </w:pPr>
            <w:r>
              <w:rPr>
                <w:rFonts w:ascii="Arial" w:cs="Arial" w:eastAsia="Arial" w:hAnsi="Arial"/>
                <w:sz w:val="9"/>
                <w:szCs w:val="9"/>
                <w:color w:val="auto"/>
              </w:rPr>
              <w:t>2/27/2017</w:t>
            </w:r>
          </w:p>
        </w:tc>
        <w:tc>
          <w:tcPr>
            <w:tcW w:w="960" w:type="dxa"/>
            <w:vAlign w:val="bottom"/>
            <w:shd w:val="clear" w:color="auto" w:fill="DBEEF4"/>
          </w:tcPr>
          <w:p>
            <w:pPr>
              <w:ind w:left="180"/>
              <w:spacing w:after="0"/>
              <w:rPr>
                <w:sz w:val="20"/>
                <w:szCs w:val="20"/>
                <w:color w:val="auto"/>
              </w:rPr>
            </w:pPr>
            <w:r>
              <w:rPr>
                <w:rFonts w:ascii="Arial" w:cs="Arial" w:eastAsia="Arial" w:hAnsi="Arial"/>
                <w:sz w:val="9"/>
                <w:szCs w:val="9"/>
                <w:color w:val="auto"/>
              </w:rPr>
              <w:t>2/3/2025</w:t>
            </w:r>
          </w:p>
        </w:tc>
        <w:tc>
          <w:tcPr>
            <w:tcW w:w="760" w:type="dxa"/>
            <w:vAlign w:val="bottom"/>
            <w:shd w:val="clear" w:color="auto" w:fill="DBEEF4"/>
          </w:tcPr>
          <w:p>
            <w:pPr>
              <w:jc w:val="right"/>
              <w:ind w:right="95"/>
              <w:spacing w:after="0"/>
              <w:rPr>
                <w:sz w:val="20"/>
                <w:szCs w:val="20"/>
                <w:color w:val="auto"/>
              </w:rPr>
            </w:pPr>
            <w:r>
              <w:rPr>
                <w:rFonts w:ascii="Arial" w:cs="Arial" w:eastAsia="Arial" w:hAnsi="Arial"/>
                <w:sz w:val="9"/>
                <w:szCs w:val="9"/>
                <w:color w:val="auto"/>
              </w:rPr>
              <w:t>20,000</w:t>
            </w:r>
          </w:p>
        </w:tc>
        <w:tc>
          <w:tcPr>
            <w:tcW w:w="18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19,791</w:t>
            </w:r>
          </w:p>
        </w:tc>
        <w:tc>
          <w:tcPr>
            <w:tcW w:w="16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9"/>
                <w:szCs w:val="9"/>
                <w:color w:val="auto"/>
              </w:rPr>
              <w:t>20,000</w:t>
            </w:r>
          </w:p>
        </w:tc>
        <w:tc>
          <w:tcPr>
            <w:tcW w:w="720" w:type="dxa"/>
            <w:vAlign w:val="bottom"/>
            <w:shd w:val="clear" w:color="auto" w:fill="DBEEF4"/>
          </w:tcPr>
          <w:p>
            <w:pPr>
              <w:spacing w:after="0"/>
              <w:rPr>
                <w:sz w:val="9"/>
                <w:szCs w:val="9"/>
                <w:color w:val="auto"/>
              </w:rPr>
            </w:pPr>
          </w:p>
        </w:tc>
      </w:tr>
      <w:tr>
        <w:trPr>
          <w:trHeight w:val="108"/>
        </w:trPr>
        <w:tc>
          <w:tcPr>
            <w:tcW w:w="2520" w:type="dxa"/>
            <w:vAlign w:val="bottom"/>
          </w:tcPr>
          <w:p>
            <w:pPr>
              <w:ind w:left="120"/>
              <w:spacing w:after="0"/>
              <w:rPr>
                <w:sz w:val="20"/>
                <w:szCs w:val="20"/>
                <w:color w:val="auto"/>
              </w:rPr>
            </w:pPr>
            <w:r>
              <w:rPr>
                <w:rFonts w:ascii="Arial" w:cs="Arial" w:eastAsia="Arial" w:hAnsi="Arial"/>
                <w:sz w:val="9"/>
                <w:szCs w:val="9"/>
                <w:color w:val="auto"/>
              </w:rPr>
              <w:t>Common Equity (2,000 units) (h)(j)</w:t>
            </w: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ind w:left="220"/>
              <w:spacing w:after="0"/>
              <w:rPr>
                <w:sz w:val="20"/>
                <w:szCs w:val="20"/>
                <w:color w:val="auto"/>
              </w:rPr>
            </w:pPr>
            <w:r>
              <w:rPr>
                <w:rFonts w:ascii="Arial" w:cs="Arial" w:eastAsia="Arial" w:hAnsi="Arial"/>
                <w:sz w:val="9"/>
                <w:szCs w:val="9"/>
                <w:color w:val="auto"/>
              </w:rPr>
              <w:t>2/27/2017</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1,478</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1,942</w:t>
            </w:r>
          </w:p>
        </w:tc>
        <w:tc>
          <w:tcPr>
            <w:tcW w:w="720" w:type="dxa"/>
            <w:vAlign w:val="bottom"/>
          </w:tcPr>
          <w:p>
            <w:pPr>
              <w:spacing w:after="0"/>
              <w:rPr>
                <w:sz w:val="9"/>
                <w:szCs w:val="9"/>
                <w:color w:val="auto"/>
              </w:rPr>
            </w:pPr>
          </w:p>
        </w:tc>
      </w:tr>
      <w:tr>
        <w:trPr>
          <w:trHeight w:val="102"/>
        </w:trPr>
        <w:tc>
          <w:tcPr>
            <w:tcW w:w="2520" w:type="dxa"/>
            <w:vAlign w:val="bottom"/>
            <w:shd w:val="clear" w:color="auto" w:fill="DBEEF4"/>
          </w:tcPr>
          <w:p>
            <w:pPr>
              <w:spacing w:after="0"/>
              <w:rPr>
                <w:sz w:val="8"/>
                <w:szCs w:val="8"/>
                <w:color w:val="auto"/>
              </w:rPr>
            </w:pPr>
          </w:p>
        </w:tc>
        <w:tc>
          <w:tcPr>
            <w:tcW w:w="316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960" w:type="dxa"/>
            <w:vAlign w:val="bottom"/>
            <w:shd w:val="clear" w:color="auto" w:fill="DBEEF4"/>
          </w:tcPr>
          <w:p>
            <w:pPr>
              <w:spacing w:after="0"/>
              <w:rPr>
                <w:sz w:val="8"/>
                <w:szCs w:val="8"/>
                <w:color w:val="auto"/>
              </w:rPr>
            </w:pPr>
          </w:p>
        </w:tc>
        <w:tc>
          <w:tcPr>
            <w:tcW w:w="760" w:type="dxa"/>
            <w:vAlign w:val="bottom"/>
            <w:shd w:val="clear" w:color="auto" w:fill="DBEEF4"/>
          </w:tcPr>
          <w:p>
            <w:pPr>
              <w:spacing w:after="0"/>
              <w:rPr>
                <w:sz w:val="8"/>
                <w:szCs w:val="8"/>
                <w:color w:val="auto"/>
              </w:rPr>
            </w:pPr>
          </w:p>
        </w:tc>
        <w:tc>
          <w:tcPr>
            <w:tcW w:w="180" w:type="dxa"/>
            <w:vAlign w:val="bottom"/>
            <w:shd w:val="clear" w:color="auto" w:fill="DBEEF4"/>
          </w:tcPr>
          <w:p>
            <w:pPr>
              <w:spacing w:after="0"/>
              <w:rPr>
                <w:sz w:val="8"/>
                <w:szCs w:val="8"/>
                <w:color w:val="auto"/>
              </w:rPr>
            </w:pPr>
          </w:p>
        </w:tc>
        <w:tc>
          <w:tcPr>
            <w:tcW w:w="42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21,269</w:t>
            </w:r>
          </w:p>
        </w:tc>
        <w:tc>
          <w:tcPr>
            <w:tcW w:w="160" w:type="dxa"/>
            <w:vAlign w:val="bottom"/>
            <w:shd w:val="clear" w:color="auto" w:fill="DBEEF4"/>
          </w:tcPr>
          <w:p>
            <w:pPr>
              <w:spacing w:after="0"/>
              <w:rPr>
                <w:sz w:val="8"/>
                <w:szCs w:val="8"/>
                <w:color w:val="auto"/>
              </w:rPr>
            </w:pPr>
          </w:p>
        </w:tc>
        <w:tc>
          <w:tcPr>
            <w:tcW w:w="160" w:type="dxa"/>
            <w:vAlign w:val="bottom"/>
            <w:shd w:val="clear" w:color="auto" w:fill="DBEEF4"/>
          </w:tcPr>
          <w:p>
            <w:pPr>
              <w:spacing w:after="0"/>
              <w:rPr>
                <w:sz w:val="8"/>
                <w:szCs w:val="8"/>
                <w:color w:val="auto"/>
              </w:rPr>
            </w:pPr>
          </w:p>
        </w:tc>
        <w:tc>
          <w:tcPr>
            <w:tcW w:w="420" w:type="dxa"/>
            <w:vAlign w:val="bottom"/>
            <w:shd w:val="clear" w:color="auto" w:fill="DBEEF4"/>
          </w:tcPr>
          <w:p>
            <w:pPr>
              <w:jc w:val="right"/>
              <w:spacing w:after="0" w:line="102" w:lineRule="exact"/>
              <w:rPr>
                <w:sz w:val="20"/>
                <w:szCs w:val="20"/>
                <w:color w:val="auto"/>
              </w:rPr>
            </w:pPr>
            <w:r>
              <w:rPr>
                <w:rFonts w:ascii="Arial" w:cs="Arial" w:eastAsia="Arial" w:hAnsi="Arial"/>
                <w:sz w:val="9"/>
                <w:szCs w:val="9"/>
                <w:color w:val="auto"/>
              </w:rPr>
              <w:t>21,942</w:t>
            </w:r>
          </w:p>
        </w:tc>
        <w:tc>
          <w:tcPr>
            <w:tcW w:w="720" w:type="dxa"/>
            <w:vAlign w:val="bottom"/>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5 %</w:t>
            </w:r>
          </w:p>
        </w:tc>
      </w:tr>
      <w:tr>
        <w:trPr>
          <w:trHeight w:val="108"/>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41"/>
        </w:trPr>
        <w:tc>
          <w:tcPr>
            <w:tcW w:w="2520" w:type="dxa"/>
            <w:vAlign w:val="bottom"/>
            <w:tcBorders>
              <w:bottom w:val="single" w:sz="8" w:color="DBEEF4"/>
            </w:tcBorders>
            <w:shd w:val="clear" w:color="auto" w:fill="DBEEF4"/>
          </w:tcPr>
          <w:p>
            <w:pPr>
              <w:ind w:left="20"/>
              <w:spacing w:after="0" w:line="102" w:lineRule="exact"/>
              <w:rPr>
                <w:sz w:val="20"/>
                <w:szCs w:val="20"/>
                <w:color w:val="auto"/>
              </w:rPr>
            </w:pPr>
            <w:r>
              <w:rPr>
                <w:rFonts w:ascii="Arial" w:cs="Arial" w:eastAsia="Arial" w:hAnsi="Arial"/>
                <w:sz w:val="9"/>
                <w:szCs w:val="9"/>
                <w:b w:val="1"/>
                <w:bCs w:val="1"/>
                <w:color w:val="auto"/>
              </w:rPr>
              <w:t>Total Non-control/Non-affiliate Investments</w:t>
            </w:r>
          </w:p>
        </w:tc>
        <w:tc>
          <w:tcPr>
            <w:tcW w:w="3160" w:type="dxa"/>
            <w:vAlign w:val="bottom"/>
            <w:tcBorders>
              <w:bottom w:val="single" w:sz="8" w:color="DBEEF4"/>
            </w:tcBorders>
            <w:shd w:val="clear" w:color="auto" w:fill="DBEEF4"/>
          </w:tcPr>
          <w:p>
            <w:pPr>
              <w:spacing w:after="0"/>
              <w:rPr>
                <w:sz w:val="12"/>
                <w:szCs w:val="12"/>
                <w:color w:val="auto"/>
              </w:rPr>
            </w:pPr>
          </w:p>
        </w:tc>
        <w:tc>
          <w:tcPr>
            <w:tcW w:w="960" w:type="dxa"/>
            <w:vAlign w:val="bottom"/>
            <w:tcBorders>
              <w:bottom w:val="single" w:sz="8" w:color="DBEEF4"/>
            </w:tcBorders>
            <w:shd w:val="clear" w:color="auto" w:fill="DBEEF4"/>
          </w:tcPr>
          <w:p>
            <w:pPr>
              <w:spacing w:after="0"/>
              <w:rPr>
                <w:sz w:val="12"/>
                <w:szCs w:val="12"/>
                <w:color w:val="auto"/>
              </w:rPr>
            </w:pPr>
          </w:p>
        </w:tc>
        <w:tc>
          <w:tcPr>
            <w:tcW w:w="820" w:type="dxa"/>
            <w:vAlign w:val="bottom"/>
            <w:tcBorders>
              <w:bottom w:val="single" w:sz="8" w:color="DBEEF4"/>
            </w:tcBorders>
            <w:shd w:val="clear" w:color="auto" w:fill="DBEEF4"/>
          </w:tcPr>
          <w:p>
            <w:pPr>
              <w:spacing w:after="0"/>
              <w:rPr>
                <w:sz w:val="12"/>
                <w:szCs w:val="12"/>
                <w:color w:val="auto"/>
              </w:rPr>
            </w:pPr>
          </w:p>
        </w:tc>
        <w:tc>
          <w:tcPr>
            <w:tcW w:w="960" w:type="dxa"/>
            <w:vAlign w:val="bottom"/>
            <w:tcBorders>
              <w:bottom w:val="single" w:sz="8" w:color="DBEEF4"/>
            </w:tcBorders>
            <w:shd w:val="clear" w:color="auto" w:fill="DBEEF4"/>
          </w:tcPr>
          <w:p>
            <w:pPr>
              <w:spacing w:after="0"/>
              <w:rPr>
                <w:sz w:val="12"/>
                <w:szCs w:val="12"/>
                <w:color w:val="auto"/>
              </w:rPr>
            </w:pPr>
          </w:p>
        </w:tc>
        <w:tc>
          <w:tcPr>
            <w:tcW w:w="760" w:type="dxa"/>
            <w:vAlign w:val="bottom"/>
            <w:tcBorders>
              <w:bottom w:val="single" w:sz="8" w:color="DBEEF4"/>
            </w:tcBorders>
            <w:shd w:val="clear" w:color="auto" w:fill="DBEEF4"/>
          </w:tcPr>
          <w:p>
            <w:pPr>
              <w:spacing w:after="0"/>
              <w:rPr>
                <w:sz w:val="12"/>
                <w:szCs w:val="12"/>
                <w:color w:val="auto"/>
              </w:rPr>
            </w:pPr>
          </w:p>
        </w:tc>
        <w:tc>
          <w:tcPr>
            <w:tcW w:w="180" w:type="dxa"/>
            <w:vAlign w:val="bottom"/>
            <w:tcBorders>
              <w:top w:val="single" w:sz="8" w:color="auto"/>
              <w:bottom w:val="single" w:sz="8" w:color="auto"/>
            </w:tcBorders>
            <w:shd w:val="clear" w:color="auto" w:fill="DBEEF4"/>
          </w:tcPr>
          <w:p>
            <w:pPr>
              <w:jc w:val="right"/>
              <w:ind w:right="75"/>
              <w:spacing w:after="0" w:line="102"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622,222</w:t>
            </w:r>
          </w:p>
        </w:tc>
        <w:tc>
          <w:tcPr>
            <w:tcW w:w="160" w:type="dxa"/>
            <w:vAlign w:val="bottom"/>
            <w:tcBorders>
              <w:bottom w:val="single" w:sz="8" w:color="DBEEF4"/>
            </w:tcBorders>
            <w:shd w:val="clear" w:color="auto" w:fill="DBEEF4"/>
          </w:tcPr>
          <w:p>
            <w:pPr>
              <w:spacing w:after="0"/>
              <w:rPr>
                <w:sz w:val="12"/>
                <w:szCs w:val="12"/>
                <w:color w:val="auto"/>
              </w:rPr>
            </w:pPr>
          </w:p>
        </w:tc>
        <w:tc>
          <w:tcPr>
            <w:tcW w:w="160" w:type="dxa"/>
            <w:vAlign w:val="bottom"/>
            <w:tcBorders>
              <w:top w:val="single" w:sz="8" w:color="auto"/>
              <w:bottom w:val="single" w:sz="8" w:color="auto"/>
            </w:tcBorders>
            <w:shd w:val="clear" w:color="auto" w:fill="DBEEF4"/>
          </w:tcPr>
          <w:p>
            <w:pPr>
              <w:jc w:val="right"/>
              <w:ind w:right="98"/>
              <w:spacing w:after="0"/>
              <w:rPr>
                <w:sz w:val="20"/>
                <w:szCs w:val="20"/>
                <w:color w:val="auto"/>
              </w:rPr>
            </w:pPr>
            <w:r>
              <w:rPr>
                <w:rFonts w:ascii="Arial" w:cs="Arial" w:eastAsia="Arial" w:hAnsi="Arial"/>
                <w:sz w:val="4"/>
                <w:szCs w:val="4"/>
                <w:color w:val="auto"/>
                <w:w w:val="87"/>
              </w:rPr>
              <w:t>$</w:t>
            </w:r>
          </w:p>
        </w:tc>
        <w:tc>
          <w:tcPr>
            <w:tcW w:w="420" w:type="dxa"/>
            <w:vAlign w:val="bottom"/>
            <w:tcBorders>
              <w:top w:val="single" w:sz="8" w:color="auto"/>
              <w:bottom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633,222</w:t>
            </w:r>
          </w:p>
        </w:tc>
        <w:tc>
          <w:tcPr>
            <w:tcW w:w="720" w:type="dxa"/>
            <w:vAlign w:val="bottom"/>
            <w:tcBorders>
              <w:bottom w:val="single" w:sz="8" w:color="DBEEF4"/>
            </w:tcBorders>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154 %</w:t>
            </w:r>
          </w:p>
        </w:tc>
      </w:tr>
      <w:tr>
        <w:trPr>
          <w:trHeight w:val="89"/>
        </w:trPr>
        <w:tc>
          <w:tcPr>
            <w:tcW w:w="25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gridSpan w:val="2"/>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gridSpan w:val="2"/>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141"/>
        </w:trPr>
        <w:tc>
          <w:tcPr>
            <w:tcW w:w="2520" w:type="dxa"/>
            <w:vAlign w:val="bottom"/>
            <w:tcBorders>
              <w:bottom w:val="single" w:sz="8" w:color="DBEEF4"/>
            </w:tcBorders>
            <w:shd w:val="clear" w:color="auto" w:fill="DBEEF4"/>
          </w:tcPr>
          <w:p>
            <w:pPr>
              <w:ind w:left="20"/>
              <w:spacing w:after="0" w:line="102" w:lineRule="exact"/>
              <w:rPr>
                <w:sz w:val="20"/>
                <w:szCs w:val="20"/>
                <w:color w:val="auto"/>
              </w:rPr>
            </w:pPr>
            <w:r>
              <w:rPr>
                <w:rFonts w:ascii="Arial" w:cs="Arial" w:eastAsia="Arial" w:hAnsi="Arial"/>
                <w:sz w:val="9"/>
                <w:szCs w:val="9"/>
                <w:b w:val="1"/>
                <w:bCs w:val="1"/>
                <w:color w:val="auto"/>
              </w:rPr>
              <w:t>Total Investments</w:t>
            </w:r>
          </w:p>
        </w:tc>
        <w:tc>
          <w:tcPr>
            <w:tcW w:w="3160" w:type="dxa"/>
            <w:vAlign w:val="bottom"/>
            <w:tcBorders>
              <w:bottom w:val="single" w:sz="8" w:color="DBEEF4"/>
            </w:tcBorders>
            <w:shd w:val="clear" w:color="auto" w:fill="DBEEF4"/>
          </w:tcPr>
          <w:p>
            <w:pPr>
              <w:spacing w:after="0"/>
              <w:rPr>
                <w:sz w:val="12"/>
                <w:szCs w:val="12"/>
                <w:color w:val="auto"/>
              </w:rPr>
            </w:pPr>
          </w:p>
        </w:tc>
        <w:tc>
          <w:tcPr>
            <w:tcW w:w="960" w:type="dxa"/>
            <w:vAlign w:val="bottom"/>
            <w:tcBorders>
              <w:bottom w:val="single" w:sz="8" w:color="DBEEF4"/>
            </w:tcBorders>
            <w:shd w:val="clear" w:color="auto" w:fill="DBEEF4"/>
          </w:tcPr>
          <w:p>
            <w:pPr>
              <w:spacing w:after="0"/>
              <w:rPr>
                <w:sz w:val="12"/>
                <w:szCs w:val="12"/>
                <w:color w:val="auto"/>
              </w:rPr>
            </w:pPr>
          </w:p>
        </w:tc>
        <w:tc>
          <w:tcPr>
            <w:tcW w:w="820" w:type="dxa"/>
            <w:vAlign w:val="bottom"/>
            <w:tcBorders>
              <w:bottom w:val="single" w:sz="8" w:color="DBEEF4"/>
            </w:tcBorders>
            <w:shd w:val="clear" w:color="auto" w:fill="DBEEF4"/>
          </w:tcPr>
          <w:p>
            <w:pPr>
              <w:spacing w:after="0"/>
              <w:rPr>
                <w:sz w:val="12"/>
                <w:szCs w:val="12"/>
                <w:color w:val="auto"/>
              </w:rPr>
            </w:pPr>
          </w:p>
        </w:tc>
        <w:tc>
          <w:tcPr>
            <w:tcW w:w="960" w:type="dxa"/>
            <w:vAlign w:val="bottom"/>
            <w:tcBorders>
              <w:bottom w:val="single" w:sz="8" w:color="DBEEF4"/>
            </w:tcBorders>
            <w:shd w:val="clear" w:color="auto" w:fill="DBEEF4"/>
          </w:tcPr>
          <w:p>
            <w:pPr>
              <w:spacing w:after="0"/>
              <w:rPr>
                <w:sz w:val="12"/>
                <w:szCs w:val="12"/>
                <w:color w:val="auto"/>
              </w:rPr>
            </w:pPr>
          </w:p>
        </w:tc>
        <w:tc>
          <w:tcPr>
            <w:tcW w:w="760" w:type="dxa"/>
            <w:vAlign w:val="bottom"/>
            <w:tcBorders>
              <w:bottom w:val="single" w:sz="8" w:color="DBEEF4"/>
            </w:tcBorders>
            <w:shd w:val="clear" w:color="auto" w:fill="DBEEF4"/>
          </w:tcPr>
          <w:p>
            <w:pPr>
              <w:spacing w:after="0"/>
              <w:rPr>
                <w:sz w:val="12"/>
                <w:szCs w:val="12"/>
                <w:color w:val="auto"/>
              </w:rPr>
            </w:pPr>
          </w:p>
        </w:tc>
        <w:tc>
          <w:tcPr>
            <w:tcW w:w="180" w:type="dxa"/>
            <w:vAlign w:val="bottom"/>
            <w:tcBorders>
              <w:top w:val="single" w:sz="8" w:color="auto"/>
              <w:bottom w:val="single" w:sz="8" w:color="auto"/>
            </w:tcBorders>
            <w:shd w:val="clear" w:color="auto" w:fill="DBEEF4"/>
          </w:tcPr>
          <w:p>
            <w:pPr>
              <w:jc w:val="right"/>
              <w:ind w:right="75"/>
              <w:spacing w:after="0" w:line="102"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687,027</w:t>
            </w:r>
          </w:p>
        </w:tc>
        <w:tc>
          <w:tcPr>
            <w:tcW w:w="160" w:type="dxa"/>
            <w:vAlign w:val="bottom"/>
            <w:tcBorders>
              <w:bottom w:val="single" w:sz="8" w:color="DBEEF4"/>
            </w:tcBorders>
            <w:shd w:val="clear" w:color="auto" w:fill="DBEEF4"/>
          </w:tcPr>
          <w:p>
            <w:pPr>
              <w:spacing w:after="0"/>
              <w:rPr>
                <w:sz w:val="12"/>
                <w:szCs w:val="12"/>
                <w:color w:val="auto"/>
              </w:rPr>
            </w:pPr>
          </w:p>
        </w:tc>
        <w:tc>
          <w:tcPr>
            <w:tcW w:w="160" w:type="dxa"/>
            <w:vAlign w:val="bottom"/>
            <w:tcBorders>
              <w:top w:val="single" w:sz="8" w:color="auto"/>
              <w:bottom w:val="single" w:sz="8" w:color="auto"/>
            </w:tcBorders>
            <w:shd w:val="clear" w:color="auto" w:fill="DBEEF4"/>
          </w:tcPr>
          <w:p>
            <w:pPr>
              <w:jc w:val="right"/>
              <w:ind w:right="98"/>
              <w:spacing w:after="0"/>
              <w:rPr>
                <w:sz w:val="20"/>
                <w:szCs w:val="20"/>
                <w:color w:val="auto"/>
              </w:rPr>
            </w:pPr>
            <w:r>
              <w:rPr>
                <w:rFonts w:ascii="Arial" w:cs="Arial" w:eastAsia="Arial" w:hAnsi="Arial"/>
                <w:sz w:val="4"/>
                <w:szCs w:val="4"/>
                <w:color w:val="auto"/>
                <w:w w:val="87"/>
              </w:rPr>
              <w:t>$</w:t>
            </w:r>
          </w:p>
        </w:tc>
        <w:tc>
          <w:tcPr>
            <w:tcW w:w="420" w:type="dxa"/>
            <w:vAlign w:val="bottom"/>
            <w:tcBorders>
              <w:top w:val="single" w:sz="8" w:color="auto"/>
              <w:bottom w:val="single" w:sz="8" w:color="auto"/>
            </w:tcBorders>
            <w:shd w:val="clear" w:color="auto" w:fill="DBEEF4"/>
          </w:tcPr>
          <w:p>
            <w:pPr>
              <w:jc w:val="right"/>
              <w:spacing w:after="0" w:line="102" w:lineRule="exact"/>
              <w:rPr>
                <w:sz w:val="20"/>
                <w:szCs w:val="20"/>
                <w:color w:val="auto"/>
              </w:rPr>
            </w:pPr>
            <w:r>
              <w:rPr>
                <w:rFonts w:ascii="Arial" w:cs="Arial" w:eastAsia="Arial" w:hAnsi="Arial"/>
                <w:sz w:val="9"/>
                <w:szCs w:val="9"/>
                <w:color w:val="auto"/>
              </w:rPr>
              <w:t>742,869</w:t>
            </w:r>
          </w:p>
        </w:tc>
        <w:tc>
          <w:tcPr>
            <w:tcW w:w="720" w:type="dxa"/>
            <w:vAlign w:val="bottom"/>
            <w:tcBorders>
              <w:bottom w:val="single" w:sz="8" w:color="DBEEF4"/>
            </w:tcBorders>
            <w:shd w:val="clear" w:color="auto" w:fill="DBEEF4"/>
          </w:tcPr>
          <w:p>
            <w:pPr>
              <w:jc w:val="right"/>
              <w:ind w:right="55"/>
              <w:spacing w:after="0" w:line="102" w:lineRule="exact"/>
              <w:rPr>
                <w:sz w:val="20"/>
                <w:szCs w:val="20"/>
                <w:color w:val="auto"/>
              </w:rPr>
            </w:pPr>
            <w:r>
              <w:rPr>
                <w:rFonts w:ascii="Arial" w:cs="Arial" w:eastAsia="Arial" w:hAnsi="Arial"/>
                <w:sz w:val="9"/>
                <w:szCs w:val="9"/>
                <w:color w:val="auto"/>
              </w:rPr>
              <w:t>181 %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-4419600</wp:posOffset>
            </wp:positionV>
            <wp:extent cx="34290" cy="742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-4419600</wp:posOffset>
            </wp:positionV>
            <wp:extent cx="34290" cy="742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-4137025</wp:posOffset>
            </wp:positionV>
            <wp:extent cx="34290" cy="742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-4137025</wp:posOffset>
            </wp:positionV>
            <wp:extent cx="34290" cy="742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-3853815</wp:posOffset>
            </wp:positionV>
            <wp:extent cx="34290" cy="742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-3853815</wp:posOffset>
            </wp:positionV>
            <wp:extent cx="34290" cy="742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-2036445</wp:posOffset>
            </wp:positionV>
            <wp:extent cx="34290" cy="742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-2036445</wp:posOffset>
            </wp:positionV>
            <wp:extent cx="34290" cy="742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-1753870</wp:posOffset>
            </wp:positionV>
            <wp:extent cx="34290" cy="742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-1753870</wp:posOffset>
            </wp:positionV>
            <wp:extent cx="34290" cy="742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-1470660</wp:posOffset>
            </wp:positionV>
            <wp:extent cx="34290" cy="742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-1470660</wp:posOffset>
            </wp:positionV>
            <wp:extent cx="34290" cy="742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-1188085</wp:posOffset>
            </wp:positionV>
            <wp:extent cx="34290" cy="742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-1188085</wp:posOffset>
            </wp:positionV>
            <wp:extent cx="34290" cy="742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742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-196215</wp:posOffset>
            </wp:positionV>
            <wp:extent cx="505460" cy="1028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05460" cy="10287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342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342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342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342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3" w:name="page94"/>
    <w:bookmarkEnd w:id="93"/>
    <w:p>
      <w:pPr>
        <w:ind w:left="200" w:hanging="199"/>
        <w:spacing w:after="0"/>
        <w:tabs>
          <w:tab w:leader="none" w:pos="200" w:val="left"/>
        </w:tabs>
        <w:numPr>
          <w:ilvl w:val="0"/>
          <w:numId w:val="5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See Note 3 to the consolidated financial statements for portfolio composition by geographic location.</w:t>
      </w:r>
    </w:p>
    <w:p>
      <w:pPr>
        <w:spacing w:after="0" w:line="21" w:lineRule="exact"/>
        <w:rPr>
          <w:rFonts w:ascii="Arial" w:cs="Arial" w:eastAsia="Arial" w:hAnsi="Arial"/>
          <w:sz w:val="14"/>
          <w:szCs w:val="14"/>
          <w:color w:val="auto"/>
        </w:rPr>
      </w:pPr>
    </w:p>
    <w:p>
      <w:pPr>
        <w:ind w:left="200" w:hanging="199"/>
        <w:spacing w:after="0"/>
        <w:tabs>
          <w:tab w:leader="none" w:pos="2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spacing w:after="0" w:line="14" w:lineRule="exact"/>
        <w:rPr>
          <w:rFonts w:ascii="Arial" w:cs="Arial" w:eastAsia="Arial" w:hAnsi="Arial"/>
          <w:sz w:val="14"/>
          <w:szCs w:val="14"/>
          <w:color w:val="auto"/>
        </w:rPr>
      </w:pPr>
    </w:p>
    <w:p>
      <w:pPr>
        <w:ind w:left="200" w:hanging="199"/>
        <w:spacing w:after="0"/>
        <w:tabs>
          <w:tab w:leader="none" w:pos="2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spacing w:after="0" w:line="14" w:lineRule="exact"/>
        <w:rPr>
          <w:rFonts w:ascii="Arial" w:cs="Arial" w:eastAsia="Arial" w:hAnsi="Arial"/>
          <w:sz w:val="14"/>
          <w:szCs w:val="14"/>
          <w:color w:val="auto"/>
        </w:rPr>
      </w:pPr>
    </w:p>
    <w:p>
      <w:pPr>
        <w:ind w:right="100" w:firstLine="1"/>
        <w:spacing w:after="0" w:line="241" w:lineRule="auto"/>
        <w:tabs>
          <w:tab w:leader="none" w:pos="204" w:val="left"/>
        </w:tabs>
        <w:numPr>
          <w:ilvl w:val="0"/>
          <w:numId w:val="53"/>
        </w:numPr>
        <w:rPr>
          <w:rFonts w:ascii="Arial" w:cs="Arial" w:eastAsia="Arial" w:hAnsi="Arial"/>
          <w:sz w:val="14"/>
          <w:szCs w:val="14"/>
          <w:color w:val="auto"/>
        </w:rPr>
      </w:pPr>
      <w:r>
        <w:rPr>
          <w:rFonts w:ascii="Arial" w:cs="Arial" w:eastAsia="Arial" w:hAnsi="Arial"/>
          <w:sz w:val="14"/>
          <w:szCs w:val="14"/>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2020.</w:t>
      </w:r>
    </w:p>
    <w:p>
      <w:pPr>
        <w:ind w:right="280" w:firstLine="1"/>
        <w:spacing w:after="0" w:line="241" w:lineRule="auto"/>
        <w:tabs>
          <w:tab w:leader="none" w:pos="196" w:val="left"/>
        </w:tabs>
        <w:numPr>
          <w:ilvl w:val="0"/>
          <w:numId w:val="53"/>
        </w:numPr>
        <w:rPr>
          <w:rFonts w:ascii="Arial" w:cs="Arial" w:eastAsia="Arial" w:hAnsi="Arial"/>
          <w:sz w:val="14"/>
          <w:szCs w:val="14"/>
          <w:color w:val="auto"/>
        </w:rPr>
      </w:pPr>
      <w:r>
        <w:rPr>
          <w:rFonts w:ascii="Arial" w:cs="Arial" w:eastAsia="Arial" w:hAnsi="Arial"/>
          <w:sz w:val="14"/>
          <w:szCs w:val="14"/>
          <w:color w:val="auto"/>
        </w:rPr>
        <w:t>Rate includes the cash interest or dividend rate and paid-in-kind interest or dividend rate, if any, as of December 31, 2020. Generally, payment-in-kind interest can be paid-in-kind or all in cash.</w:t>
      </w:r>
    </w:p>
    <w:p>
      <w:pPr>
        <w:ind w:left="180" w:hanging="179"/>
        <w:spacing w:after="0"/>
        <w:tabs>
          <w:tab w:leader="none" w:pos="1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Investment date represents the date of the initial investment in the security.</w:t>
      </w:r>
    </w:p>
    <w:p>
      <w:pPr>
        <w:spacing w:after="0" w:line="14" w:lineRule="exact"/>
        <w:rPr>
          <w:rFonts w:ascii="Arial" w:cs="Arial" w:eastAsia="Arial" w:hAnsi="Arial"/>
          <w:sz w:val="14"/>
          <w:szCs w:val="14"/>
          <w:color w:val="auto"/>
        </w:rPr>
      </w:pPr>
    </w:p>
    <w:p>
      <w:pPr>
        <w:jc w:val="both"/>
        <w:ind w:right="80" w:firstLine="1"/>
        <w:spacing w:after="0" w:line="234" w:lineRule="auto"/>
        <w:tabs>
          <w:tab w:leader="none" w:pos="204"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4"/>
          <w:szCs w:val="14"/>
          <w:color w:val="auto"/>
        </w:rPr>
      </w:pPr>
    </w:p>
    <w:p>
      <w:pPr>
        <w:ind w:left="200" w:hanging="199"/>
        <w:spacing w:after="0"/>
        <w:tabs>
          <w:tab w:leader="none" w:pos="2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Investment is held by a taxable subsidiary of the Company.</w:t>
      </w:r>
    </w:p>
    <w:p>
      <w:pPr>
        <w:spacing w:after="0" w:line="14" w:lineRule="exact"/>
        <w:rPr>
          <w:rFonts w:ascii="Arial" w:cs="Arial" w:eastAsia="Arial" w:hAnsi="Arial"/>
          <w:sz w:val="14"/>
          <w:szCs w:val="14"/>
          <w:color w:val="auto"/>
        </w:rPr>
      </w:pPr>
    </w:p>
    <w:p>
      <w:pPr>
        <w:ind w:right="200" w:firstLine="1"/>
        <w:spacing w:after="0" w:line="241" w:lineRule="auto"/>
        <w:tabs>
          <w:tab w:leader="none" w:pos="17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December 31, 2020. The Company is earning 0.50% interest on the unfunded balance of the commitment. The interest rate disclosed represents the rate which will be earned if the commitment is funded.</w:t>
      </w:r>
    </w:p>
    <w:p>
      <w:pPr>
        <w:ind w:right="460" w:firstLine="1"/>
        <w:spacing w:after="0" w:line="241" w:lineRule="auto"/>
        <w:tabs>
          <w:tab w:leader="none" w:pos="172"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420" w:firstLine="1"/>
        <w:spacing w:after="0" w:line="241" w:lineRule="auto"/>
        <w:tabs>
          <w:tab w:leader="none" w:pos="204"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220" w:firstLine="1"/>
        <w:spacing w:after="0" w:line="234" w:lineRule="auto"/>
        <w:tabs>
          <w:tab w:leader="none" w:pos="172"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1" w:lineRule="exact"/>
        <w:rPr>
          <w:rFonts w:ascii="Arial" w:cs="Arial" w:eastAsia="Arial" w:hAnsi="Arial"/>
          <w:sz w:val="14"/>
          <w:szCs w:val="14"/>
          <w:color w:val="auto"/>
        </w:rPr>
      </w:pPr>
    </w:p>
    <w:p>
      <w:pPr>
        <w:ind w:right="100" w:firstLine="1"/>
        <w:spacing w:after="0" w:line="241" w:lineRule="auto"/>
        <w:tabs>
          <w:tab w:leader="none" w:pos="244" w:val="left"/>
        </w:tabs>
        <w:numPr>
          <w:ilvl w:val="0"/>
          <w:numId w:val="53"/>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200" w:hanging="199"/>
        <w:spacing w:after="0"/>
        <w:tabs>
          <w:tab w:leader="none" w:pos="2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spacing w:after="0" w:line="14" w:lineRule="exact"/>
        <w:rPr>
          <w:rFonts w:ascii="Arial" w:cs="Arial" w:eastAsia="Arial" w:hAnsi="Arial"/>
          <w:sz w:val="14"/>
          <w:szCs w:val="14"/>
          <w:color w:val="auto"/>
        </w:rPr>
      </w:pPr>
    </w:p>
    <w:p>
      <w:pPr>
        <w:ind w:left="200" w:hanging="199"/>
        <w:spacing w:after="0"/>
        <w:tabs>
          <w:tab w:leader="none" w:pos="2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Income producing. Maturity date, if any, represents mandatory redemption date.</w:t>
      </w:r>
    </w:p>
    <w:p>
      <w:pPr>
        <w:spacing w:after="0" w:line="14" w:lineRule="exact"/>
        <w:rPr>
          <w:rFonts w:ascii="Arial" w:cs="Arial" w:eastAsia="Arial" w:hAnsi="Arial"/>
          <w:sz w:val="14"/>
          <w:szCs w:val="14"/>
          <w:color w:val="auto"/>
        </w:rPr>
      </w:pPr>
    </w:p>
    <w:p>
      <w:pPr>
        <w:ind w:left="200" w:hanging="199"/>
        <w:spacing w:after="0"/>
        <w:tabs>
          <w:tab w:leader="none" w:pos="2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Investment was on PIK-only non-accrual status as of December 31, 2020, meaning the Company has ceased recognizing PIK interest income on the investment.</w:t>
      </w:r>
    </w:p>
    <w:p>
      <w:pPr>
        <w:spacing w:after="0" w:line="14" w:lineRule="exact"/>
        <w:rPr>
          <w:rFonts w:ascii="Arial" w:cs="Arial" w:eastAsia="Arial" w:hAnsi="Arial"/>
          <w:sz w:val="14"/>
          <w:szCs w:val="14"/>
          <w:color w:val="auto"/>
        </w:rPr>
      </w:pPr>
    </w:p>
    <w:p>
      <w:pPr>
        <w:ind w:left="200" w:hanging="199"/>
        <w:spacing w:after="0"/>
        <w:tabs>
          <w:tab w:leader="none" w:pos="2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Warrant entitles the Company to purchase 4.79% of the outstanding principal of Junior Subordinated Notes prior to exercise, and is non-income producing.</w:t>
      </w:r>
    </w:p>
    <w:p>
      <w:pPr>
        <w:spacing w:after="0" w:line="14" w:lineRule="exact"/>
        <w:rPr>
          <w:rFonts w:ascii="Arial" w:cs="Arial" w:eastAsia="Arial" w:hAnsi="Arial"/>
          <w:sz w:val="14"/>
          <w:szCs w:val="14"/>
          <w:color w:val="auto"/>
        </w:rPr>
      </w:pPr>
    </w:p>
    <w:p>
      <w:pPr>
        <w:ind w:right="160" w:firstLine="1"/>
        <w:spacing w:after="0" w:line="234" w:lineRule="auto"/>
        <w:tabs>
          <w:tab w:leader="none" w:pos="1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5.92%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firstLine="1"/>
        <w:spacing w:after="0" w:line="234" w:lineRule="auto"/>
        <w:tabs>
          <w:tab w:leader="none" w:pos="188"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240" w:firstLine="1"/>
        <w:spacing w:after="0" w:line="234" w:lineRule="auto"/>
        <w:tabs>
          <w:tab w:leader="none" w:pos="172"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4"/>
          <w:szCs w:val="14"/>
          <w:color w:val="auto"/>
        </w:rPr>
      </w:pPr>
    </w:p>
    <w:p>
      <w:pPr>
        <w:ind w:left="200" w:hanging="199"/>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security, the Company is entitled to receive an additional interest amount of 4.50% on its “last out” tranche of the</w:t>
      </w:r>
    </w:p>
    <w:p>
      <w:pPr>
        <w:spacing w:after="0" w:line="4" w:lineRule="exact"/>
        <w:rPr>
          <w:rFonts w:ascii="Arial" w:cs="Arial" w:eastAsia="Arial" w:hAnsi="Arial"/>
          <w:sz w:val="13"/>
          <w:szCs w:val="13"/>
          <w:color w:val="auto"/>
        </w:rPr>
      </w:pPr>
    </w:p>
    <w:p>
      <w:pPr>
        <w:ind w:right="160"/>
        <w:spacing w:after="0" w:line="237" w:lineRule="auto"/>
        <w:rPr>
          <w:rFonts w:ascii="Arial" w:cs="Arial" w:eastAsia="Arial" w:hAnsi="Arial"/>
          <w:sz w:val="13"/>
          <w:szCs w:val="13"/>
          <w:color w:val="auto"/>
        </w:rPr>
      </w:pPr>
      <w:r>
        <w:rPr>
          <w:rFonts w:ascii="Arial" w:cs="Arial" w:eastAsia="Arial" w:hAnsi="Arial"/>
          <w:sz w:val="14"/>
          <w:szCs w:val="14"/>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0" w:hanging="199"/>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security, the Company is entitled to receive an additional interest amount of 4.25% on its “last out” tranche of the</w:t>
      </w:r>
    </w:p>
    <w:p>
      <w:pPr>
        <w:spacing w:after="0" w:line="4" w:lineRule="exact"/>
        <w:rPr>
          <w:rFonts w:ascii="Arial" w:cs="Arial" w:eastAsia="Arial" w:hAnsi="Arial"/>
          <w:sz w:val="13"/>
          <w:szCs w:val="13"/>
          <w:color w:val="auto"/>
        </w:rPr>
      </w:pPr>
    </w:p>
    <w:p>
      <w:pPr>
        <w:ind w:right="160"/>
        <w:spacing w:after="0" w:line="237" w:lineRule="auto"/>
        <w:rPr>
          <w:rFonts w:ascii="Arial" w:cs="Arial" w:eastAsia="Arial" w:hAnsi="Arial"/>
          <w:sz w:val="13"/>
          <w:szCs w:val="13"/>
          <w:color w:val="auto"/>
        </w:rPr>
      </w:pPr>
      <w:r>
        <w:rPr>
          <w:rFonts w:ascii="Arial" w:cs="Arial" w:eastAsia="Arial" w:hAnsi="Arial"/>
          <w:sz w:val="14"/>
          <w:szCs w:val="14"/>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1"/>
        <w:spacing w:after="0" w:line="234" w:lineRule="auto"/>
        <w:tabs>
          <w:tab w:leader="none" w:pos="236"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200" w:hanging="199"/>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security, the Company is entitled to receive an additional interest amount of 3.13% on its “last out” tranche of the</w:t>
      </w:r>
    </w:p>
    <w:p>
      <w:pPr>
        <w:spacing w:after="0" w:line="4" w:lineRule="exact"/>
        <w:rPr>
          <w:rFonts w:ascii="Arial" w:cs="Arial" w:eastAsia="Arial" w:hAnsi="Arial"/>
          <w:sz w:val="13"/>
          <w:szCs w:val="13"/>
          <w:color w:val="auto"/>
        </w:rPr>
      </w:pPr>
    </w:p>
    <w:p>
      <w:pPr>
        <w:ind w:right="160"/>
        <w:spacing w:after="0" w:line="237" w:lineRule="auto"/>
        <w:rPr>
          <w:rFonts w:ascii="Arial" w:cs="Arial" w:eastAsia="Arial" w:hAnsi="Arial"/>
          <w:sz w:val="13"/>
          <w:szCs w:val="13"/>
          <w:color w:val="auto"/>
        </w:rPr>
      </w:pPr>
      <w:r>
        <w:rPr>
          <w:rFonts w:ascii="Arial" w:cs="Arial" w:eastAsia="Arial" w:hAnsi="Arial"/>
          <w:sz w:val="14"/>
          <w:szCs w:val="14"/>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0" w:hanging="199"/>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security, the Company is entitled to receive an additional interest amount of 3.93% on its “last out” tranche of the</w:t>
      </w:r>
    </w:p>
    <w:p>
      <w:pPr>
        <w:spacing w:after="0" w:line="4" w:lineRule="exact"/>
        <w:rPr>
          <w:rFonts w:ascii="Arial" w:cs="Arial" w:eastAsia="Arial" w:hAnsi="Arial"/>
          <w:sz w:val="13"/>
          <w:szCs w:val="13"/>
          <w:color w:val="auto"/>
        </w:rPr>
      </w:pPr>
    </w:p>
    <w:p>
      <w:pPr>
        <w:ind w:right="160"/>
        <w:spacing w:after="0" w:line="237" w:lineRule="auto"/>
        <w:rPr>
          <w:rFonts w:ascii="Arial" w:cs="Arial" w:eastAsia="Arial" w:hAnsi="Arial"/>
          <w:sz w:val="13"/>
          <w:szCs w:val="13"/>
          <w:color w:val="auto"/>
        </w:rPr>
      </w:pPr>
      <w:r>
        <w:rPr>
          <w:rFonts w:ascii="Arial" w:cs="Arial" w:eastAsia="Arial" w:hAnsi="Arial"/>
          <w:sz w:val="14"/>
          <w:szCs w:val="14"/>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1"/>
        <w:spacing w:after="0" w:line="234" w:lineRule="auto"/>
        <w:tabs>
          <w:tab w:leader="none" w:pos="196"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firstLine="1"/>
        <w:spacing w:after="0" w:line="234" w:lineRule="auto"/>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2.84%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(ab) In addition to the interest earned based on the stated interest rate of this security, the Company is entitled to receive an additional interest amount of 2.95%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00"/>
        <w:spacing w:after="0" w:line="241" w:lineRule="auto"/>
        <w:rPr>
          <w:rFonts w:ascii="Arial" w:cs="Arial" w:eastAsia="Arial" w:hAnsi="Arial"/>
          <w:sz w:val="14"/>
          <w:szCs w:val="14"/>
          <w:color w:val="auto"/>
        </w:rPr>
      </w:pPr>
      <w:r>
        <w:rPr>
          <w:rFonts w:ascii="Arial" w:cs="Arial" w:eastAsia="Arial" w:hAnsi="Arial"/>
          <w:sz w:val="14"/>
          <w:szCs w:val="14"/>
          <w:color w:val="auto"/>
        </w:rPr>
        <w:t>(ac) The disclosed commitment represents the unfunded amount as of December 31, 2020. The Company is earning 1.00% interest on the unfunded balance of the commitment. The interest rate disclosed represents the rate earned on the outstanding, funded balance of the commitment.</w:t>
      </w: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(ad) In addition to the interest earned based on the stated interest rate of this security, the Company is entitled to receive an additional interest amount of 3.33%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(ae) In addition to the interest earned based on the stated interest rate of this security, the Company is entitled to receive an additional interest amount of 3.31%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right="160"/>
        <w:spacing w:after="0" w:line="234" w:lineRule="auto"/>
        <w:rPr>
          <w:rFonts w:ascii="Arial" w:cs="Arial" w:eastAsia="Arial" w:hAnsi="Arial"/>
          <w:sz w:val="14"/>
          <w:szCs w:val="14"/>
          <w:color w:val="auto"/>
        </w:rPr>
      </w:pPr>
      <w:r>
        <w:rPr>
          <w:rFonts w:ascii="Arial" w:cs="Arial" w:eastAsia="Arial" w:hAnsi="Arial"/>
          <w:sz w:val="14"/>
          <w:szCs w:val="14"/>
          <w:color w:val="auto"/>
        </w:rPr>
        <w:t>(af) In addition to the interest earned based on the stated interest rate of this security, the Company is entitled to receive an additional interest amount of 4.03%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0" w:right="339" w:bottom="1440" w:gutter="0" w:footer="0" w:header="0"/>
        </w:sectPr>
      </w:pPr>
    </w:p>
    <w:bookmarkStart w:id="94" w:name="page95"/>
    <w:bookmarkEnd w:id="94"/>
    <w:p>
      <w:pPr>
        <w:ind w:left="994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854"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62"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has elected, and intends to qualify annually, to be treated as a regulated investment company (“RIC”) under Subchapter M of the Internal Revenue Code of 1986, as amended (the “Code”).</w:t>
      </w:r>
    </w:p>
    <w:p>
      <w:pPr>
        <w:spacing w:after="0" w:line="135" w:lineRule="exact"/>
        <w:rPr>
          <w:sz w:val="20"/>
          <w:szCs w:val="20"/>
          <w:color w:val="auto"/>
        </w:rPr>
      </w:pPr>
    </w:p>
    <w:p>
      <w:pPr>
        <w:jc w:val="both"/>
        <w:ind w:firstLine="478"/>
        <w:spacing w:after="0" w:line="255" w:lineRule="auto"/>
        <w:rPr>
          <w:sz w:val="20"/>
          <w:szCs w:val="20"/>
          <w:color w:val="auto"/>
        </w:rPr>
      </w:pPr>
      <w:r>
        <w:rPr>
          <w:rFonts w:ascii="Arial" w:cs="Arial" w:eastAsia="Arial" w:hAnsi="Arial"/>
          <w:sz w:val="17"/>
          <w:szCs w:val="17"/>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26" w:lineRule="exact"/>
        <w:rPr>
          <w:sz w:val="20"/>
          <w:szCs w:val="20"/>
          <w:color w:val="auto"/>
        </w:rPr>
      </w:pPr>
    </w:p>
    <w:p>
      <w:pPr>
        <w:jc w:val="both"/>
        <w:ind w:firstLine="478"/>
        <w:spacing w:after="0" w:line="262" w:lineRule="auto"/>
        <w:rPr>
          <w:sz w:val="20"/>
          <w:szCs w:val="20"/>
          <w:color w:val="auto"/>
        </w:rPr>
      </w:pPr>
      <w:r>
        <w:rPr>
          <w:rFonts w:ascii="Arial" w:cs="Arial" w:eastAsia="Arial" w:hAnsi="Arial"/>
          <w:sz w:val="17"/>
          <w:szCs w:val="17"/>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earlier of the end of the Funds’ investment period, if applicable, or the Funds reach their borrowing limit under the program. For two or more SBICs under common control, the maximum amount of outstanding SBA debentures cannot exceed $350,000.</w:t>
      </w:r>
    </w:p>
    <w:p>
      <w:pPr>
        <w:spacing w:after="0" w:line="118"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Fund II and Fund III are not registered under the 1940 Act and rely on the exclusion from the definition of investment company contained in Section 3(c)(7) of the 1940 Act.</w:t>
      </w:r>
    </w:p>
    <w:p>
      <w:pPr>
        <w:spacing w:after="0" w:line="117"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62" w:lineRule="exact"/>
        <w:rPr>
          <w:sz w:val="20"/>
          <w:szCs w:val="20"/>
          <w:color w:val="auto"/>
        </w:rPr>
      </w:pPr>
    </w:p>
    <w:p>
      <w:pPr>
        <w:jc w:val="both"/>
        <w:ind w:firstLine="478"/>
        <w:spacing w:after="0" w:line="279"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accepted accounting principles in the United States of America (“GAAP”) pursuant to the requirements for reporting on Form 10-K,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w:t>
      </w:r>
    </w:p>
    <w:p>
      <w:pPr>
        <w:spacing w:after="0" w:line="105" w:lineRule="exact"/>
        <w:rPr>
          <w:sz w:val="20"/>
          <w:szCs w:val="20"/>
          <w:color w:val="auto"/>
        </w:rPr>
      </w:pPr>
    </w:p>
    <w:p>
      <w:pPr>
        <w:jc w:val="both"/>
        <w:ind w:firstLine="478"/>
        <w:spacing w:after="0" w:line="294"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93"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196" w:lineRule="exact"/>
        <w:rPr>
          <w:sz w:val="20"/>
          <w:szCs w:val="20"/>
          <w:color w:val="auto"/>
        </w:rPr>
      </w:pPr>
    </w:p>
    <w:p>
      <w:pPr>
        <w:jc w:val="both"/>
        <w:ind w:left="1240" w:hanging="379"/>
        <w:spacing w:after="0" w:line="260" w:lineRule="auto"/>
        <w:tabs>
          <w:tab w:leader="none" w:pos="1240" w:val="left"/>
        </w:tabs>
        <w:numPr>
          <w:ilvl w:val="0"/>
          <w:numId w:val="54"/>
        </w:numPr>
        <w:rPr>
          <w:rFonts w:ascii="Arial" w:cs="Arial" w:eastAsia="Arial" w:hAnsi="Arial"/>
          <w:sz w:val="19"/>
          <w:szCs w:val="19"/>
          <w:color w:val="auto"/>
        </w:rPr>
      </w:pPr>
      <w:r>
        <w:rPr>
          <w:rFonts w:ascii="Arial" w:cs="Arial" w:eastAsia="Arial" w:hAnsi="Arial"/>
          <w:sz w:val="16"/>
          <w:szCs w:val="16"/>
          <w:i w:val="1"/>
          <w:iCs w:val="1"/>
          <w:color w:val="auto"/>
        </w:rPr>
        <w:t xml:space="preserve">Market risk - </w:t>
      </w:r>
      <w:r>
        <w:rPr>
          <w:rFonts w:ascii="Arial" w:cs="Arial" w:eastAsia="Arial" w:hAnsi="Arial"/>
          <w:sz w:val="16"/>
          <w:szCs w:val="16"/>
          <w:color w:val="auto"/>
        </w:rPr>
        <w:t>In contrast to investment-grade bonds (the market prices of which change primarily as a reaction to changes in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96" w:name="page97"/>
    <w:bookmarkEnd w:id="96"/>
    <w:p>
      <w:pPr>
        <w:ind w:left="1240"/>
        <w:spacing w:after="0"/>
        <w:rPr>
          <w:sz w:val="20"/>
          <w:szCs w:val="20"/>
          <w:color w:val="auto"/>
        </w:rPr>
      </w:pPr>
      <w:r>
        <w:rPr>
          <w:rFonts w:ascii="Arial" w:cs="Arial" w:eastAsia="Arial" w:hAnsi="Arial"/>
          <w:sz w:val="18"/>
          <w:szCs w:val="18"/>
          <w:color w:val="auto"/>
        </w:rPr>
        <w:t>companies may be more vulnerable to competition and to overall economic conditions than larger, more established entities.</w:t>
      </w:r>
    </w:p>
    <w:p>
      <w:pPr>
        <w:spacing w:after="0" w:line="185" w:lineRule="exact"/>
        <w:rPr>
          <w:sz w:val="20"/>
          <w:szCs w:val="20"/>
          <w:color w:val="auto"/>
        </w:rPr>
      </w:pPr>
    </w:p>
    <w:p>
      <w:pPr>
        <w:jc w:val="both"/>
        <w:ind w:left="1240" w:hanging="379"/>
        <w:spacing w:after="0" w:line="228" w:lineRule="auto"/>
        <w:tabs>
          <w:tab w:leader="none" w:pos="1240" w:val="left"/>
        </w:tabs>
        <w:numPr>
          <w:ilvl w:val="0"/>
          <w:numId w:val="55"/>
        </w:numPr>
        <w:rPr>
          <w:rFonts w:ascii="Arial" w:cs="Arial" w:eastAsia="Arial" w:hAnsi="Arial"/>
          <w:sz w:val="22"/>
          <w:szCs w:val="22"/>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that the Company would incur if the counterparties failed to perform pursuant to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agreements with the Company. Issues of high-yield debt securities in which the Company invests are more likely to default on interest or principal than are issues of investment-grade securities.</w:t>
      </w:r>
    </w:p>
    <w:p>
      <w:pPr>
        <w:spacing w:after="0" w:line="162" w:lineRule="exact"/>
        <w:rPr>
          <w:rFonts w:ascii="Arial" w:cs="Arial" w:eastAsia="Arial" w:hAnsi="Arial"/>
          <w:sz w:val="22"/>
          <w:szCs w:val="22"/>
          <w:color w:val="auto"/>
        </w:rPr>
      </w:pPr>
    </w:p>
    <w:p>
      <w:pPr>
        <w:ind w:left="1240" w:right="20" w:hanging="379"/>
        <w:spacing w:after="0" w:line="225" w:lineRule="auto"/>
        <w:tabs>
          <w:tab w:leader="none" w:pos="1240" w:val="left"/>
        </w:tabs>
        <w:numPr>
          <w:ilvl w:val="0"/>
          <w:numId w:val="55"/>
        </w:numPr>
        <w:rPr>
          <w:rFonts w:ascii="Arial" w:cs="Arial" w:eastAsia="Arial" w:hAnsi="Arial"/>
          <w:sz w:val="22"/>
          <w:szCs w:val="22"/>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 quickly or at a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price (given the lack of an established market).</w:t>
      </w:r>
    </w:p>
    <w:p>
      <w:pPr>
        <w:spacing w:after="0" w:line="162" w:lineRule="exact"/>
        <w:rPr>
          <w:rFonts w:ascii="Arial" w:cs="Arial" w:eastAsia="Arial" w:hAnsi="Arial"/>
          <w:sz w:val="22"/>
          <w:szCs w:val="22"/>
          <w:color w:val="auto"/>
        </w:rPr>
      </w:pPr>
    </w:p>
    <w:p>
      <w:pPr>
        <w:ind w:left="1240" w:hanging="379"/>
        <w:spacing w:after="0" w:line="225" w:lineRule="auto"/>
        <w:tabs>
          <w:tab w:leader="none" w:pos="1240" w:val="left"/>
        </w:tabs>
        <w:numPr>
          <w:ilvl w:val="0"/>
          <w:numId w:val="55"/>
        </w:numPr>
        <w:rPr>
          <w:rFonts w:ascii="Arial" w:cs="Arial" w:eastAsia="Arial" w:hAnsi="Arial"/>
          <w:sz w:val="22"/>
          <w:szCs w:val="22"/>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 on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an interest-bearing financial instrument.</w:t>
      </w:r>
    </w:p>
    <w:p>
      <w:pPr>
        <w:spacing w:after="0" w:line="162" w:lineRule="exact"/>
        <w:rPr>
          <w:rFonts w:ascii="Arial" w:cs="Arial" w:eastAsia="Arial" w:hAnsi="Arial"/>
          <w:sz w:val="22"/>
          <w:szCs w:val="22"/>
          <w:color w:val="auto"/>
        </w:rPr>
      </w:pPr>
    </w:p>
    <w:p>
      <w:pPr>
        <w:jc w:val="both"/>
        <w:ind w:left="1240" w:hanging="379"/>
        <w:spacing w:after="0" w:line="241" w:lineRule="auto"/>
        <w:tabs>
          <w:tab w:leader="none" w:pos="1240" w:val="left"/>
        </w:tabs>
        <w:numPr>
          <w:ilvl w:val="0"/>
          <w:numId w:val="55"/>
        </w:numPr>
        <w:rPr>
          <w:rFonts w:ascii="Arial" w:cs="Arial" w:eastAsia="Arial" w:hAnsi="Arial"/>
          <w:sz w:val="21"/>
          <w:szCs w:val="21"/>
          <w:color w:val="auto"/>
        </w:rPr>
      </w:pPr>
      <w:r>
        <w:rPr>
          <w:rFonts w:ascii="Arial" w:cs="Arial" w:eastAsia="Arial" w:hAnsi="Arial"/>
          <w:sz w:val="17"/>
          <w:szCs w:val="17"/>
          <w:i w:val="1"/>
          <w:iCs w:val="1"/>
          <w:color w:val="auto"/>
        </w:rPr>
        <w:t xml:space="preserve">Prepayment risk - </w:t>
      </w:r>
      <w:r>
        <w:rPr>
          <w:rFonts w:ascii="Arial" w:cs="Arial" w:eastAsia="Arial" w:hAnsi="Arial"/>
          <w:sz w:val="17"/>
          <w:szCs w:val="17"/>
          <w:color w:val="auto"/>
        </w:rPr>
        <w:t>Certain of the Company’s debt investments allow for prepayment of principal without penalty. Downward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161" w:lineRule="exact"/>
        <w:rPr>
          <w:rFonts w:ascii="Arial" w:cs="Arial" w:eastAsia="Arial" w:hAnsi="Arial"/>
          <w:sz w:val="21"/>
          <w:szCs w:val="21"/>
          <w:color w:val="auto"/>
        </w:rPr>
      </w:pPr>
    </w:p>
    <w:p>
      <w:pPr>
        <w:jc w:val="both"/>
        <w:ind w:left="1240" w:hanging="379"/>
        <w:spacing w:after="0" w:line="228" w:lineRule="auto"/>
        <w:tabs>
          <w:tab w:leader="none" w:pos="1240" w:val="left"/>
        </w:tabs>
        <w:numPr>
          <w:ilvl w:val="0"/>
          <w:numId w:val="55"/>
        </w:numPr>
        <w:rPr>
          <w:rFonts w:ascii="Arial" w:cs="Arial" w:eastAsia="Arial" w:hAnsi="Arial"/>
          <w:sz w:val="22"/>
          <w:szCs w:val="22"/>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represent future commitments to purchase other financial instruments at defined terms at defined future dates. See Note 7 for further details.</w:t>
      </w:r>
    </w:p>
    <w:p>
      <w:pPr>
        <w:spacing w:after="0" w:line="136"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35"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35"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unit structure.</w:t>
      </w:r>
    </w:p>
    <w:p>
      <w:pPr>
        <w:spacing w:after="0" w:line="117"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highly liquid investments with an original maturity of three months or less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28"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SBA debentures, the Credit Facility,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34"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i w:val="1"/>
          <w:iCs w:val="1"/>
          <w:color w:val="auto"/>
        </w:rPr>
        <w:t xml:space="preserve">Realized losses on extinguishment of debt: </w:t>
      </w:r>
      <w:r>
        <w:rPr>
          <w:rFonts w:ascii="Arial" w:cs="Arial" w:eastAsia="Arial" w:hAnsi="Arial"/>
          <w:sz w:val="18"/>
          <w:szCs w:val="18"/>
          <w:color w:val="auto"/>
        </w:rPr>
        <w:t>Upon the repayment of debt obligations which are deemed to be extinguishments, the difference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amount due at maturity adjusted for any unamortized deferred financing costs is recognized as a loss (i.e., the unamortized deferred financing costs are recognized as a loss upon extinguishment of the underlying debt obligation).</w:t>
      </w:r>
    </w:p>
    <w:p>
      <w:pPr>
        <w:spacing w:after="0" w:line="12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shelf filings. These expenses primarily consist of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pacing w:after="0" w:line="135"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i w:val="1"/>
          <w:iCs w:val="1"/>
          <w:color w:val="auto"/>
        </w:rPr>
        <w:t xml:space="preserve">Realized gains or losses and unrealized appreciation or depreciation on investments: </w:t>
      </w:r>
      <w:r>
        <w:rPr>
          <w:rFonts w:ascii="Arial" w:cs="Arial" w:eastAsia="Arial" w:hAnsi="Arial"/>
          <w:sz w:val="18"/>
          <w:szCs w:val="18"/>
          <w:color w:val="auto"/>
        </w:rPr>
        <w:t>Realized gains or losses on investments are recorded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7" w:name="page98"/>
    <w:bookmarkEnd w:id="97"/>
    <w:p>
      <w:pPr>
        <w:jc w:val="both"/>
        <w:ind w:right="20"/>
        <w:spacing w:after="0" w:line="261" w:lineRule="auto"/>
        <w:rPr>
          <w:sz w:val="20"/>
          <w:szCs w:val="20"/>
          <w:color w:val="auto"/>
        </w:rPr>
      </w:pPr>
      <w:r>
        <w:rPr>
          <w:rFonts w:ascii="Arial" w:cs="Arial" w:eastAsia="Arial" w:hAnsi="Arial"/>
          <w:sz w:val="18"/>
          <w:szCs w:val="18"/>
          <w:color w:val="auto"/>
        </w:rPr>
        <w:t>of the Company’s valuation policy, as well as reclassifications of any prior period unrealized appreciation or depreciation on exited investments to realized gains or losses on investments.</w:t>
      </w:r>
    </w:p>
    <w:p>
      <w:pPr>
        <w:spacing w:after="0" w:line="117" w:lineRule="exact"/>
        <w:rPr>
          <w:sz w:val="20"/>
          <w:szCs w:val="20"/>
          <w:color w:val="auto"/>
        </w:rPr>
      </w:pPr>
    </w:p>
    <w:p>
      <w:pPr>
        <w:jc w:val="both"/>
        <w:ind w:firstLine="478"/>
        <w:spacing w:after="0"/>
        <w:rPr>
          <w:sz w:val="20"/>
          <w:szCs w:val="20"/>
          <w:color w:val="auto"/>
        </w:rPr>
      </w:pPr>
      <w:r>
        <w:rPr>
          <w:rFonts w:ascii="Arial" w:cs="Arial" w:eastAsia="Arial" w:hAnsi="Arial"/>
          <w:sz w:val="18"/>
          <w:szCs w:val="18"/>
          <w:i w:val="1"/>
          <w:iCs w:val="1"/>
          <w:color w:val="auto"/>
        </w:rPr>
        <w:t xml:space="preserve">Interest and dividend income: </w:t>
      </w:r>
      <w:r>
        <w:rPr>
          <w:rFonts w:ascii="Arial" w:cs="Arial" w:eastAsia="Arial" w:hAnsi="Arial"/>
          <w:sz w:val="18"/>
          <w:szCs w:val="18"/>
          <w:color w:val="auto"/>
        </w:rPr>
        <w:t>Interest and dividend income are recorded on the accrual basis to the extent that the Company expects to collect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35"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6"/>
          <w:szCs w:val="16"/>
          <w:i w:val="1"/>
          <w:iCs w:val="1"/>
          <w:color w:val="auto"/>
        </w:rPr>
        <w:t xml:space="preserve">PIK income: </w:t>
      </w:r>
      <w:r>
        <w:rPr>
          <w:rFonts w:ascii="Arial" w:cs="Arial" w:eastAsia="Arial" w:hAnsi="Arial"/>
          <w:sz w:val="16"/>
          <w:szCs w:val="16"/>
          <w:color w:val="auto"/>
        </w:rPr>
        <w:t>Certain of the Company’s investments contain a payment-in-kind (“PIK”) income provision. The PIK income, computed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14"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the Company is accruing PIK dividends) are placed on non-accrual status</w:t>
      </w:r>
      <w:r>
        <w:rPr>
          <w:rFonts w:ascii="Arial" w:cs="Arial" w:eastAsia="Arial" w:hAnsi="Arial"/>
          <w:sz w:val="17"/>
          <w:szCs w:val="17"/>
          <w:i w:val="1"/>
          <w:iCs w:val="1"/>
          <w:color w:val="auto"/>
        </w:rPr>
        <w:t xml:space="preserve"> </w:t>
      </w:r>
      <w:r>
        <w:rPr>
          <w:rFonts w:ascii="Arial" w:cs="Arial" w:eastAsia="Arial" w:hAnsi="Arial"/>
          <w:sz w:val="17"/>
          <w:szCs w:val="17"/>
          <w:color w:val="auto"/>
        </w:rPr>
        <w:t>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21"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i w:val="1"/>
          <w:iCs w:val="1"/>
          <w:color w:val="auto"/>
        </w:rPr>
        <w:t xml:space="preserve">Origination and closing fees: </w:t>
      </w:r>
      <w:r>
        <w:rPr>
          <w:rFonts w:ascii="Arial" w:cs="Arial" w:eastAsia="Arial" w:hAnsi="Arial"/>
          <w:sz w:val="18"/>
          <w:szCs w:val="18"/>
          <w:color w:val="auto"/>
        </w:rPr>
        <w:t>The Company also typically receives debt investment origination or closing fees in connection with such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34" w:lineRule="exact"/>
        <w:rPr>
          <w:sz w:val="20"/>
          <w:szCs w:val="20"/>
          <w:color w:val="auto"/>
        </w:rPr>
      </w:pPr>
    </w:p>
    <w:p>
      <w:pPr>
        <w:jc w:val="both"/>
        <w:ind w:firstLine="478"/>
        <w:spacing w:after="0" w:line="279" w:lineRule="auto"/>
        <w:rPr>
          <w:sz w:val="20"/>
          <w:szCs w:val="20"/>
          <w:color w:val="auto"/>
        </w:rPr>
      </w:pPr>
      <w:r>
        <w:rPr>
          <w:rFonts w:ascii="Arial" w:cs="Arial" w:eastAsia="Arial" w:hAnsi="Arial"/>
          <w:sz w:val="16"/>
          <w:szCs w:val="16"/>
          <w:i w:val="1"/>
          <w:iCs w:val="1"/>
          <w:color w:val="auto"/>
        </w:rPr>
        <w:t>Warrants</w:t>
      </w:r>
      <w:r>
        <w:rPr>
          <w:rFonts w:ascii="Arial" w:cs="Arial" w:eastAsia="Arial" w:hAnsi="Arial"/>
          <w:sz w:val="16"/>
          <w:szCs w:val="16"/>
          <w:color w:val="auto"/>
        </w:rPr>
        <w:t>: In connection with the Company’s debt investments, the Company will sometimes receive warrants or other equity-related securities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05"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6"/>
          <w:szCs w:val="16"/>
          <w:i w:val="1"/>
          <w:iCs w:val="1"/>
          <w:color w:val="auto"/>
        </w:rPr>
        <w:t>Fee income</w:t>
      </w:r>
      <w:r>
        <w:rPr>
          <w:rFonts w:ascii="Arial" w:cs="Arial" w:eastAsia="Arial" w:hAnsi="Arial"/>
          <w:sz w:val="16"/>
          <w:szCs w:val="16"/>
          <w:color w:val="auto"/>
        </w:rPr>
        <w:t>: Transaction fees earned in connection with the Company’s investments are recognized as fee income and are generally non-recurring.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 In 2020, the Company elected to change the manner in which it presents the recognition of management services fees income. Previously, the Company classified management services fees as a component of interest on idle funds and other income on the consolidated statements of operations. Currently management services fees are a component of fee income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14" w:lineRule="exact"/>
        <w:rPr>
          <w:sz w:val="20"/>
          <w:szCs w:val="20"/>
          <w:color w:val="auto"/>
        </w:rPr>
      </w:pPr>
    </w:p>
    <w:p>
      <w:pPr>
        <w:jc w:val="both"/>
        <w:ind w:firstLine="479"/>
        <w:spacing w:after="0" w:line="255" w:lineRule="auto"/>
        <w:rPr>
          <w:sz w:val="20"/>
          <w:szCs w:val="20"/>
          <w:color w:val="auto"/>
        </w:rPr>
      </w:pPr>
      <w:r>
        <w:rPr>
          <w:rFonts w:ascii="Arial" w:cs="Arial" w:eastAsia="Arial" w:hAnsi="Arial"/>
          <w:sz w:val="17"/>
          <w:szCs w:val="17"/>
          <w:i w:val="1"/>
          <w:iCs w:val="1"/>
          <w:color w:val="auto"/>
        </w:rPr>
        <w:t xml:space="preserve">Partial loan and equity sales: </w:t>
      </w:r>
      <w:r>
        <w:rPr>
          <w:rFonts w:ascii="Arial" w:cs="Arial" w:eastAsia="Arial" w:hAnsi="Arial"/>
          <w:sz w:val="17"/>
          <w:szCs w:val="17"/>
          <w:color w:val="auto"/>
        </w:rPr>
        <w:t>The Company follows the guidance in ASC 860,</w:t>
      </w:r>
      <w:r>
        <w:rPr>
          <w:rFonts w:ascii="Arial" w:cs="Arial" w:eastAsia="Arial" w:hAnsi="Arial"/>
          <w:sz w:val="17"/>
          <w:szCs w:val="17"/>
          <w:i w:val="1"/>
          <w:iCs w:val="1"/>
          <w:color w:val="auto"/>
        </w:rPr>
        <w:t xml:space="preserve"> Transfers and Servicing, </w:t>
      </w:r>
      <w:r>
        <w:rPr>
          <w:rFonts w:ascii="Arial" w:cs="Arial" w:eastAsia="Arial" w:hAnsi="Arial"/>
          <w:sz w:val="17"/>
          <w:szCs w:val="17"/>
          <w:color w:val="auto"/>
        </w:rPr>
        <w:t>when accounting for loan (debt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spacing w:after="0" w:line="126" w:lineRule="exact"/>
        <w:rPr>
          <w:sz w:val="20"/>
          <w:szCs w:val="20"/>
          <w:color w:val="auto"/>
        </w:rPr>
      </w:pPr>
    </w:p>
    <w:p>
      <w:pPr>
        <w:jc w:val="both"/>
        <w:ind w:firstLine="478"/>
        <w:spacing w:after="0" w:line="24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Company has elected, and intends to qualify annually, to be treated as a RIC under Subchapter M of the Code,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relieve the Company from U.S. federal income taxes with respect to all income distributed to stockholders. To</w:t>
      </w: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8" w:name="page99"/>
    <w:bookmarkEnd w:id="98"/>
    <w:p>
      <w:pPr>
        <w:jc w:val="both"/>
        <w:spacing w:after="0" w:line="241" w:lineRule="auto"/>
        <w:rPr>
          <w:sz w:val="20"/>
          <w:szCs w:val="20"/>
          <w:color w:val="auto"/>
        </w:rPr>
      </w:pPr>
      <w:r>
        <w:rPr>
          <w:rFonts w:ascii="Arial" w:cs="Arial" w:eastAsia="Arial" w:hAnsi="Arial"/>
          <w:sz w:val="17"/>
          <w:szCs w:val="17"/>
          <w:color w:val="auto"/>
        </w:rPr>
        <w:t>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day of the 10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36" w:lineRule="exact"/>
        <w:rPr>
          <w:sz w:val="20"/>
          <w:szCs w:val="20"/>
          <w:color w:val="auto"/>
        </w:rPr>
      </w:pPr>
    </w:p>
    <w:p>
      <w:pPr>
        <w:jc w:val="both"/>
        <w:ind w:right="20" w:firstLine="478"/>
        <w:spacing w:after="0" w:line="261" w:lineRule="auto"/>
        <w:rPr>
          <w:sz w:val="20"/>
          <w:szCs w:val="20"/>
          <w:color w:val="auto"/>
        </w:rPr>
      </w:pPr>
      <w:r>
        <w:rPr>
          <w:rFonts w:ascii="Arial" w:cs="Arial" w:eastAsia="Arial" w:hAnsi="Arial"/>
          <w:sz w:val="18"/>
          <w:szCs w:val="18"/>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17"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14"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34"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December 31, 2021 and 2020. The Company’s tax returns are generally subject to examination by U.S. federal and most state tax authorities for a period of three years from the date the respective returns are filed, and, accordingly, the Company’s 2018 through 2020 tax years remain subject to examination.</w:t>
      </w:r>
    </w:p>
    <w:p>
      <w:pPr>
        <w:spacing w:after="0" w:line="140"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i w:val="1"/>
          <w:iCs w:val="1"/>
          <w:color w:val="auto"/>
        </w:rPr>
        <w:t xml:space="preserve">Dividends to stockholders: </w:t>
      </w:r>
      <w:r>
        <w:rPr>
          <w:rFonts w:ascii="Arial" w:cs="Arial" w:eastAsia="Arial" w:hAnsi="Arial"/>
          <w:sz w:val="17"/>
          <w:szCs w:val="17"/>
          <w:color w:val="auto"/>
        </w:rPr>
        <w:t>Dividends to stockholders are recorded on the record date with respect to such distributions. The amount, if any, to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10"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20" w:lineRule="exact"/>
        <w:rPr>
          <w:sz w:val="20"/>
          <w:szCs w:val="20"/>
          <w:color w:val="auto"/>
        </w:rPr>
      </w:pPr>
    </w:p>
    <w:p>
      <w:pPr>
        <w:jc w:val="both"/>
        <w:ind w:firstLine="478"/>
        <w:spacing w:after="0" w:line="251" w:lineRule="auto"/>
        <w:rPr>
          <w:sz w:val="20"/>
          <w:szCs w:val="20"/>
          <w:color w:val="auto"/>
        </w:rPr>
      </w:pPr>
      <w:r>
        <w:rPr>
          <w:rFonts w:ascii="Arial" w:cs="Arial" w:eastAsia="Arial" w:hAnsi="Arial"/>
          <w:sz w:val="17"/>
          <w:szCs w:val="17"/>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9" w:name="page100"/>
    <w:bookmarkEnd w:id="99"/>
    <w:p>
      <w:pPr>
        <w:jc w:val="both"/>
        <w:ind w:firstLine="478"/>
        <w:spacing w:after="0" w:line="248"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years ended December 31, 2021, 2020 and 2019, are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utilizing the weighted average shares outstanding for the period. Net asset value per share is calculated using the number of shares outstanding as of the end of the period.</w:t>
      </w:r>
    </w:p>
    <w:p>
      <w:pPr>
        <w:spacing w:after="0" w:line="128"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The Company has an open market stock repurchase program (the “Stock Repurchase Program”)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During the year ended December 31, 2020 the Company repurchased 25,719 shares of common stock on the open market for $268. The Company did not make any repurchases of common stock during the years ended December 31, 2021 and 2019. Refer to Note 8 for additional information concerning stock repurchases.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 accounting pronouncements:</w:t>
      </w:r>
    </w:p>
    <w:p>
      <w:pPr>
        <w:spacing w:after="0" w:line="10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“Reference Rate Reform (Topic 848),”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Company has agreements that have LIBOR as a reference rate with certain portfolio companies and under the Credit Facility (as described in Note 6). Many of these agreements (including the credit agreement relating to the Credit Facility) include an alternative successor rate or language for choosing an alternative successor rate when LIBOR reference is no longer considered to be appropriate. With respect to other agreements, the Company intends to work with its portfolio companies to modify agreements to choose an alternative successor rate.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did not utilize the optional expedients and exceptions provided by ASU 2020-04 during the year ended December 31, 2021.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SEC Rule 1-02(w)(2) Update:</w:t>
      </w:r>
    </w:p>
    <w:p>
      <w:pPr>
        <w:spacing w:after="0" w:line="15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adopted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became effective on January 1, 2021. The Company elected to early adopt this rule change as of December 31, 2020. The adoption of this guidance did not have a material impact on the Company’s Consolidated Financial Statements.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SEC Regulation S-K Update:</w:t>
      </w:r>
    </w:p>
    <w:p>
      <w:pPr>
        <w:spacing w:after="0" w:line="158" w:lineRule="exact"/>
        <w:rPr>
          <w:sz w:val="20"/>
          <w:szCs w:val="20"/>
          <w:color w:val="auto"/>
        </w:rPr>
      </w:pPr>
    </w:p>
    <w:p>
      <w:pPr>
        <w:jc w:val="both"/>
        <w:ind w:firstLine="562"/>
        <w:spacing w:after="0" w:line="274" w:lineRule="auto"/>
        <w:rPr>
          <w:sz w:val="20"/>
          <w:szCs w:val="20"/>
          <w:color w:val="auto"/>
        </w:rPr>
      </w:pPr>
      <w:r>
        <w:rPr>
          <w:rFonts w:ascii="Arial" w:cs="Arial" w:eastAsia="Arial" w:hAnsi="Arial"/>
          <w:sz w:val="16"/>
          <w:szCs w:val="16"/>
          <w:color w:val="auto"/>
        </w:rPr>
        <w:t>In November 2020, the SEC issued a final rule that modernized and simplifies Management's Discussion and Analysis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adopted the Amendments on the effective date that did not have a material impact on the Company’s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0" w:name="page101"/>
    <w:bookmarkEnd w:id="100"/>
    <w:p>
      <w:pPr>
        <w:jc w:val="both"/>
        <w:ind w:firstLine="478"/>
        <w:spacing w:after="0" w:line="255"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26"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As of December 31, 2021, the Company had active investments in 70 portfolio companies and residual investments in eight portfolio companies that have sold their underlying operations. The aggregate fair value of the total portfolio was $719,124 and the weighted average effective yield on the Company’s debt investments was 12.3% as of such date. As of December 31, 2021, the Company held equity investments in 82.1% of its portfolio companies and the average fully diluted equity ownership in those portfolio companies was 4.7%.</w:t>
      </w:r>
    </w:p>
    <w:p>
      <w:pPr>
        <w:spacing w:after="0" w:line="134"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As of December 31, 2020, the Company had active investments in 66 portfolio companies and residual investments in three portfolio companies that have sold their underlying operations. The aggregate fair value of the total portfolio was $742,869 and the weighted average effective yield on the Company’s debt investments was 12.2% as of such date. As of December 31, 2020, the Company held equity investments in 88.4% of its portfolio companies and the average fully diluted equity ownership in those portfolio companies was 5.3%.</w:t>
      </w:r>
    </w:p>
    <w:p>
      <w:pPr>
        <w:spacing w:after="0" w:line="134"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December 31, 2021 and 2020, including accretion of OID and debt investment origination fees, but excluding investments on non-accrual status and investments recorded as a secured borrowing, if any.</w:t>
      </w:r>
    </w:p>
    <w:p>
      <w:pPr>
        <w:spacing w:after="0" w:line="135"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Purchases of debt and equity investments for the years ended December 31, 2021, 2020 and 2019 totaled $346,737, $189,996, and $219,173, respectively. Proceeds from sales and repayments, including principal, return of capital distributions and realized gains, of portfolio investments for the years ended December 31, 2021, 2020 and 2019 totaled $472,782, $210,774, and $120,600 respectively.</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0"/>
        </w:trPr>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3"/>
          </w:tcPr>
          <w:p>
            <w:pPr>
              <w:jc w:val="center"/>
              <w:ind w:left="8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3"/>
          </w:tcPr>
          <w:p>
            <w:pPr>
              <w:jc w:val="center"/>
              <w:ind w:left="10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3"/>
          </w:tcPr>
          <w:p>
            <w:pPr>
              <w:jc w:val="center"/>
              <w:ind w:left="4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center"/>
              <w:ind w:left="6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85"/>
        </w:trPr>
        <w:tc>
          <w:tcPr>
            <w:tcW w:w="1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1740" w:type="dxa"/>
            <w:vAlign w:val="bottom"/>
            <w:shd w:val="clear" w:color="auto" w:fill="CFF0FC"/>
          </w:tcPr>
          <w:p>
            <w:pPr>
              <w:ind w:left="20"/>
              <w:spacing w:after="0" w:line="169" w:lineRule="exact"/>
              <w:rPr>
                <w:sz w:val="20"/>
                <w:szCs w:val="20"/>
                <w:color w:val="auto"/>
              </w:rPr>
            </w:pPr>
            <w:r>
              <w:rPr>
                <w:rFonts w:ascii="Arial" w:cs="Arial" w:eastAsia="Arial" w:hAnsi="Arial"/>
                <w:sz w:val="14"/>
                <w:szCs w:val="14"/>
                <w:color w:val="auto"/>
              </w:rPr>
              <w:t>First Lien Debt</w:t>
            </w:r>
            <w:r>
              <w:rPr>
                <w:rFonts w:ascii="Arial" w:cs="Arial" w:eastAsia="Arial" w:hAnsi="Arial"/>
                <w:sz w:val="19"/>
                <w:szCs w:val="19"/>
                <w:color w:val="auto"/>
                <w:vertAlign w:val="superscript"/>
              </w:rPr>
              <w:t>(1)</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354,922</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w:t>
            </w:r>
          </w:p>
        </w:tc>
        <w:tc>
          <w:tcPr>
            <w:tcW w:w="5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187,353</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w:t>
            </w:r>
          </w:p>
        </w:tc>
        <w:tc>
          <w:tcPr>
            <w:tcW w:w="4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353,306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44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184,585</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2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174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158,815</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22.1</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332,154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44.7</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168,573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341,947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49.7</w:t>
            </w:r>
          </w:p>
        </w:tc>
        <w:tc>
          <w:tcPr>
            <w:tcW w:w="280" w:type="dxa"/>
            <w:vAlign w:val="bottom"/>
          </w:tcPr>
          <w:p>
            <w:pPr>
              <w:spacing w:after="0"/>
              <w:rPr>
                <w:sz w:val="15"/>
                <w:szCs w:val="15"/>
                <w:color w:val="auto"/>
              </w:rPr>
            </w:pPr>
          </w:p>
        </w:tc>
      </w:tr>
      <w:tr>
        <w:trPr>
          <w:trHeight w:val="175"/>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36,064</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107,911</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35,995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107,343</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280" w:type="dxa"/>
            <w:vAlign w:val="bottom"/>
            <w:shd w:val="clear" w:color="auto" w:fill="CFF0FC"/>
          </w:tcPr>
          <w:p>
            <w:pPr>
              <w:spacing w:after="0"/>
              <w:rPr>
                <w:sz w:val="15"/>
                <w:szCs w:val="15"/>
                <w:color w:val="auto"/>
              </w:rPr>
            </w:pPr>
          </w:p>
        </w:tc>
      </w:tr>
      <w:tr>
        <w:trPr>
          <w:trHeight w:val="176"/>
        </w:trPr>
        <w:tc>
          <w:tcPr>
            <w:tcW w:w="1740" w:type="dxa"/>
            <w:vAlign w:val="bottom"/>
          </w:tcPr>
          <w:p>
            <w:pPr>
              <w:ind w:left="20"/>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166,119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23.1</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112,836</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15.2</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60,589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9.8</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49,958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7.3</w:t>
            </w:r>
          </w:p>
        </w:tc>
        <w:tc>
          <w:tcPr>
            <w:tcW w:w="280" w:type="dxa"/>
            <w:vAlign w:val="bottom"/>
          </w:tcPr>
          <w:p>
            <w:pPr>
              <w:spacing w:after="0"/>
              <w:rPr>
                <w:sz w:val="15"/>
                <w:szCs w:val="15"/>
                <w:color w:val="auto"/>
              </w:rPr>
            </w:pPr>
          </w:p>
        </w:tc>
      </w:tr>
      <w:tr>
        <w:trPr>
          <w:trHeight w:val="175"/>
        </w:trPr>
        <w:tc>
          <w:tcPr>
            <w:tcW w:w="1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Warrants</w:t>
            </w:r>
          </w:p>
        </w:tc>
        <w:tc>
          <w:tcPr>
            <w:tcW w:w="3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3,204</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5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2,615</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4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3,323</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4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3,194</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80" w:type="dxa"/>
            <w:vAlign w:val="bottom"/>
            <w:tcBorders>
              <w:bottom w:val="single" w:sz="8" w:color="CFF0FC"/>
            </w:tcBorders>
            <w:shd w:val="clear" w:color="auto" w:fill="CFF0FC"/>
          </w:tcPr>
          <w:p>
            <w:pPr>
              <w:spacing w:after="0"/>
              <w:rPr>
                <w:sz w:val="15"/>
                <w:szCs w:val="15"/>
                <w:color w:val="auto"/>
              </w:rPr>
            </w:pPr>
          </w:p>
        </w:tc>
      </w:tr>
      <w:tr>
        <w:trPr>
          <w:trHeight w:val="169"/>
        </w:trPr>
        <w:tc>
          <w:tcPr>
            <w:tcW w:w="174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719,124</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50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742,869</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48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621,786</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440" w:type="dxa"/>
            <w:vAlign w:val="bottom"/>
          </w:tcPr>
          <w:p>
            <w:pPr>
              <w:ind w:left="40"/>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687,027</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2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-125095</wp:posOffset>
            </wp:positionV>
            <wp:extent cx="3429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-125095</wp:posOffset>
            </wp:positionV>
            <wp:extent cx="3429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-125095</wp:posOffset>
            </wp:positionV>
            <wp:extent cx="3429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-125095</wp:posOffset>
            </wp:positionV>
            <wp:extent cx="3429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-125095</wp:posOffset>
            </wp:positionV>
            <wp:extent cx="3429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-125095</wp:posOffset>
            </wp:positionV>
            <wp:extent cx="2540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-125095</wp:posOffset>
            </wp:positionV>
            <wp:extent cx="2603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-125095</wp:posOffset>
            </wp:positionV>
            <wp:extent cx="2540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400" cy="5715"/>
                    </a:xfrm>
                    <a:prstGeom prst="rect">
                      <a:avLst/>
                    </a:prstGeom>
                    <a:noFill/>
                  </pic:spPr>
                </pic:pic>
              </a:graphicData>
            </a:graphic>
          </wp:anchor>
        </w:drawing>
      </w:r>
    </w:p>
    <w:p>
      <w:pPr>
        <w:ind w:right="20" w:firstLine="8"/>
        <w:spacing w:after="0" w:line="273" w:lineRule="auto"/>
        <w:tabs>
          <w:tab w:leader="none" w:pos="21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unitranche investments, which account for 40.2% and 46.3% of our portfolio on a fair value and cost basis as of December 31, 2021, respectively. Includes unitranche investments, which account for 17.3% and 18.4% of our portfolio on a fair value and cost basis as of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-228600</wp:posOffset>
            </wp:positionV>
            <wp:extent cx="584644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04"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All investments made by the Company as of December 31, 2021 and 2020,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0"/>
        </w:trPr>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3"/>
          </w:tcPr>
          <w:p>
            <w:pPr>
              <w:jc w:val="center"/>
              <w:ind w:left="8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3"/>
          </w:tcPr>
          <w:p>
            <w:pPr>
              <w:jc w:val="center"/>
              <w:ind w:left="10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3"/>
          </w:tcPr>
          <w:p>
            <w:pPr>
              <w:jc w:val="center"/>
              <w:ind w:left="4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center"/>
              <w:ind w:left="6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85"/>
        </w:trPr>
        <w:tc>
          <w:tcPr>
            <w:tcW w:w="1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Midwest</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157,222</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5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225,745</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w:t>
            </w:r>
          </w:p>
        </w:tc>
        <w:tc>
          <w:tcPr>
            <w:tcW w:w="4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89,865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44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189,560</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2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1740" w:type="dxa"/>
            <w:vAlign w:val="bottom"/>
          </w:tcPr>
          <w:p>
            <w:pPr>
              <w:ind w:left="20"/>
              <w:spacing w:after="0"/>
              <w:rPr>
                <w:sz w:val="20"/>
                <w:szCs w:val="20"/>
                <w:color w:val="auto"/>
              </w:rPr>
            </w:pPr>
            <w:r>
              <w:rPr>
                <w:rFonts w:ascii="Arial" w:cs="Arial" w:eastAsia="Arial" w:hAnsi="Arial"/>
                <w:sz w:val="14"/>
                <w:szCs w:val="14"/>
                <w:color w:val="auto"/>
              </w:rPr>
              <w:t>Southeast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219,988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30.6</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153,291</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20.6</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197,380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31.7</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129,974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18.9</w:t>
            </w:r>
          </w:p>
        </w:tc>
        <w:tc>
          <w:tcPr>
            <w:tcW w:w="280" w:type="dxa"/>
            <w:vAlign w:val="bottom"/>
          </w:tcPr>
          <w:p>
            <w:pPr>
              <w:spacing w:after="0"/>
              <w:rPr>
                <w:sz w:val="15"/>
                <w:szCs w:val="15"/>
                <w:color w:val="auto"/>
              </w:rPr>
            </w:pPr>
          </w:p>
        </w:tc>
      </w:tr>
      <w:tr>
        <w:trPr>
          <w:trHeight w:val="175"/>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Northeast</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126,569</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123,268</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127,809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w:t>
            </w:r>
          </w:p>
        </w:tc>
        <w:tc>
          <w:tcPr>
            <w:tcW w:w="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127,833</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280" w:type="dxa"/>
            <w:vAlign w:val="bottom"/>
            <w:shd w:val="clear" w:color="auto" w:fill="CFF0FC"/>
          </w:tcPr>
          <w:p>
            <w:pPr>
              <w:spacing w:after="0"/>
              <w:rPr>
                <w:sz w:val="15"/>
                <w:szCs w:val="15"/>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4"/>
                <w:szCs w:val="14"/>
                <w:color w:val="auto"/>
              </w:rPr>
              <w:t>West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105,918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14.7</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108,673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14.6</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100,098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109,221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15.9</w:t>
            </w:r>
          </w:p>
        </w:tc>
        <w:tc>
          <w:tcPr>
            <w:tcW w:w="280" w:type="dxa"/>
            <w:vAlign w:val="bottom"/>
          </w:tcPr>
          <w:p>
            <w:pPr>
              <w:spacing w:after="0"/>
              <w:rPr>
                <w:sz w:val="15"/>
                <w:szCs w:val="15"/>
                <w:color w:val="auto"/>
              </w:rPr>
            </w:pPr>
          </w:p>
        </w:tc>
      </w:tr>
      <w:tr>
        <w:trPr>
          <w:trHeight w:val="175"/>
        </w:trPr>
        <w:tc>
          <w:tcPr>
            <w:tcW w:w="1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Southwest</w:t>
            </w:r>
          </w:p>
        </w:tc>
        <w:tc>
          <w:tcPr>
            <w:tcW w:w="3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109,427</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5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131,892</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4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106,634</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4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130,439</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280" w:type="dxa"/>
            <w:vAlign w:val="bottom"/>
            <w:tcBorders>
              <w:bottom w:val="single" w:sz="8" w:color="CFF0FC"/>
            </w:tcBorders>
            <w:shd w:val="clear" w:color="auto" w:fill="CFF0FC"/>
          </w:tcPr>
          <w:p>
            <w:pPr>
              <w:spacing w:after="0"/>
              <w:rPr>
                <w:sz w:val="15"/>
                <w:szCs w:val="15"/>
                <w:color w:val="auto"/>
              </w:rPr>
            </w:pPr>
          </w:p>
        </w:tc>
      </w:tr>
      <w:tr>
        <w:trPr>
          <w:trHeight w:val="169"/>
        </w:trPr>
        <w:tc>
          <w:tcPr>
            <w:tcW w:w="174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719,124</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50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742,869</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48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621,786</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440" w:type="dxa"/>
            <w:vAlign w:val="bottom"/>
          </w:tcPr>
          <w:p>
            <w:pPr>
              <w:ind w:left="40"/>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687,027</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2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20"/>
        </w:trPr>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-142240</wp:posOffset>
            </wp:positionV>
            <wp:extent cx="3429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-142240</wp:posOffset>
            </wp:positionV>
            <wp:extent cx="3429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-142240</wp:posOffset>
            </wp:positionV>
            <wp:extent cx="3429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-142240</wp:posOffset>
            </wp:positionV>
            <wp:extent cx="3429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-142240</wp:posOffset>
            </wp:positionV>
            <wp:extent cx="3429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-142240</wp:posOffset>
            </wp:positionV>
            <wp:extent cx="2540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-142240</wp:posOffset>
            </wp:positionV>
            <wp:extent cx="26035"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-142240</wp:posOffset>
            </wp:positionV>
            <wp:extent cx="2540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400" cy="5715"/>
                    </a:xfrm>
                    <a:prstGeom prst="rect">
                      <a:avLst/>
                    </a:prstGeom>
                    <a:noFill/>
                  </pic:spPr>
                </pic:pic>
              </a:graphicData>
            </a:graphic>
          </wp:anchor>
        </w:drawing>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1"/>
        </w:trPr>
        <w:tc>
          <w:tcPr>
            <w:tcW w:w="2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By Type</w:t>
            </w: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By Geographic Region</w:t>
            </w:r>
          </w:p>
        </w:tc>
        <w:tc>
          <w:tcPr>
            <w:tcW w:w="14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r>
      <w:tr>
        <w:trPr>
          <w:trHeight w:val="178"/>
        </w:trPr>
        <w:tc>
          <w:tcPr>
            <w:tcW w:w="2200" w:type="dxa"/>
            <w:vAlign w:val="bottom"/>
          </w:tcPr>
          <w:p>
            <w:pPr>
              <w:spacing w:after="0"/>
              <w:rPr>
                <w:sz w:val="15"/>
                <w:szCs w:val="15"/>
                <w:color w:val="auto"/>
              </w:rPr>
            </w:pPr>
          </w:p>
        </w:tc>
        <w:tc>
          <w:tcPr>
            <w:tcW w:w="146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rPr>
              <w:t>December 31,</w:t>
            </w:r>
          </w:p>
        </w:tc>
        <w:tc>
          <w:tcPr>
            <w:tcW w:w="580" w:type="dxa"/>
            <w:vAlign w:val="bottom"/>
          </w:tcPr>
          <w:p>
            <w:pPr>
              <w:spacing w:after="0"/>
              <w:rPr>
                <w:sz w:val="15"/>
                <w:szCs w:val="15"/>
                <w:color w:val="auto"/>
              </w:rPr>
            </w:pPr>
          </w:p>
        </w:tc>
        <w:tc>
          <w:tcPr>
            <w:tcW w:w="146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rPr>
              <w:t>December 31,</w:t>
            </w: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rPr>
              <w:t>December 31,</w:t>
            </w:r>
          </w:p>
        </w:tc>
        <w:tc>
          <w:tcPr>
            <w:tcW w:w="540" w:type="dxa"/>
            <w:vAlign w:val="bottom"/>
          </w:tcPr>
          <w:p>
            <w:pPr>
              <w:spacing w:after="0"/>
              <w:rPr>
                <w:sz w:val="15"/>
                <w:szCs w:val="15"/>
                <w:color w:val="auto"/>
              </w:rPr>
            </w:pPr>
          </w:p>
        </w:tc>
        <w:tc>
          <w:tcPr>
            <w:tcW w:w="142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5"/>
                <w:szCs w:val="15"/>
                <w:color w:val="auto"/>
              </w:rPr>
            </w:pPr>
          </w:p>
        </w:tc>
      </w:tr>
      <w:tr>
        <w:trPr>
          <w:trHeight w:val="221"/>
        </w:trPr>
        <w:tc>
          <w:tcPr>
            <w:tcW w:w="2200" w:type="dxa"/>
            <w:vAlign w:val="bottom"/>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r>
      <w:tr>
        <w:trPr>
          <w:trHeight w:val="196"/>
        </w:trPr>
        <w:tc>
          <w:tcPr>
            <w:tcW w:w="2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First Lien Debt</w:t>
            </w: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72.8</w:t>
            </w:r>
          </w:p>
        </w:tc>
        <w:tc>
          <w:tcPr>
            <w:tcW w:w="58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45.6</w:t>
            </w:r>
          </w:p>
        </w:tc>
        <w:tc>
          <w:tcPr>
            <w:tcW w:w="58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Midwest</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54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8"/>
                <w:szCs w:val="18"/>
                <w:color w:val="auto"/>
              </w:rPr>
              <w:t>Second Lien Debt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5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80.9</w:t>
            </w:r>
          </w:p>
        </w:tc>
        <w:tc>
          <w:tcPr>
            <w:tcW w:w="580" w:type="dxa"/>
            <w:vAlign w:val="bottom"/>
          </w:tcPr>
          <w:p>
            <w:pPr>
              <w:spacing w:after="0"/>
              <w:rPr>
                <w:sz w:val="17"/>
                <w:szCs w:val="17"/>
                <w:color w:val="auto"/>
              </w:rPr>
            </w:pPr>
          </w:p>
        </w:tc>
        <w:tc>
          <w:tcPr>
            <w:tcW w:w="1200" w:type="dxa"/>
            <w:vAlign w:val="bottom"/>
          </w:tcPr>
          <w:p>
            <w:pPr>
              <w:spacing w:after="0" w:line="202" w:lineRule="exact"/>
              <w:rPr>
                <w:sz w:val="20"/>
                <w:szCs w:val="20"/>
                <w:color w:val="auto"/>
              </w:rPr>
            </w:pPr>
            <w:r>
              <w:rPr>
                <w:rFonts w:ascii="Arial" w:cs="Arial" w:eastAsia="Arial" w:hAnsi="Arial"/>
                <w:sz w:val="18"/>
                <w:szCs w:val="18"/>
                <w:color w:val="auto"/>
              </w:rPr>
              <w:t>Southeast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5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360" w:type="dxa"/>
            <w:vAlign w:val="bottom"/>
          </w:tcPr>
          <w:p>
            <w:pPr>
              <w:spacing w:after="0"/>
              <w:rPr>
                <w:sz w:val="17"/>
                <w:szCs w:val="17"/>
                <w:color w:val="auto"/>
              </w:rPr>
            </w:pPr>
          </w:p>
        </w:tc>
      </w:tr>
      <w:tr>
        <w:trPr>
          <w:trHeight w:val="203"/>
        </w:trPr>
        <w:tc>
          <w:tcPr>
            <w:tcW w:w="2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Subordinated Debt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Northeast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5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7"/>
                <w:szCs w:val="17"/>
                <w:color w:val="auto"/>
              </w:rPr>
            </w:pP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8"/>
                <w:szCs w:val="18"/>
                <w:color w:val="auto"/>
              </w:rPr>
              <w:t>Equity</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5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580" w:type="dxa"/>
            <w:vAlign w:val="bottom"/>
          </w:tcPr>
          <w:p>
            <w:pPr>
              <w:spacing w:after="0"/>
              <w:rPr>
                <w:sz w:val="17"/>
                <w:szCs w:val="17"/>
                <w:color w:val="auto"/>
              </w:rPr>
            </w:pPr>
          </w:p>
        </w:tc>
        <w:tc>
          <w:tcPr>
            <w:tcW w:w="1200" w:type="dxa"/>
            <w:vAlign w:val="bottom"/>
          </w:tcPr>
          <w:p>
            <w:pPr>
              <w:spacing w:after="0" w:line="202" w:lineRule="exact"/>
              <w:rPr>
                <w:sz w:val="20"/>
                <w:szCs w:val="20"/>
                <w:color w:val="auto"/>
              </w:rPr>
            </w:pPr>
            <w:r>
              <w:rPr>
                <w:rFonts w:ascii="Arial" w:cs="Arial" w:eastAsia="Arial" w:hAnsi="Arial"/>
                <w:sz w:val="18"/>
                <w:szCs w:val="18"/>
                <w:color w:val="auto"/>
              </w:rPr>
              <w:t>West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5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360" w:type="dxa"/>
            <w:vAlign w:val="bottom"/>
          </w:tcPr>
          <w:p>
            <w:pPr>
              <w:spacing w:after="0"/>
              <w:rPr>
                <w:sz w:val="17"/>
                <w:szCs w:val="17"/>
                <w:color w:val="auto"/>
              </w:rPr>
            </w:pPr>
          </w:p>
        </w:tc>
      </w:tr>
      <w:tr>
        <w:trPr>
          <w:trHeight w:val="203"/>
        </w:trPr>
        <w:tc>
          <w:tcPr>
            <w:tcW w:w="22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Warrants</w:t>
            </w: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5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Southwest</w:t>
            </w: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w:t>
            </w:r>
          </w:p>
        </w:tc>
        <w:tc>
          <w:tcPr>
            <w:tcW w:w="5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32.1</w:t>
            </w:r>
          </w:p>
        </w:tc>
        <w:tc>
          <w:tcPr>
            <w:tcW w:w="360" w:type="dxa"/>
            <w:vAlign w:val="bottom"/>
            <w:tcBorders>
              <w:bottom w:val="single" w:sz="8" w:color="CCEEFF"/>
            </w:tcBorders>
            <w:shd w:val="clear" w:color="auto" w:fill="CCEEFF"/>
          </w:tcPr>
          <w:p>
            <w:pPr>
              <w:spacing w:after="0"/>
              <w:rPr>
                <w:sz w:val="17"/>
                <w:szCs w:val="17"/>
                <w:color w:val="auto"/>
              </w:rPr>
            </w:pPr>
          </w:p>
        </w:tc>
      </w:tr>
      <w:tr>
        <w:trPr>
          <w:trHeight w:val="196"/>
        </w:trPr>
        <w:tc>
          <w:tcPr>
            <w:tcW w:w="220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147.4</w:t>
            </w:r>
          </w:p>
        </w:tc>
        <w:tc>
          <w:tcPr>
            <w:tcW w:w="58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180.9</w:t>
            </w:r>
          </w:p>
        </w:tc>
        <w:tc>
          <w:tcPr>
            <w:tcW w:w="58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w:t>
            </w:r>
          </w:p>
        </w:tc>
        <w:tc>
          <w:tcPr>
            <w:tcW w:w="120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147.4</w:t>
            </w:r>
          </w:p>
        </w:tc>
        <w:tc>
          <w:tcPr>
            <w:tcW w:w="54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180.9</w:t>
            </w:r>
          </w:p>
        </w:tc>
        <w:tc>
          <w:tcPr>
            <w:tcW w:w="3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w:t>
            </w:r>
          </w:p>
        </w:tc>
      </w:tr>
      <w:tr>
        <w:trPr>
          <w:trHeight w:val="20"/>
        </w:trPr>
        <w:tc>
          <w:tcPr>
            <w:tcW w:w="2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-159385</wp:posOffset>
            </wp:positionV>
            <wp:extent cx="43180" cy="1600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-159385</wp:posOffset>
            </wp:positionV>
            <wp:extent cx="42545" cy="1600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2545" cy="16002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-159385</wp:posOffset>
            </wp:positionV>
            <wp:extent cx="34290" cy="1600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16002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-159385</wp:posOffset>
            </wp:positionV>
            <wp:extent cx="34290" cy="1600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160020"/>
                    </a:xfrm>
                    <a:prstGeom prst="rect">
                      <a:avLst/>
                    </a:prstGeom>
                    <a:noFill/>
                  </pic:spPr>
                </pic:pic>
              </a:graphicData>
            </a:graphic>
          </wp:anchor>
        </w:drawing>
      </w:r>
    </w:p>
    <w:p>
      <w:pPr>
        <w:spacing w:after="0" w:line="128"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color w:val="auto"/>
        </w:rPr>
        <w:t>As of December 31, 2021 and 2020, the Company had no portfolio company investments that represented more than 10% of the total investment portfolio on a fair value or cost basis. As of December 31, 2021, the Company's investment in Pfanstiehl, Inc. totaled $57,639 or 6.4% of total assets. As of December 31, 2020, the Company had no portfolio company investments that represented more than 5% of our total assets.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2021 and 2020, the Company had debt investments in one portfolio company on non-accrual status: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December 31, 2021</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88"/>
              </w:rPr>
              <w:t>December 31, 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480"/>
              <w:spacing w:after="0" w:line="177"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90"/>
              <w:spacing w:after="0" w:line="177" w:lineRule="exact"/>
              <w:rPr>
                <w:sz w:val="20"/>
                <w:szCs w:val="20"/>
                <w:color w:val="auto"/>
              </w:rPr>
            </w:pPr>
            <w:r>
              <w:rPr>
                <w:rFonts w:ascii="Arial" w:cs="Arial" w:eastAsia="Arial" w:hAnsi="Arial"/>
                <w:sz w:val="18"/>
                <w:szCs w:val="18"/>
                <w:b w:val="1"/>
                <w:bCs w:val="1"/>
                <w:color w:val="auto"/>
              </w:rPr>
              <w:t>Fair</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Portfolio Company</w:t>
            </w:r>
          </w:p>
        </w:tc>
        <w:tc>
          <w:tcPr>
            <w:tcW w:w="220" w:type="dxa"/>
            <w:vAlign w:val="bottom"/>
          </w:tcPr>
          <w:p>
            <w:pPr>
              <w:spacing w:after="0"/>
              <w:rPr>
                <w:sz w:val="17"/>
                <w:szCs w:val="17"/>
                <w:color w:val="auto"/>
              </w:rPr>
            </w:pPr>
          </w:p>
        </w:tc>
        <w:tc>
          <w:tcPr>
            <w:tcW w:w="1220" w:type="dxa"/>
            <w:vAlign w:val="bottom"/>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7"/>
                <w:szCs w:val="17"/>
                <w:color w:val="auto"/>
              </w:rPr>
            </w:pPr>
          </w:p>
        </w:tc>
        <w:tc>
          <w:tcPr>
            <w:tcW w:w="880" w:type="dxa"/>
            <w:vAlign w:val="bottom"/>
          </w:tcPr>
          <w:p>
            <w:pPr>
              <w:jc w:val="right"/>
              <w:ind w:right="300"/>
              <w:spacing w:after="0" w:line="198" w:lineRule="exact"/>
              <w:rPr>
                <w:sz w:val="20"/>
                <w:szCs w:val="20"/>
                <w:color w:val="auto"/>
              </w:rPr>
            </w:pPr>
            <w:r>
              <w:rPr>
                <w:rFonts w:ascii="Arial" w:cs="Arial" w:eastAsia="Arial" w:hAnsi="Arial"/>
                <w:sz w:val="18"/>
                <w:szCs w:val="18"/>
                <w:b w:val="1"/>
                <w:bCs w:val="1"/>
                <w:color w:val="auto"/>
              </w:rPr>
              <w:t>Cost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Value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40"/>
              <w:spacing w:after="0"/>
              <w:rPr>
                <w:sz w:val="20"/>
                <w:szCs w:val="20"/>
                <w:color w:val="auto"/>
              </w:rPr>
            </w:pPr>
            <w:r>
              <w:rPr>
                <w:rFonts w:ascii="Arial" w:cs="Arial" w:eastAsia="Arial" w:hAnsi="Arial"/>
                <w:sz w:val="12"/>
                <w:szCs w:val="12"/>
                <w:color w:val="auto"/>
              </w:rPr>
              <w:t>(2)</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60"/>
              <w:spacing w:after="0"/>
              <w:rPr>
                <w:sz w:val="20"/>
                <w:szCs w:val="20"/>
                <w:color w:val="auto"/>
              </w:rPr>
            </w:pPr>
            <w:r>
              <w:rPr>
                <w:rFonts w:ascii="Arial" w:cs="Arial" w:eastAsia="Arial" w:hAnsi="Arial"/>
                <w:sz w:val="12"/>
                <w:szCs w:val="12"/>
                <w:color w:val="auto"/>
              </w:rPr>
              <w:t>(2)</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center"/>
              <w:spacing w:after="0"/>
              <w:rPr>
                <w:sz w:val="20"/>
                <w:szCs w:val="20"/>
                <w:color w:val="auto"/>
              </w:rPr>
            </w:pPr>
            <w:r>
              <w:rPr>
                <w:rFonts w:ascii="Arial" w:cs="Arial" w:eastAsia="Arial" w:hAnsi="Arial"/>
                <w:sz w:val="12"/>
                <w:szCs w:val="12"/>
                <w:color w:val="auto"/>
                <w:w w:val="95"/>
              </w:rPr>
              <w:t>(3)</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96"/>
        </w:trPr>
        <w:tc>
          <w:tcPr>
            <w:tcW w:w="5360" w:type="dxa"/>
            <w:vAlign w:val="bottom"/>
          </w:tcPr>
          <w:p>
            <w:pPr>
              <w:ind w:left="20"/>
              <w:spacing w:after="0" w:line="196" w:lineRule="exact"/>
              <w:rPr>
                <w:sz w:val="20"/>
                <w:szCs w:val="20"/>
                <w:color w:val="auto"/>
              </w:rPr>
            </w:pPr>
            <w:r>
              <w:rPr>
                <w:rFonts w:ascii="Arial" w:cs="Arial" w:eastAsia="Arial" w:hAnsi="Arial"/>
                <w:sz w:val="18"/>
                <w:szCs w:val="18"/>
                <w:color w:val="auto"/>
              </w:rPr>
              <w:t>US GreenFiber, LLC</w:t>
            </w:r>
          </w:p>
        </w:tc>
        <w:tc>
          <w:tcPr>
            <w:tcW w:w="18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ind w:left="700"/>
              <w:spacing w:after="0" w:line="196" w:lineRule="exact"/>
              <w:rPr>
                <w:sz w:val="20"/>
                <w:szCs w:val="20"/>
                <w:color w:val="auto"/>
              </w:rPr>
            </w:pPr>
            <w:r>
              <w:rPr>
                <w:rFonts w:ascii="Arial" w:cs="Arial" w:eastAsia="Arial" w:hAnsi="Arial"/>
                <w:sz w:val="18"/>
                <w:szCs w:val="18"/>
                <w:color w:val="auto"/>
                <w:w w:val="88"/>
              </w:rPr>
              <w:t>—</w:t>
            </w:r>
          </w:p>
        </w:tc>
        <w:tc>
          <w:tcPr>
            <w:tcW w:w="340" w:type="dxa"/>
            <w:vAlign w:val="bottom"/>
            <w:vMerge w:val="continue"/>
          </w:tcPr>
          <w:p>
            <w:pPr>
              <w:spacing w:after="0"/>
              <w:rPr>
                <w:sz w:val="17"/>
                <w:szCs w:val="17"/>
                <w:color w:val="auto"/>
              </w:rPr>
            </w:pP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5,223</w:t>
            </w:r>
          </w:p>
        </w:tc>
        <w:tc>
          <w:tcPr>
            <w:tcW w:w="34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7"/>
                <w:szCs w:val="17"/>
                <w:color w:val="auto"/>
              </w:rPr>
            </w:pP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EBL, LLC (EbLens)</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xml:space="preserve"> (1)</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xml:space="preserve"> (1)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5,454</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(2)</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9,214</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gridSpan w:val="2"/>
          </w:tcPr>
          <w:p>
            <w:pPr>
              <w:ind w:left="20"/>
              <w:spacing w:after="0" w:line="182"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line="182" w:lineRule="exact"/>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5,223</w:t>
            </w: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5,454</w:t>
            </w:r>
          </w:p>
        </w:tc>
        <w:tc>
          <w:tcPr>
            <w:tcW w:w="3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9,214</w:t>
            </w:r>
          </w:p>
        </w:tc>
        <w:tc>
          <w:tcPr>
            <w:tcW w:w="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-159385</wp:posOffset>
            </wp:positionV>
            <wp:extent cx="4318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-159385</wp:posOffset>
            </wp:positionV>
            <wp:extent cx="4318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3429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-159385</wp:posOffset>
            </wp:positionV>
            <wp:extent cx="3429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ind w:left="360" w:hanging="339"/>
        <w:spacing w:after="0" w:line="220"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4"/>
          <w:szCs w:val="14"/>
          <w:color w:val="auto"/>
        </w:rPr>
        <w:t>Portfolio company debt investment was not on non-accrual status at December 31, 2021.</w:t>
      </w:r>
    </w:p>
    <w:p>
      <w:pPr>
        <w:spacing w:after="0" w:line="33" w:lineRule="exact"/>
        <w:rPr>
          <w:rFonts w:ascii="Arial" w:cs="Arial" w:eastAsia="Arial" w:hAnsi="Arial"/>
          <w:sz w:val="18"/>
          <w:szCs w:val="18"/>
          <w:color w:val="auto"/>
        </w:rPr>
      </w:pPr>
    </w:p>
    <w:p>
      <w:pPr>
        <w:ind w:left="360" w:hanging="339"/>
        <w:spacing w:after="0" w:line="197"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4"/>
          <w:szCs w:val="14"/>
          <w:color w:val="auto"/>
        </w:rPr>
        <w:t>Portfolio company was on PIK-only non-accrual status at period end, meaning we ceased recognizing PIK interest income on the investment.</w:t>
      </w:r>
    </w:p>
    <w:p>
      <w:pPr>
        <w:spacing w:after="0" w:line="32" w:lineRule="exact"/>
        <w:rPr>
          <w:rFonts w:ascii="Arial" w:cs="Arial" w:eastAsia="Arial" w:hAnsi="Arial"/>
          <w:sz w:val="18"/>
          <w:szCs w:val="18"/>
          <w:color w:val="auto"/>
        </w:rPr>
      </w:pPr>
    </w:p>
    <w:p>
      <w:pPr>
        <w:ind w:left="360" w:hanging="339"/>
        <w:spacing w:after="0" w:line="197"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4"/>
          <w:szCs w:val="14"/>
          <w:color w:val="auto"/>
        </w:rPr>
        <w:t>Portfolio company debt investments were not on non-accrual status as of December 31, 2020.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58" w:lineRule="exact"/>
        <w:rPr>
          <w:sz w:val="20"/>
          <w:szCs w:val="20"/>
          <w:color w:val="auto"/>
        </w:rPr>
      </w:pPr>
    </w:p>
    <w:p>
      <w:pPr>
        <w:ind w:right="20" w:firstLine="478"/>
        <w:spacing w:after="0" w:line="291" w:lineRule="auto"/>
        <w:rPr>
          <w:sz w:val="20"/>
          <w:szCs w:val="20"/>
          <w:color w:val="auto"/>
        </w:rPr>
      </w:pPr>
      <w:r>
        <w:rPr>
          <w:rFonts w:ascii="Arial" w:cs="Arial" w:eastAsia="Arial" w:hAnsi="Arial"/>
          <w:sz w:val="17"/>
          <w:szCs w:val="17"/>
          <w:color w:val="auto"/>
        </w:rPr>
        <w:t>The table below represents the fair value of control and affiliate investments as of December 31, 2020 and any additions and reductions made to such investments during the year ended December 31, 2021, including the total investment income earned on such investments during the period.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7"/>
          </w:tcPr>
          <w:p>
            <w:pPr>
              <w:jc w:val="right"/>
              <w:ind w:right="75"/>
              <w:spacing w:after="0"/>
              <w:rPr>
                <w:sz w:val="20"/>
                <w:szCs w:val="20"/>
                <w:color w:val="auto"/>
              </w:rPr>
            </w:pPr>
            <w:r>
              <w:rPr>
                <w:rFonts w:ascii="Arial" w:cs="Arial" w:eastAsia="Arial" w:hAnsi="Arial"/>
                <w:sz w:val="9"/>
                <w:szCs w:val="9"/>
                <w:b w:val="1"/>
                <w:bCs w:val="1"/>
                <w:color w:val="auto"/>
              </w:rPr>
              <w:t>Twelve Months Ended December 31, 2021</w:t>
            </w: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tcPr>
          <w:p>
            <w:pPr>
              <w:jc w:val="center"/>
              <w:ind w:right="320"/>
              <w:spacing w:after="0" w:line="75" w:lineRule="exact"/>
              <w:rPr>
                <w:sz w:val="20"/>
                <w:szCs w:val="20"/>
                <w:color w:val="auto"/>
              </w:rPr>
            </w:pPr>
            <w:r>
              <w:rPr>
                <w:rFonts w:ascii="Arial" w:cs="Arial" w:eastAsia="Arial" w:hAnsi="Arial"/>
                <w:sz w:val="8"/>
                <w:szCs w:val="8"/>
                <w:b w:val="1"/>
                <w:bCs w:val="1"/>
                <w:color w:val="auto"/>
              </w:rPr>
              <w:t>Net Change in</w:t>
            </w: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20"/>
              <w:spacing w:after="0"/>
              <w:rPr>
                <w:sz w:val="20"/>
                <w:szCs w:val="20"/>
                <w:color w:val="auto"/>
              </w:rPr>
            </w:pPr>
            <w:r>
              <w:rPr>
                <w:rFonts w:ascii="Arial" w:cs="Arial" w:eastAsia="Arial" w:hAnsi="Arial"/>
                <w:sz w:val="9"/>
                <w:szCs w:val="9"/>
                <w:b w:val="1"/>
                <w:bCs w:val="1"/>
                <w:color w:val="auto"/>
                <w:w w:val="93"/>
              </w:rPr>
              <w:t>December 31, 2021</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ind w:right="35"/>
              <w:spacing w:after="0"/>
              <w:rPr>
                <w:sz w:val="20"/>
                <w:szCs w:val="20"/>
                <w:color w:val="auto"/>
              </w:rPr>
            </w:pPr>
            <w:r>
              <w:rPr>
                <w:rFonts w:ascii="Arial" w:cs="Arial" w:eastAsia="Arial" w:hAnsi="Arial"/>
                <w:sz w:val="9"/>
                <w:szCs w:val="9"/>
                <w:b w:val="1"/>
                <w:bCs w:val="1"/>
                <w:color w:val="auto"/>
                <w:w w:val="92"/>
              </w:rPr>
              <w:t>December 31,</w:t>
            </w:r>
          </w:p>
        </w:tc>
        <w:tc>
          <w:tcPr>
            <w:tcW w:w="240" w:type="dxa"/>
            <w:vAlign w:val="bottom"/>
          </w:tcPr>
          <w:p>
            <w:pPr>
              <w:spacing w:after="0"/>
              <w:rPr>
                <w:sz w:val="9"/>
                <w:szCs w:val="9"/>
                <w:color w:val="auto"/>
              </w:rPr>
            </w:pPr>
          </w:p>
        </w:tc>
        <w:tc>
          <w:tcPr>
            <w:tcW w:w="720" w:type="dxa"/>
            <w:vAlign w:val="bottom"/>
            <w:gridSpan w:val="2"/>
            <w:vMerge w:val="restart"/>
          </w:tcPr>
          <w:p>
            <w:pPr>
              <w:jc w:val="right"/>
              <w:ind w:right="15"/>
              <w:spacing w:after="0"/>
              <w:rPr>
                <w:sz w:val="20"/>
                <w:szCs w:val="20"/>
                <w:color w:val="auto"/>
              </w:rPr>
            </w:pPr>
            <w:r>
              <w:rPr>
                <w:rFonts w:ascii="Arial" w:cs="Arial" w:eastAsia="Arial" w:hAnsi="Arial"/>
                <w:sz w:val="9"/>
                <w:szCs w:val="9"/>
                <w:b w:val="1"/>
                <w:bCs w:val="1"/>
                <w:color w:val="auto"/>
                <w:w w:val="80"/>
              </w:rPr>
              <w:t>Gross Additions</w:t>
            </w:r>
            <w:r>
              <w:rPr>
                <w:rFonts w:ascii="Arial" w:cs="Arial" w:eastAsia="Arial" w:hAnsi="Arial"/>
                <w:sz w:val="12"/>
                <w:szCs w:val="12"/>
                <w:b w:val="1"/>
                <w:bCs w:val="1"/>
                <w:color w:val="auto"/>
                <w:w w:val="80"/>
                <w:vertAlign w:val="subscript"/>
              </w:rPr>
              <w:t>(2)</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ind w:left="160"/>
              <w:spacing w:after="0"/>
              <w:rPr>
                <w:sz w:val="20"/>
                <w:szCs w:val="20"/>
                <w:color w:val="auto"/>
              </w:rPr>
            </w:pPr>
            <w:r>
              <w:rPr>
                <w:rFonts w:ascii="Arial" w:cs="Arial" w:eastAsia="Arial" w:hAnsi="Arial"/>
                <w:sz w:val="9"/>
                <w:szCs w:val="9"/>
                <w:b w:val="1"/>
                <w:bCs w:val="1"/>
                <w:color w:val="auto"/>
                <w:w w:val="76"/>
              </w:rPr>
              <w:t>Gross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December 31, 2021</w:t>
            </w:r>
          </w:p>
        </w:tc>
        <w:tc>
          <w:tcPr>
            <w:tcW w:w="820" w:type="dxa"/>
            <w:vAlign w:val="bottom"/>
            <w:gridSpan w:val="3"/>
          </w:tcPr>
          <w:p>
            <w:pPr>
              <w:ind w:left="40"/>
              <w:spacing w:after="0"/>
              <w:rPr>
                <w:sz w:val="20"/>
                <w:szCs w:val="20"/>
                <w:color w:val="auto"/>
              </w:rPr>
            </w:pPr>
            <w:r>
              <w:rPr>
                <w:rFonts w:ascii="Arial" w:cs="Arial" w:eastAsia="Arial" w:hAnsi="Arial"/>
                <w:sz w:val="9"/>
                <w:szCs w:val="9"/>
                <w:b w:val="1"/>
                <w:bCs w:val="1"/>
                <w:color w:val="auto"/>
              </w:rPr>
              <w:t>Net Realized</w:t>
            </w:r>
          </w:p>
        </w:tc>
        <w:tc>
          <w:tcPr>
            <w:tcW w:w="80" w:type="dxa"/>
            <w:vAlign w:val="bottom"/>
          </w:tcPr>
          <w:p>
            <w:pPr>
              <w:spacing w:after="0"/>
              <w:rPr>
                <w:sz w:val="9"/>
                <w:szCs w:val="9"/>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2"/>
              </w:rPr>
              <w:t>Unrealized</w:t>
            </w:r>
          </w:p>
        </w:tc>
        <w:tc>
          <w:tcPr>
            <w:tcW w:w="80" w:type="dxa"/>
            <w:vAlign w:val="bottom"/>
          </w:tcPr>
          <w:p>
            <w:pPr>
              <w:spacing w:after="0"/>
              <w:rPr>
                <w:sz w:val="9"/>
                <w:szCs w:val="9"/>
                <w:color w:val="auto"/>
              </w:rPr>
            </w:pPr>
          </w:p>
        </w:tc>
        <w:tc>
          <w:tcPr>
            <w:tcW w:w="420" w:type="dxa"/>
            <w:vAlign w:val="bottom"/>
            <w:vMerge w:val="restart"/>
          </w:tcPr>
          <w:p>
            <w:pPr>
              <w:jc w:val="right"/>
              <w:ind w:right="55"/>
              <w:spacing w:after="0"/>
              <w:rPr>
                <w:sz w:val="20"/>
                <w:szCs w:val="20"/>
                <w:color w:val="auto"/>
              </w:rPr>
            </w:pPr>
            <w:r>
              <w:rPr>
                <w:rFonts w:ascii="Arial" w:cs="Arial" w:eastAsia="Arial" w:hAnsi="Arial"/>
                <w:sz w:val="9"/>
                <w:szCs w:val="9"/>
                <w:b w:val="1"/>
                <w:bCs w:val="1"/>
                <w:color w:val="auto"/>
                <w:w w:val="92"/>
              </w:rPr>
              <w:t>Interest</w:t>
            </w:r>
          </w:p>
        </w:tc>
        <w:tc>
          <w:tcPr>
            <w:tcW w:w="220" w:type="dxa"/>
            <w:vAlign w:val="bottom"/>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94"/>
              </w:rPr>
              <w:t>Payment-in-kind</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9"/>
                <w:szCs w:val="9"/>
                <w:b w:val="1"/>
                <w:bCs w:val="1"/>
                <w:color w:val="auto"/>
                <w:w w:val="89"/>
              </w:rPr>
              <w:t>Dividend</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80" w:type="dxa"/>
            <w:vAlign w:val="bottom"/>
            <w:vMerge w:val="restart"/>
          </w:tcPr>
          <w:p>
            <w:pPr>
              <w:ind w:left="20"/>
              <w:spacing w:after="0"/>
              <w:rPr>
                <w:sz w:val="20"/>
                <w:szCs w:val="20"/>
                <w:color w:val="auto"/>
              </w:rPr>
            </w:pPr>
            <w:r>
              <w:rPr>
                <w:rFonts w:ascii="Arial" w:cs="Arial" w:eastAsia="Arial" w:hAnsi="Arial"/>
                <w:sz w:val="9"/>
                <w:szCs w:val="9"/>
                <w:b w:val="1"/>
                <w:bCs w:val="1"/>
                <w:color w:val="auto"/>
                <w:w w:val="91"/>
              </w:rPr>
              <w:t>Portfolio Company</w:t>
            </w:r>
          </w:p>
        </w:tc>
        <w:tc>
          <w:tcPr>
            <w:tcW w:w="820" w:type="dxa"/>
            <w:vAlign w:val="bottom"/>
          </w:tcPr>
          <w:p>
            <w:pPr>
              <w:jc w:val="right"/>
              <w:ind w:right="710"/>
              <w:spacing w:after="0"/>
              <w:rPr>
                <w:sz w:val="20"/>
                <w:szCs w:val="20"/>
                <w:color w:val="auto"/>
              </w:rPr>
            </w:pPr>
            <w:r>
              <w:rPr>
                <w:rFonts w:ascii="Arial" w:cs="Arial" w:eastAsia="Arial" w:hAnsi="Arial"/>
                <w:sz w:val="6"/>
                <w:szCs w:val="6"/>
                <w:b w:val="1"/>
                <w:bCs w:val="1"/>
                <w:color w:val="auto"/>
                <w:w w:val="81"/>
              </w:rPr>
              <w:t>(1)</w:t>
            </w:r>
          </w:p>
        </w:tc>
        <w:tc>
          <w:tcPr>
            <w:tcW w:w="120" w:type="dxa"/>
            <w:vAlign w:val="bottom"/>
          </w:tcPr>
          <w:p>
            <w:pPr>
              <w:spacing w:after="0"/>
              <w:rPr>
                <w:sz w:val="7"/>
                <w:szCs w:val="7"/>
                <w:color w:val="auto"/>
              </w:rPr>
            </w:pPr>
          </w:p>
        </w:tc>
        <w:tc>
          <w:tcPr>
            <w:tcW w:w="80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w w:val="94"/>
              </w:rPr>
              <w:t>Principal Amount -</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35"/>
              <w:spacing w:after="0" w:line="81" w:lineRule="exact"/>
              <w:rPr>
                <w:sz w:val="20"/>
                <w:szCs w:val="20"/>
                <w:color w:val="auto"/>
              </w:rPr>
            </w:pPr>
            <w:r>
              <w:rPr>
                <w:rFonts w:ascii="Arial" w:cs="Arial" w:eastAsia="Arial" w:hAnsi="Arial"/>
                <w:sz w:val="9"/>
                <w:szCs w:val="9"/>
                <w:b w:val="1"/>
                <w:bCs w:val="1"/>
                <w:color w:val="auto"/>
                <w:w w:val="89"/>
              </w:rPr>
              <w:t>2020</w:t>
            </w:r>
          </w:p>
        </w:tc>
        <w:tc>
          <w:tcPr>
            <w:tcW w:w="2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jc w:val="right"/>
              <w:ind w:right="37"/>
              <w:spacing w:after="0"/>
              <w:rPr>
                <w:sz w:val="20"/>
                <w:szCs w:val="20"/>
                <w:color w:val="auto"/>
              </w:rPr>
            </w:pPr>
            <w:r>
              <w:rPr>
                <w:rFonts w:ascii="Arial" w:cs="Arial" w:eastAsia="Arial" w:hAnsi="Arial"/>
                <w:sz w:val="6"/>
                <w:szCs w:val="6"/>
                <w:b w:val="1"/>
                <w:bCs w:val="1"/>
                <w:color w:val="auto"/>
                <w:w w:val="81"/>
              </w:rPr>
              <w:t>(3)</w:t>
            </w:r>
          </w:p>
        </w:tc>
        <w:tc>
          <w:tcPr>
            <w:tcW w:w="22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20" w:type="dxa"/>
            <w:vAlign w:val="bottom"/>
            <w:gridSpan w:val="3"/>
          </w:tcPr>
          <w:p>
            <w:pPr>
              <w:spacing w:after="0" w:line="81" w:lineRule="exact"/>
              <w:rPr>
                <w:sz w:val="20"/>
                <w:szCs w:val="20"/>
                <w:color w:val="auto"/>
              </w:rPr>
            </w:pPr>
            <w:r>
              <w:rPr>
                <w:rFonts w:ascii="Arial" w:cs="Arial" w:eastAsia="Arial" w:hAnsi="Arial"/>
                <w:sz w:val="7"/>
                <w:szCs w:val="7"/>
                <w:b w:val="1"/>
                <w:bCs w:val="1"/>
                <w:color w:val="auto"/>
              </w:rPr>
              <w:t>Gains (</w:t>
            </w:r>
            <w:r>
              <w:rPr>
                <w:rFonts w:ascii="Arial" w:cs="Arial" w:eastAsia="Arial" w:hAnsi="Arial"/>
                <w:sz w:val="9"/>
                <w:szCs w:val="9"/>
                <w:b w:val="1"/>
                <w:bCs w:val="1"/>
                <w:color w:val="auto"/>
                <w:vertAlign w:val="subscript"/>
              </w:rPr>
              <w:t>4)</w:t>
            </w:r>
            <w:r>
              <w:rPr>
                <w:rFonts w:ascii="Arial" w:cs="Arial" w:eastAsia="Arial" w:hAnsi="Arial"/>
                <w:sz w:val="7"/>
                <w:szCs w:val="7"/>
                <w:b w:val="1"/>
                <w:bCs w:val="1"/>
                <w:color w:val="auto"/>
              </w:rPr>
              <w:t>Losses)</w:t>
            </w:r>
          </w:p>
        </w:tc>
        <w:tc>
          <w:tcPr>
            <w:tcW w:w="80" w:type="dxa"/>
            <w:vAlign w:val="bottom"/>
          </w:tcPr>
          <w:p>
            <w:pPr>
              <w:spacing w:after="0"/>
              <w:rPr>
                <w:sz w:val="7"/>
                <w:szCs w:val="7"/>
                <w:color w:val="auto"/>
              </w:rPr>
            </w:pPr>
          </w:p>
        </w:tc>
        <w:tc>
          <w:tcPr>
            <w:tcW w:w="90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w w:val="90"/>
              </w:rPr>
              <w:t>Appreciation</w:t>
            </w:r>
          </w:p>
        </w:tc>
        <w:tc>
          <w:tcPr>
            <w:tcW w:w="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88"/>
              </w:rPr>
              <w:t>Fee Income</w:t>
            </w:r>
          </w:p>
        </w:tc>
        <w:tc>
          <w:tcPr>
            <w:tcW w:w="0" w:type="dxa"/>
            <w:vAlign w:val="bottom"/>
          </w:tcPr>
          <w:p>
            <w:pPr>
              <w:spacing w:after="0"/>
              <w:rPr>
                <w:sz w:val="1"/>
                <w:szCs w:val="1"/>
                <w:color w:val="auto"/>
              </w:rPr>
            </w:pPr>
          </w:p>
        </w:tc>
      </w:tr>
      <w:tr>
        <w:trPr>
          <w:trHeight w:val="81"/>
        </w:trPr>
        <w:tc>
          <w:tcPr>
            <w:tcW w:w="7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jc w:val="right"/>
              <w:ind w:right="15"/>
              <w:spacing w:after="0" w:line="81" w:lineRule="exact"/>
              <w:rPr>
                <w:sz w:val="20"/>
                <w:szCs w:val="20"/>
                <w:color w:val="auto"/>
              </w:rPr>
            </w:pPr>
            <w:r>
              <w:rPr>
                <w:rFonts w:ascii="Arial" w:cs="Arial" w:eastAsia="Arial" w:hAnsi="Arial"/>
                <w:sz w:val="9"/>
                <w:szCs w:val="9"/>
                <w:b w:val="1"/>
                <w:bCs w:val="1"/>
                <w:color w:val="auto"/>
                <w:w w:val="87"/>
              </w:rPr>
              <w:t>Debt Investments</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15"/>
              <w:spacing w:after="0" w:line="81" w:lineRule="exact"/>
              <w:rPr>
                <w:sz w:val="20"/>
                <w:szCs w:val="20"/>
                <w:color w:val="auto"/>
              </w:rPr>
            </w:pPr>
            <w:r>
              <w:rPr>
                <w:rFonts w:ascii="Arial" w:cs="Arial" w:eastAsia="Arial" w:hAnsi="Arial"/>
                <w:sz w:val="9"/>
                <w:szCs w:val="9"/>
                <w:b w:val="1"/>
                <w:bCs w:val="1"/>
                <w:color w:val="auto"/>
                <w:w w:val="92"/>
              </w:rPr>
              <w:t>Fair Value</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w w:val="85"/>
              </w:rPr>
              <w:t>Reductions</w:t>
            </w: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Fair Value</w:t>
            </w: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w w:val="92"/>
              </w:rPr>
              <w:t>(Depreciation)</w:t>
            </w:r>
          </w:p>
        </w:tc>
        <w:tc>
          <w:tcPr>
            <w:tcW w:w="80" w:type="dxa"/>
            <w:vAlign w:val="bottom"/>
          </w:tcPr>
          <w:p>
            <w:pPr>
              <w:spacing w:after="0"/>
              <w:rPr>
                <w:sz w:val="7"/>
                <w:szCs w:val="7"/>
                <w:color w:val="auto"/>
              </w:rPr>
            </w:pPr>
          </w:p>
        </w:tc>
        <w:tc>
          <w:tcPr>
            <w:tcW w:w="420" w:type="dxa"/>
            <w:vAlign w:val="bottom"/>
          </w:tcPr>
          <w:p>
            <w:pPr>
              <w:jc w:val="right"/>
              <w:ind w:right="55"/>
              <w:spacing w:after="0" w:line="81" w:lineRule="exact"/>
              <w:rPr>
                <w:sz w:val="20"/>
                <w:szCs w:val="20"/>
                <w:color w:val="auto"/>
              </w:rPr>
            </w:pPr>
            <w:r>
              <w:rPr>
                <w:rFonts w:ascii="Arial" w:cs="Arial" w:eastAsia="Arial" w:hAnsi="Arial"/>
                <w:sz w:val="9"/>
                <w:szCs w:val="9"/>
                <w:b w:val="1"/>
                <w:bCs w:val="1"/>
                <w:color w:val="auto"/>
                <w:w w:val="95"/>
              </w:rPr>
              <w:t>Income</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jc w:val="right"/>
              <w:ind w:right="15"/>
              <w:spacing w:after="0" w:line="81" w:lineRule="exact"/>
              <w:rPr>
                <w:sz w:val="20"/>
                <w:szCs w:val="20"/>
                <w:color w:val="auto"/>
              </w:rPr>
            </w:pPr>
            <w:r>
              <w:rPr>
                <w:rFonts w:ascii="Arial" w:cs="Arial" w:eastAsia="Arial" w:hAnsi="Arial"/>
                <w:sz w:val="9"/>
                <w:szCs w:val="9"/>
                <w:b w:val="1"/>
                <w:bCs w:val="1"/>
                <w:color w:val="auto"/>
                <w:w w:val="87"/>
              </w:rPr>
              <w:t>Interest Income</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jc w:val="right"/>
              <w:ind w:right="55"/>
              <w:spacing w:after="0" w:line="81" w:lineRule="exact"/>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600" w:type="dxa"/>
            <w:vAlign w:val="bottom"/>
            <w:tcBorders>
              <w:top w:val="single" w:sz="8" w:color="auto"/>
            </w:tcBorders>
            <w:gridSpan w:val="2"/>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Control Investments</w:t>
            </w:r>
          </w:p>
        </w:tc>
        <w:tc>
          <w:tcPr>
            <w:tcW w:w="1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00" w:type="dxa"/>
            <w:vAlign w:val="bottom"/>
            <w:gridSpan w:val="2"/>
          </w:tcPr>
          <w:p>
            <w:pPr>
              <w:ind w:left="20"/>
              <w:spacing w:after="0" w:line="81" w:lineRule="exact"/>
              <w:rPr>
                <w:sz w:val="20"/>
                <w:szCs w:val="20"/>
                <w:color w:val="auto"/>
              </w:rPr>
            </w:pPr>
            <w:r>
              <w:rPr>
                <w:rFonts w:ascii="Arial" w:cs="Arial" w:eastAsia="Arial" w:hAnsi="Arial"/>
                <w:sz w:val="9"/>
                <w:szCs w:val="9"/>
                <w:color w:val="auto"/>
              </w:rPr>
              <w:t>Hilco Plastics Holdings, LLC (dba</w:t>
            </w:r>
          </w:p>
        </w:tc>
        <w:tc>
          <w:tcPr>
            <w:tcW w:w="180" w:type="dxa"/>
            <w:vAlign w:val="bottom"/>
            <w:gridSpan w:val="2"/>
            <w:vMerge w:val="restart"/>
          </w:tcPr>
          <w:p>
            <w:pPr>
              <w:ind w:left="140"/>
              <w:spacing w:after="0"/>
              <w:rPr>
                <w:sz w:val="20"/>
                <w:szCs w:val="20"/>
                <w:color w:val="auto"/>
              </w:rPr>
            </w:pPr>
            <w:r>
              <w:rPr>
                <w:rFonts w:ascii="Arial" w:cs="Arial" w:eastAsia="Arial" w:hAnsi="Arial"/>
                <w:sz w:val="4"/>
                <w:szCs w:val="4"/>
                <w:color w:val="auto"/>
                <w:w w:val="87"/>
              </w:rPr>
              <w:t>$</w:t>
            </w: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right"/>
              <w:ind w:right="155"/>
              <w:spacing w:after="0"/>
              <w:rPr>
                <w:sz w:val="20"/>
                <w:szCs w:val="20"/>
                <w:color w:val="auto"/>
              </w:rPr>
            </w:pPr>
            <w:r>
              <w:rPr>
                <w:rFonts w:ascii="Arial" w:cs="Arial" w:eastAsia="Arial" w:hAnsi="Arial"/>
                <w:sz w:val="9"/>
                <w:szCs w:val="9"/>
                <w:color w:val="auto"/>
              </w:rPr>
              <w:t>$</w:t>
            </w: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1,577</w:t>
            </w:r>
          </w:p>
        </w:tc>
        <w:tc>
          <w:tcPr>
            <w:tcW w:w="32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7"/>
                <w:szCs w:val="7"/>
                <w:color w:val="auto"/>
              </w:rPr>
            </w:pPr>
          </w:p>
        </w:tc>
        <w:tc>
          <w:tcPr>
            <w:tcW w:w="460" w:type="dxa"/>
            <w:vAlign w:val="bottom"/>
            <w:gridSpan w:val="3"/>
            <w:vMerge w:val="restart"/>
          </w:tcPr>
          <w:p>
            <w:pPr>
              <w:jc w:val="right"/>
              <w:ind w:right="141"/>
              <w:spacing w:after="0"/>
              <w:rPr>
                <w:sz w:val="20"/>
                <w:szCs w:val="20"/>
                <w:color w:val="auto"/>
              </w:rPr>
            </w:pPr>
            <w:r>
              <w:rPr>
                <w:rFonts w:ascii="Arial" w:cs="Arial" w:eastAsia="Arial" w:hAnsi="Arial"/>
                <w:sz w:val="9"/>
                <w:szCs w:val="9"/>
                <w:color w:val="auto"/>
                <w:w w:val="83"/>
              </w:rPr>
              <w:t>(1,577 )</w:t>
            </w:r>
          </w:p>
        </w:tc>
        <w:tc>
          <w:tcPr>
            <w:tcW w:w="14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200" w:type="dxa"/>
            <w:vAlign w:val="bottom"/>
            <w:vMerge w:val="restart"/>
          </w:tcPr>
          <w:p>
            <w:pPr>
              <w:spacing w:after="0"/>
              <w:rPr>
                <w:sz w:val="20"/>
                <w:szCs w:val="20"/>
                <w:color w:val="auto"/>
              </w:rPr>
            </w:pPr>
            <w:r>
              <w:rPr>
                <w:rFonts w:ascii="Arial" w:cs="Arial" w:eastAsia="Arial" w:hAnsi="Arial"/>
                <w:sz w:val="9"/>
                <w:szCs w:val="9"/>
                <w:color w:val="auto"/>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9"/>
                <w:szCs w:val="9"/>
                <w:color w:val="auto"/>
              </w:rPr>
              <w:t>(881 )</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308</w:t>
            </w:r>
          </w:p>
        </w:tc>
        <w:tc>
          <w:tcPr>
            <w:tcW w:w="28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568</w:t>
            </w:r>
          </w:p>
        </w:tc>
        <w:tc>
          <w:tcPr>
            <w:tcW w:w="380" w:type="dxa"/>
            <w:vAlign w:val="bottom"/>
            <w:gridSpan w:val="2"/>
            <w:vMerge w:val="restart"/>
          </w:tcPr>
          <w:p>
            <w:pPr>
              <w:ind w:left="240"/>
              <w:spacing w:after="0"/>
              <w:rPr>
                <w:sz w:val="20"/>
                <w:szCs w:val="20"/>
                <w:color w:val="auto"/>
              </w:rPr>
            </w:pPr>
            <w:r>
              <w:rPr>
                <w:rFonts w:ascii="Arial" w:cs="Arial" w:eastAsia="Arial" w:hAnsi="Arial"/>
                <w:sz w:val="9"/>
                <w:szCs w:val="9"/>
                <w:color w:val="auto"/>
              </w:rPr>
              <w:t>$</w:t>
            </w: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600" w:type="dxa"/>
            <w:vAlign w:val="bottom"/>
            <w:gridSpan w:val="2"/>
          </w:tcPr>
          <w:p>
            <w:pPr>
              <w:ind w:left="20"/>
              <w:spacing w:after="0" w:line="108" w:lineRule="exact"/>
              <w:rPr>
                <w:sz w:val="20"/>
                <w:szCs w:val="20"/>
                <w:color w:val="auto"/>
              </w:rPr>
            </w:pPr>
            <w:r>
              <w:rPr>
                <w:rFonts w:ascii="Arial" w:cs="Arial" w:eastAsia="Arial" w:hAnsi="Arial"/>
                <w:sz w:val="9"/>
                <w:szCs w:val="9"/>
                <w:color w:val="auto"/>
              </w:rPr>
              <w:t>Hilco Technologies)</w:t>
            </w:r>
            <w:r>
              <w:rPr>
                <w:rFonts w:ascii="Arial" w:cs="Arial" w:eastAsia="Arial" w:hAnsi="Arial"/>
                <w:sz w:val="12"/>
                <w:szCs w:val="12"/>
                <w:color w:val="auto"/>
                <w:vertAlign w:val="superscript"/>
              </w:rPr>
              <w:t>(6)</w:t>
            </w:r>
          </w:p>
        </w:tc>
        <w:tc>
          <w:tcPr>
            <w:tcW w:w="1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9"/>
                <w:szCs w:val="9"/>
                <w:color w:val="auto"/>
              </w:rPr>
              <w:t xml:space="preserve">Mesa Line Services, LLC </w:t>
            </w:r>
            <w:r>
              <w:rPr>
                <w:rFonts w:ascii="Arial" w:cs="Arial" w:eastAsia="Arial" w:hAnsi="Arial"/>
                <w:sz w:val="12"/>
                <w:szCs w:val="12"/>
                <w:color w:val="auto"/>
                <w:vertAlign w:val="superscript"/>
              </w:rPr>
              <w:t>(6)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32,708</w:t>
            </w: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4"/>
            <w:shd w:val="clear" w:color="auto" w:fill="CCEEFF"/>
          </w:tcPr>
          <w:p>
            <w:pPr>
              <w:jc w:val="right"/>
              <w:ind w:right="141"/>
              <w:spacing w:after="0"/>
              <w:rPr>
                <w:sz w:val="20"/>
                <w:szCs w:val="20"/>
                <w:color w:val="auto"/>
              </w:rPr>
            </w:pPr>
            <w:r>
              <w:rPr>
                <w:rFonts w:ascii="Arial" w:cs="Arial" w:eastAsia="Arial" w:hAnsi="Arial"/>
                <w:sz w:val="9"/>
                <w:szCs w:val="9"/>
                <w:color w:val="auto"/>
              </w:rPr>
              <w:t>(30,557 )</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2,151</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20,445</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2,150</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951</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903</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1,472</w:t>
            </w:r>
          </w:p>
        </w:tc>
        <w:tc>
          <w:tcPr>
            <w:tcW w:w="0" w:type="dxa"/>
            <w:vAlign w:val="bottom"/>
          </w:tcPr>
          <w:p>
            <w:pPr>
              <w:spacing w:after="0"/>
              <w:rPr>
                <w:sz w:val="1"/>
                <w:szCs w:val="1"/>
                <w:color w:val="auto"/>
              </w:rPr>
            </w:pPr>
          </w:p>
        </w:tc>
      </w:tr>
      <w:tr>
        <w:trPr>
          <w:trHeight w:val="81"/>
        </w:trPr>
        <w:tc>
          <w:tcPr>
            <w:tcW w:w="1600" w:type="dxa"/>
            <w:vAlign w:val="bottom"/>
            <w:gridSpan w:val="2"/>
          </w:tcPr>
          <w:p>
            <w:pPr>
              <w:ind w:left="20"/>
              <w:spacing w:after="0" w:line="81" w:lineRule="exact"/>
              <w:rPr>
                <w:sz w:val="20"/>
                <w:szCs w:val="20"/>
                <w:color w:val="auto"/>
              </w:rPr>
            </w:pPr>
            <w:r>
              <w:rPr>
                <w:rFonts w:ascii="Arial" w:cs="Arial" w:eastAsia="Arial" w:hAnsi="Arial"/>
                <w:sz w:val="9"/>
                <w:szCs w:val="9"/>
                <w:color w:val="auto"/>
              </w:rPr>
              <w:t>Spectra A&amp;D Acquisition, Inc. (fka</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7,391</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1,986</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gridSpan w:val="3"/>
            <w:vMerge w:val="restart"/>
          </w:tcPr>
          <w:p>
            <w:pPr>
              <w:jc w:val="right"/>
              <w:ind w:right="141"/>
              <w:spacing w:after="0"/>
              <w:rPr>
                <w:sz w:val="20"/>
                <w:szCs w:val="20"/>
                <w:color w:val="auto"/>
              </w:rPr>
            </w:pPr>
            <w:r>
              <w:rPr>
                <w:rFonts w:ascii="Arial" w:cs="Arial" w:eastAsia="Arial" w:hAnsi="Arial"/>
                <w:sz w:val="9"/>
                <w:szCs w:val="9"/>
                <w:color w:val="auto"/>
                <w:w w:val="83"/>
              </w:rPr>
              <w:t>(9,377 )</w:t>
            </w:r>
          </w:p>
        </w:tc>
        <w:tc>
          <w:tcPr>
            <w:tcW w:w="140" w:type="dxa"/>
            <w:vAlign w:val="bottom"/>
          </w:tcPr>
          <w:p>
            <w:pPr>
              <w:spacing w:after="0"/>
              <w:rPr>
                <w:sz w:val="7"/>
                <w:szCs w:val="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957</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1,028</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90</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400</w:t>
            </w:r>
          </w:p>
        </w:tc>
        <w:tc>
          <w:tcPr>
            <w:tcW w:w="0" w:type="dxa"/>
            <w:vAlign w:val="bottom"/>
          </w:tcPr>
          <w:p>
            <w:pPr>
              <w:spacing w:after="0"/>
              <w:rPr>
                <w:sz w:val="1"/>
                <w:szCs w:val="1"/>
                <w:color w:val="auto"/>
              </w:rPr>
            </w:pPr>
          </w:p>
        </w:tc>
      </w:tr>
      <w:tr>
        <w:trPr>
          <w:trHeight w:val="108"/>
        </w:trPr>
        <w:tc>
          <w:tcPr>
            <w:tcW w:w="1600" w:type="dxa"/>
            <w:vAlign w:val="bottom"/>
            <w:gridSpan w:val="2"/>
          </w:tcPr>
          <w:p>
            <w:pPr>
              <w:ind w:left="20"/>
              <w:spacing w:after="0" w:line="108" w:lineRule="exact"/>
              <w:rPr>
                <w:sz w:val="20"/>
                <w:szCs w:val="20"/>
                <w:color w:val="auto"/>
              </w:rPr>
            </w:pPr>
            <w:r>
              <w:rPr>
                <w:rFonts w:ascii="Arial" w:cs="Arial" w:eastAsia="Arial" w:hAnsi="Arial"/>
                <w:sz w:val="9"/>
                <w:szCs w:val="9"/>
                <w:color w:val="auto"/>
              </w:rPr>
              <w:t>FDS Avionics Corp.)</w:t>
            </w:r>
            <w:r>
              <w:rPr>
                <w:rFonts w:ascii="Arial" w:cs="Arial" w:eastAsia="Arial" w:hAnsi="Arial"/>
                <w:sz w:val="12"/>
                <w:szCs w:val="12"/>
                <w:color w:val="auto"/>
                <w:vertAlign w:val="superscript"/>
              </w:rPr>
              <w:t>(5)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w w:val="90"/>
              </w:rPr>
              <w:t>US GreenFiber, LLC</w:t>
            </w: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5,226</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20,862</w:t>
            </w: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5,214</w:t>
            </w: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4"/>
            <w:shd w:val="clear" w:color="auto" w:fill="CCEEFF"/>
          </w:tcPr>
          <w:p>
            <w:pPr>
              <w:jc w:val="right"/>
              <w:ind w:right="141"/>
              <w:spacing w:after="0"/>
              <w:rPr>
                <w:sz w:val="20"/>
                <w:szCs w:val="20"/>
                <w:color w:val="auto"/>
              </w:rPr>
            </w:pPr>
            <w:r>
              <w:rPr>
                <w:rFonts w:ascii="Arial" w:cs="Arial" w:eastAsia="Arial" w:hAnsi="Arial"/>
                <w:sz w:val="9"/>
                <w:szCs w:val="9"/>
                <w:color w:val="auto"/>
              </w:rPr>
              <w:t>(26,076 )</w:t>
            </w:r>
          </w:p>
        </w:tc>
        <w:tc>
          <w:tcPr>
            <w:tcW w:w="14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(3,144 )</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2,386</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1,214</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7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0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Total Control Investments</w:t>
            </w:r>
          </w:p>
        </w:tc>
        <w:tc>
          <w:tcPr>
            <w:tcW w:w="120" w:type="dxa"/>
            <w:vAlign w:val="bottom"/>
          </w:tcPr>
          <w:p>
            <w:pPr>
              <w:spacing w:after="0"/>
              <w:rPr>
                <w:sz w:val="8"/>
                <w:szCs w:val="8"/>
                <w:color w:val="auto"/>
              </w:rPr>
            </w:pPr>
          </w:p>
        </w:tc>
        <w:tc>
          <w:tcPr>
            <w:tcW w:w="60" w:type="dxa"/>
            <w:vAlign w:val="bottom"/>
          </w:tcPr>
          <w:p>
            <w:pPr>
              <w:ind w:left="20"/>
              <w:spacing w:after="0"/>
              <w:rPr>
                <w:sz w:val="20"/>
                <w:szCs w:val="20"/>
                <w:color w:val="auto"/>
              </w:rPr>
            </w:pPr>
            <w:r>
              <w:rPr>
                <w:rFonts w:ascii="Arial" w:cs="Arial" w:eastAsia="Arial" w:hAnsi="Arial"/>
                <w:sz w:val="4"/>
                <w:szCs w:val="4"/>
                <w:color w:val="auto"/>
                <w:w w:val="87"/>
              </w:rPr>
              <w:t>$</w:t>
            </w:r>
          </w:p>
        </w:tc>
        <w:tc>
          <w:tcPr>
            <w:tcW w:w="740" w:type="dxa"/>
            <w:vAlign w:val="bottom"/>
          </w:tcPr>
          <w:p>
            <w:pPr>
              <w:jc w:val="right"/>
              <w:spacing w:after="0" w:line="102" w:lineRule="exact"/>
              <w:rPr>
                <w:sz w:val="20"/>
                <w:szCs w:val="20"/>
                <w:color w:val="auto"/>
              </w:rPr>
            </w:pPr>
            <w:r>
              <w:rPr>
                <w:rFonts w:ascii="Arial" w:cs="Arial" w:eastAsia="Arial" w:hAnsi="Arial"/>
                <w:sz w:val="9"/>
                <w:szCs w:val="9"/>
                <w:color w:val="auto"/>
              </w:rPr>
              <w:t>5,226</w:t>
            </w:r>
          </w:p>
        </w:tc>
        <w:tc>
          <w:tcPr>
            <w:tcW w:w="24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28,253</w:t>
            </w:r>
          </w:p>
        </w:tc>
        <w:tc>
          <w:tcPr>
            <w:tcW w:w="240" w:type="dxa"/>
            <w:vAlign w:val="bottom"/>
          </w:tcPr>
          <w:p>
            <w:pPr>
              <w:spacing w:after="0"/>
              <w:rPr>
                <w:sz w:val="8"/>
                <w:szCs w:val="8"/>
                <w:color w:val="auto"/>
              </w:rPr>
            </w:pPr>
          </w:p>
        </w:tc>
        <w:tc>
          <w:tcPr>
            <w:tcW w:w="260" w:type="dxa"/>
            <w:vAlign w:val="bottom"/>
          </w:tcPr>
          <w:p>
            <w:pPr>
              <w:jc w:val="right"/>
              <w:ind w:right="155"/>
              <w:spacing w:after="0" w:line="102" w:lineRule="exact"/>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41,485</w:t>
            </w:r>
          </w:p>
        </w:tc>
        <w:tc>
          <w:tcPr>
            <w:tcW w:w="26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840" w:type="dxa"/>
            <w:vAlign w:val="bottom"/>
            <w:gridSpan w:val="4"/>
          </w:tcPr>
          <w:p>
            <w:pPr>
              <w:jc w:val="right"/>
              <w:ind w:right="141"/>
              <w:spacing w:after="0" w:line="102" w:lineRule="exact"/>
              <w:rPr>
                <w:sz w:val="20"/>
                <w:szCs w:val="20"/>
                <w:color w:val="auto"/>
              </w:rPr>
            </w:pPr>
            <w:r>
              <w:rPr>
                <w:rFonts w:ascii="Arial" w:cs="Arial" w:eastAsia="Arial" w:hAnsi="Arial"/>
                <w:sz w:val="9"/>
                <w:szCs w:val="9"/>
                <w:color w:val="auto"/>
              </w:rPr>
              <w:t>(67,587 )</w:t>
            </w:r>
          </w:p>
        </w:tc>
        <w:tc>
          <w:tcPr>
            <w:tcW w:w="140" w:type="dxa"/>
            <w:vAlign w:val="bottom"/>
          </w:tcPr>
          <w:p>
            <w:pPr>
              <w:ind w:left="20"/>
              <w:spacing w:after="0" w:line="102" w:lineRule="exact"/>
              <w:rPr>
                <w:sz w:val="20"/>
                <w:szCs w:val="20"/>
                <w:color w:val="auto"/>
              </w:rPr>
            </w:pPr>
            <w:r>
              <w:rPr>
                <w:rFonts w:ascii="Arial" w:cs="Arial" w:eastAsia="Arial" w:hAnsi="Arial"/>
                <w:sz w:val="9"/>
                <w:szCs w:val="9"/>
                <w:color w:val="auto"/>
              </w:rPr>
              <w:t>$</w:t>
            </w: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2,151</w:t>
            </w:r>
          </w:p>
        </w:tc>
        <w:tc>
          <w:tcPr>
            <w:tcW w:w="220" w:type="dxa"/>
            <w:vAlign w:val="bottom"/>
          </w:tcPr>
          <w:p>
            <w:pPr>
              <w:spacing w:after="0"/>
              <w:rPr>
                <w:sz w:val="8"/>
                <w:szCs w:val="8"/>
                <w:color w:val="auto"/>
              </w:rPr>
            </w:pPr>
          </w:p>
        </w:tc>
        <w:tc>
          <w:tcPr>
            <w:tcW w:w="200" w:type="dxa"/>
            <w:vAlign w:val="bottom"/>
          </w:tcPr>
          <w:p>
            <w:pPr>
              <w:spacing w:after="0" w:line="102" w:lineRule="exact"/>
              <w:rPr>
                <w:sz w:val="20"/>
                <w:szCs w:val="20"/>
                <w:color w:val="auto"/>
              </w:rPr>
            </w:pPr>
            <w:r>
              <w:rPr>
                <w:rFonts w:ascii="Arial" w:cs="Arial" w:eastAsia="Arial" w:hAnsi="Arial"/>
                <w:sz w:val="9"/>
                <w:szCs w:val="9"/>
                <w:color w:val="auto"/>
              </w:rPr>
              <w:t>$</w:t>
            </w:r>
          </w:p>
        </w:tc>
        <w:tc>
          <w:tcPr>
            <w:tcW w:w="400" w:type="dxa"/>
            <w:vAlign w:val="bottom"/>
          </w:tcPr>
          <w:p>
            <w:pPr>
              <w:jc w:val="right"/>
              <w:spacing w:after="0" w:line="102" w:lineRule="exact"/>
              <w:rPr>
                <w:sz w:val="20"/>
                <w:szCs w:val="20"/>
                <w:color w:val="auto"/>
              </w:rPr>
            </w:pPr>
            <w:r>
              <w:rPr>
                <w:rFonts w:ascii="Arial" w:cs="Arial" w:eastAsia="Arial" w:hAnsi="Arial"/>
                <w:sz w:val="9"/>
                <w:szCs w:val="9"/>
                <w:color w:val="auto"/>
              </w:rPr>
              <w:t>20,521</w:t>
            </w:r>
          </w:p>
        </w:tc>
        <w:tc>
          <w:tcPr>
            <w:tcW w:w="2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34</w:t>
            </w:r>
          </w:p>
        </w:tc>
        <w:tc>
          <w:tcPr>
            <w:tcW w:w="2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3,735</w:t>
            </w:r>
          </w:p>
        </w:tc>
        <w:tc>
          <w:tcPr>
            <w:tcW w:w="28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2,117</w:t>
            </w:r>
          </w:p>
        </w:tc>
        <w:tc>
          <w:tcPr>
            <w:tcW w:w="28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568</w:t>
            </w:r>
          </w:p>
        </w:tc>
        <w:tc>
          <w:tcPr>
            <w:tcW w:w="380" w:type="dxa"/>
            <w:vAlign w:val="bottom"/>
            <w:gridSpan w:val="2"/>
          </w:tcPr>
          <w:p>
            <w:pPr>
              <w:ind w:left="240"/>
              <w:spacing w:after="0" w:line="102"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102" w:lineRule="exact"/>
              <w:rPr>
                <w:sz w:val="20"/>
                <w:szCs w:val="20"/>
                <w:color w:val="auto"/>
              </w:rPr>
            </w:pPr>
            <w:r>
              <w:rPr>
                <w:rFonts w:ascii="Arial" w:cs="Arial" w:eastAsia="Arial" w:hAnsi="Arial"/>
                <w:sz w:val="9"/>
                <w:szCs w:val="9"/>
                <w:color w:val="auto"/>
              </w:rPr>
              <w:t>1,872</w:t>
            </w: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00" w:type="dxa"/>
            <w:vAlign w:val="bottom"/>
            <w:gridSpan w:val="2"/>
            <w:shd w:val="clear" w:color="auto" w:fill="CCEEFF"/>
          </w:tcPr>
          <w:p>
            <w:pPr>
              <w:ind w:left="20"/>
              <w:spacing w:after="0" w:line="89" w:lineRule="exact"/>
              <w:rPr>
                <w:sz w:val="20"/>
                <w:szCs w:val="20"/>
                <w:color w:val="auto"/>
              </w:rPr>
            </w:pPr>
            <w:r>
              <w:rPr>
                <w:rFonts w:ascii="Arial" w:cs="Arial" w:eastAsia="Arial" w:hAnsi="Arial"/>
                <w:sz w:val="9"/>
                <w:szCs w:val="9"/>
                <w:b w:val="1"/>
                <w:bCs w:val="1"/>
                <w:color w:val="auto"/>
              </w:rPr>
              <w:t>Affiliate Investments</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0" w:type="dxa"/>
            <w:vAlign w:val="bottom"/>
            <w:gridSpan w:val="2"/>
          </w:tcPr>
          <w:p>
            <w:pPr>
              <w:ind w:left="20"/>
              <w:spacing w:after="0" w:line="81" w:lineRule="exact"/>
              <w:rPr>
                <w:sz w:val="20"/>
                <w:szCs w:val="20"/>
                <w:color w:val="auto"/>
              </w:rPr>
            </w:pPr>
            <w:r>
              <w:rPr>
                <w:rFonts w:ascii="Arial" w:cs="Arial" w:eastAsia="Arial" w:hAnsi="Arial"/>
                <w:sz w:val="9"/>
                <w:szCs w:val="9"/>
                <w:color w:val="auto"/>
              </w:rPr>
              <w:t>Applegate Greenfiber Intermediate Inc.</w:t>
            </w:r>
          </w:p>
        </w:tc>
        <w:tc>
          <w:tcPr>
            <w:tcW w:w="180" w:type="dxa"/>
            <w:vAlign w:val="bottom"/>
            <w:gridSpan w:val="2"/>
            <w:vMerge w:val="restart"/>
          </w:tcPr>
          <w:p>
            <w:pPr>
              <w:ind w:left="140"/>
              <w:spacing w:after="0"/>
              <w:rPr>
                <w:sz w:val="20"/>
                <w:szCs w:val="20"/>
                <w:color w:val="auto"/>
              </w:rPr>
            </w:pPr>
            <w:r>
              <w:rPr>
                <w:rFonts w:ascii="Arial" w:cs="Arial" w:eastAsia="Arial" w:hAnsi="Arial"/>
                <w:sz w:val="4"/>
                <w:szCs w:val="4"/>
                <w:color w:val="auto"/>
                <w:w w:val="87"/>
              </w:rPr>
              <w:t>$</w:t>
            </w: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9,602</w:t>
            </w:r>
          </w:p>
        </w:tc>
        <w:tc>
          <w:tcPr>
            <w:tcW w:w="30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right"/>
              <w:ind w:right="155"/>
              <w:spacing w:after="0"/>
              <w:rPr>
                <w:sz w:val="20"/>
                <w:szCs w:val="20"/>
                <w:color w:val="auto"/>
              </w:rPr>
            </w:pPr>
            <w:r>
              <w:rPr>
                <w:rFonts w:ascii="Arial" w:cs="Arial" w:eastAsia="Arial" w:hAnsi="Arial"/>
                <w:sz w:val="9"/>
                <w:szCs w:val="9"/>
                <w:color w:val="auto"/>
              </w:rPr>
              <w:t>$</w:t>
            </w: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22,405</w:t>
            </w:r>
          </w:p>
        </w:tc>
        <w:tc>
          <w:tcPr>
            <w:tcW w:w="32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vMerge w:val="restart"/>
          </w:tcPr>
          <w:p>
            <w:pPr>
              <w:jc w:val="right"/>
              <w:ind w:right="201"/>
              <w:spacing w:after="0"/>
              <w:rPr>
                <w:sz w:val="20"/>
                <w:szCs w:val="20"/>
                <w:color w:val="auto"/>
              </w:rPr>
            </w:pPr>
            <w:r>
              <w:rPr>
                <w:rFonts w:ascii="Arial" w:cs="Arial" w:eastAsia="Arial" w:hAnsi="Arial"/>
                <w:sz w:val="9"/>
                <w:szCs w:val="9"/>
                <w:color w:val="auto"/>
              </w:rPr>
              <w:t>—</w:t>
            </w:r>
          </w:p>
        </w:tc>
        <w:tc>
          <w:tcPr>
            <w:tcW w:w="14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22,405</w:t>
            </w:r>
          </w:p>
        </w:tc>
        <w:tc>
          <w:tcPr>
            <w:tcW w:w="220" w:type="dxa"/>
            <w:vAlign w:val="bottom"/>
          </w:tcPr>
          <w:p>
            <w:pPr>
              <w:spacing w:after="0"/>
              <w:rPr>
                <w:sz w:val="7"/>
                <w:szCs w:val="7"/>
                <w:color w:val="auto"/>
              </w:rPr>
            </w:pPr>
          </w:p>
        </w:tc>
        <w:tc>
          <w:tcPr>
            <w:tcW w:w="200" w:type="dxa"/>
            <w:vAlign w:val="bottom"/>
            <w:vMerge w:val="restart"/>
          </w:tcPr>
          <w:p>
            <w:pPr>
              <w:spacing w:after="0"/>
              <w:rPr>
                <w:sz w:val="20"/>
                <w:szCs w:val="20"/>
                <w:color w:val="auto"/>
              </w:rPr>
            </w:pPr>
            <w:r>
              <w:rPr>
                <w:rFonts w:ascii="Arial" w:cs="Arial" w:eastAsia="Arial" w:hAnsi="Arial"/>
                <w:sz w:val="9"/>
                <w:szCs w:val="9"/>
                <w:color w:val="auto"/>
              </w:rPr>
              <w:t>$</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ind w:left="240"/>
              <w:spacing w:after="0"/>
              <w:rPr>
                <w:sz w:val="20"/>
                <w:szCs w:val="20"/>
                <w:color w:val="auto"/>
              </w:rPr>
            </w:pPr>
            <w:r>
              <w:rPr>
                <w:rFonts w:ascii="Arial" w:cs="Arial" w:eastAsia="Arial" w:hAnsi="Arial"/>
                <w:sz w:val="9"/>
                <w:szCs w:val="9"/>
                <w:color w:val="auto"/>
              </w:rPr>
              <w:t>$</w:t>
            </w: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600" w:type="dxa"/>
            <w:vAlign w:val="bottom"/>
            <w:gridSpan w:val="2"/>
          </w:tcPr>
          <w:p>
            <w:pPr>
              <w:ind w:left="20"/>
              <w:spacing w:after="0"/>
              <w:rPr>
                <w:sz w:val="20"/>
                <w:szCs w:val="20"/>
                <w:color w:val="auto"/>
              </w:rPr>
            </w:pPr>
            <w:r>
              <w:rPr>
                <w:rFonts w:ascii="Arial" w:cs="Arial" w:eastAsia="Arial" w:hAnsi="Arial"/>
                <w:sz w:val="9"/>
                <w:szCs w:val="9"/>
                <w:color w:val="auto"/>
              </w:rPr>
              <w:t>(fka US GreenFiber, LLC)</w:t>
            </w:r>
          </w:p>
        </w:tc>
        <w:tc>
          <w:tcPr>
            <w:tcW w:w="1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w w:val="97"/>
              </w:rPr>
              <w:t>FAR Research Inc.</w:t>
            </w: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w:t>
            </w: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01"/>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780" w:type="dxa"/>
            <w:vAlign w:val="bottom"/>
          </w:tcPr>
          <w:p>
            <w:pPr>
              <w:ind w:left="20"/>
              <w:spacing w:after="0"/>
              <w:rPr>
                <w:sz w:val="20"/>
                <w:szCs w:val="20"/>
                <w:color w:val="auto"/>
              </w:rPr>
            </w:pPr>
            <w:r>
              <w:rPr>
                <w:rFonts w:ascii="Arial" w:cs="Arial" w:eastAsia="Arial" w:hAnsi="Arial"/>
                <w:sz w:val="9"/>
                <w:szCs w:val="9"/>
                <w:color w:val="auto"/>
                <w:w w:val="93"/>
              </w:rPr>
              <w:t>Fiber Materials, Inc.</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41</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94</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gridSpan w:val="3"/>
          </w:tcPr>
          <w:p>
            <w:pPr>
              <w:jc w:val="right"/>
              <w:ind w:right="141"/>
              <w:spacing w:after="0"/>
              <w:rPr>
                <w:sz w:val="20"/>
                <w:szCs w:val="20"/>
                <w:color w:val="auto"/>
              </w:rPr>
            </w:pPr>
            <w:r>
              <w:rPr>
                <w:rFonts w:ascii="Arial" w:cs="Arial" w:eastAsia="Arial" w:hAnsi="Arial"/>
                <w:sz w:val="9"/>
                <w:szCs w:val="9"/>
                <w:color w:val="auto"/>
              </w:rPr>
              <w:t>(135 )</w:t>
            </w:r>
          </w:p>
        </w:tc>
        <w:tc>
          <w:tcPr>
            <w:tcW w:w="1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94</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(42 )</w:t>
            </w: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Medsurant Holdings, LLC</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10,960</w:t>
            </w: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733</w:t>
            </w: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60" w:type="dxa"/>
            <w:vAlign w:val="bottom"/>
            <w:gridSpan w:val="3"/>
            <w:shd w:val="clear" w:color="auto" w:fill="CCEEFF"/>
          </w:tcPr>
          <w:p>
            <w:pPr>
              <w:jc w:val="right"/>
              <w:ind w:right="141"/>
              <w:spacing w:after="0"/>
              <w:rPr>
                <w:sz w:val="20"/>
                <w:szCs w:val="20"/>
                <w:color w:val="auto"/>
              </w:rPr>
            </w:pPr>
            <w:r>
              <w:rPr>
                <w:rFonts w:ascii="Arial" w:cs="Arial" w:eastAsia="Arial" w:hAnsi="Arial"/>
                <w:sz w:val="9"/>
                <w:szCs w:val="9"/>
                <w:color w:val="auto"/>
                <w:w w:val="83"/>
              </w:rPr>
              <w:t>(8,031 )</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3,662</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687</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331</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91</w:t>
            </w:r>
          </w:p>
        </w:tc>
        <w:tc>
          <w:tcPr>
            <w:tcW w:w="0" w:type="dxa"/>
            <w:vAlign w:val="bottom"/>
          </w:tcPr>
          <w:p>
            <w:pPr>
              <w:spacing w:after="0"/>
              <w:rPr>
                <w:sz w:val="1"/>
                <w:szCs w:val="1"/>
                <w:color w:val="auto"/>
              </w:rPr>
            </w:pPr>
          </w:p>
        </w:tc>
      </w:tr>
      <w:tr>
        <w:trPr>
          <w:trHeight w:val="108"/>
        </w:trPr>
        <w:tc>
          <w:tcPr>
            <w:tcW w:w="780" w:type="dxa"/>
            <w:vAlign w:val="bottom"/>
          </w:tcPr>
          <w:p>
            <w:pPr>
              <w:ind w:left="20"/>
              <w:spacing w:after="0"/>
              <w:rPr>
                <w:sz w:val="20"/>
                <w:szCs w:val="20"/>
                <w:color w:val="auto"/>
              </w:rPr>
            </w:pPr>
            <w:r>
              <w:rPr>
                <w:rFonts w:ascii="Arial" w:cs="Arial" w:eastAsia="Arial" w:hAnsi="Arial"/>
                <w:sz w:val="9"/>
                <w:szCs w:val="9"/>
                <w:color w:val="auto"/>
                <w:w w:val="93"/>
              </w:rPr>
              <w:t>Mirage Trailers LLC</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6,705</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6,494</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4,225</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2"/>
          </w:tcPr>
          <w:p>
            <w:pPr>
              <w:jc w:val="right"/>
              <w:ind w:right="141"/>
              <w:spacing w:after="0"/>
              <w:rPr>
                <w:sz w:val="20"/>
                <w:szCs w:val="20"/>
                <w:color w:val="auto"/>
              </w:rPr>
            </w:pPr>
            <w:r>
              <w:rPr>
                <w:rFonts w:ascii="Arial" w:cs="Arial" w:eastAsia="Arial" w:hAnsi="Arial"/>
                <w:sz w:val="9"/>
                <w:szCs w:val="9"/>
                <w:color w:val="auto"/>
                <w:w w:val="97"/>
              </w:rPr>
              <w:t>(44 )</w:t>
            </w:r>
          </w:p>
        </w:tc>
        <w:tc>
          <w:tcPr>
            <w:tcW w:w="1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10,675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3,871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761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338</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110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rPr>
              <w:t>Pfanstiehl, Inc.</w:t>
            </w: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33,505</w:t>
            </w: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24,134</w:t>
            </w: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01"/>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57,639</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24,135</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1,062</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780" w:type="dxa"/>
            <w:vAlign w:val="bottom"/>
          </w:tcPr>
          <w:p>
            <w:pPr>
              <w:ind w:left="20"/>
              <w:spacing w:after="0"/>
              <w:rPr>
                <w:sz w:val="20"/>
                <w:szCs w:val="20"/>
                <w:color w:val="auto"/>
              </w:rPr>
            </w:pPr>
            <w:r>
              <w:rPr>
                <w:rFonts w:ascii="Arial" w:cs="Arial" w:eastAsia="Arial" w:hAnsi="Arial"/>
                <w:sz w:val="9"/>
                <w:szCs w:val="9"/>
                <w:color w:val="auto"/>
              </w:rPr>
              <w:t>Pinnergy, Ltd.</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20,589</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589</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2"/>
          </w:tcPr>
          <w:p>
            <w:pPr>
              <w:jc w:val="right"/>
              <w:ind w:right="201"/>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21,178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589</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1"/>
        </w:trPr>
        <w:tc>
          <w:tcPr>
            <w:tcW w:w="1600" w:type="dxa"/>
            <w:vAlign w:val="bottom"/>
            <w:gridSpan w:val="2"/>
            <w:shd w:val="clear" w:color="auto" w:fill="CCEEFF"/>
          </w:tcPr>
          <w:p>
            <w:pPr>
              <w:ind w:left="20"/>
              <w:spacing w:after="0" w:line="81" w:lineRule="exact"/>
              <w:rPr>
                <w:sz w:val="20"/>
                <w:szCs w:val="20"/>
                <w:color w:val="auto"/>
              </w:rPr>
            </w:pPr>
            <w:r>
              <w:rPr>
                <w:rFonts w:ascii="Arial" w:cs="Arial" w:eastAsia="Arial" w:hAnsi="Arial"/>
                <w:sz w:val="9"/>
                <w:szCs w:val="9"/>
                <w:color w:val="auto"/>
              </w:rPr>
              <w:t>Spectra A&amp;D Acquisition, Inc. (fka</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13,000</w:t>
            </w: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18,452</w:t>
            </w: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gridSpan w:val="2"/>
            <w:vMerge w:val="restart"/>
            <w:shd w:val="clear" w:color="auto" w:fill="CCEEFF"/>
          </w:tcPr>
          <w:p>
            <w:pPr>
              <w:jc w:val="right"/>
              <w:ind w:right="141"/>
              <w:spacing w:after="0"/>
              <w:rPr>
                <w:sz w:val="20"/>
                <w:szCs w:val="20"/>
                <w:color w:val="auto"/>
              </w:rPr>
            </w:pPr>
            <w:r>
              <w:rPr>
                <w:rFonts w:ascii="Arial" w:cs="Arial" w:eastAsia="Arial" w:hAnsi="Arial"/>
                <w:sz w:val="9"/>
                <w:szCs w:val="9"/>
                <w:color w:val="auto"/>
                <w:w w:val="97"/>
              </w:rPr>
              <w:t>(93 )</w:t>
            </w:r>
          </w:p>
        </w:tc>
        <w:tc>
          <w:tcPr>
            <w:tcW w:w="14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18,359</w:t>
            </w: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1,626</w:t>
            </w: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1,142</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9"/>
                <w:szCs w:val="9"/>
                <w:color w:val="auto"/>
              </w:rPr>
              <w:t>294</w:t>
            </w:r>
          </w:p>
        </w:tc>
        <w:tc>
          <w:tcPr>
            <w:tcW w:w="0" w:type="dxa"/>
            <w:vAlign w:val="bottom"/>
          </w:tcPr>
          <w:p>
            <w:pPr>
              <w:spacing w:after="0"/>
              <w:rPr>
                <w:sz w:val="1"/>
                <w:szCs w:val="1"/>
                <w:color w:val="auto"/>
              </w:rPr>
            </w:pPr>
          </w:p>
        </w:tc>
      </w:tr>
      <w:tr>
        <w:trPr>
          <w:trHeight w:val="108"/>
        </w:trPr>
        <w:tc>
          <w:tcPr>
            <w:tcW w:w="16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9"/>
                <w:szCs w:val="9"/>
                <w:color w:val="auto"/>
              </w:rPr>
              <w:t>FDS Avionics Corp.)</w:t>
            </w:r>
            <w:r>
              <w:rPr>
                <w:rFonts w:ascii="Arial" w:cs="Arial" w:eastAsia="Arial" w:hAnsi="Arial"/>
                <w:sz w:val="12"/>
                <w:szCs w:val="12"/>
                <w:color w:val="auto"/>
                <w:vertAlign w:val="superscript"/>
              </w:rPr>
              <w:t>(5)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tcBorders>
              <w:right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00" w:type="dxa"/>
            <w:vAlign w:val="bottom"/>
            <w:gridSpan w:val="2"/>
          </w:tcPr>
          <w:p>
            <w:pPr>
              <w:ind w:left="20"/>
              <w:spacing w:after="0" w:line="81" w:lineRule="exact"/>
              <w:rPr>
                <w:sz w:val="20"/>
                <w:szCs w:val="20"/>
                <w:color w:val="auto"/>
              </w:rPr>
            </w:pPr>
            <w:r>
              <w:rPr>
                <w:rFonts w:ascii="Arial" w:cs="Arial" w:eastAsia="Arial" w:hAnsi="Arial"/>
                <w:sz w:val="9"/>
                <w:szCs w:val="9"/>
                <w:color w:val="auto"/>
              </w:rPr>
              <w:t>Steward Holding LLC (dba Steward</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9,777</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1,373</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gridSpan w:val="3"/>
            <w:vMerge w:val="restart"/>
          </w:tcPr>
          <w:p>
            <w:pPr>
              <w:jc w:val="right"/>
              <w:ind w:right="141"/>
              <w:spacing w:after="0"/>
              <w:rPr>
                <w:sz w:val="20"/>
                <w:szCs w:val="20"/>
                <w:color w:val="auto"/>
              </w:rPr>
            </w:pPr>
            <w:r>
              <w:rPr>
                <w:rFonts w:ascii="Arial" w:cs="Arial" w:eastAsia="Arial" w:hAnsi="Arial"/>
                <w:sz w:val="9"/>
                <w:szCs w:val="9"/>
                <w:color w:val="auto"/>
                <w:w w:val="83"/>
              </w:rPr>
              <w:t>(7,812 )</w:t>
            </w:r>
          </w:p>
        </w:tc>
        <w:tc>
          <w:tcPr>
            <w:tcW w:w="14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3,338</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1,341</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461</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30</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4"/>
        </w:trPr>
        <w:tc>
          <w:tcPr>
            <w:tcW w:w="780" w:type="dxa"/>
            <w:vAlign w:val="bottom"/>
          </w:tcPr>
          <w:p>
            <w:pPr>
              <w:ind w:left="20"/>
              <w:spacing w:after="0" w:line="95" w:lineRule="exact"/>
              <w:rPr>
                <w:sz w:val="20"/>
                <w:szCs w:val="20"/>
                <w:color w:val="auto"/>
              </w:rPr>
            </w:pPr>
            <w:r>
              <w:rPr>
                <w:rFonts w:ascii="Arial" w:cs="Arial" w:eastAsia="Arial" w:hAnsi="Arial"/>
                <w:sz w:val="9"/>
                <w:szCs w:val="9"/>
                <w:color w:val="auto"/>
                <w:w w:val="90"/>
              </w:rPr>
              <w:t>Advanced Materials)</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600" w:type="dxa"/>
            <w:vAlign w:val="bottom"/>
            <w:tcBorders>
              <w:bottom w:val="single" w:sz="8" w:color="CCEEFF"/>
            </w:tcBorders>
            <w:gridSpan w:val="2"/>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Total Affiliate Investments</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4"/>
                <w:szCs w:val="4"/>
                <w:color w:val="auto"/>
                <w:w w:val="87"/>
              </w:rPr>
              <w:t>$</w:t>
            </w:r>
          </w:p>
        </w:tc>
        <w:tc>
          <w:tcPr>
            <w:tcW w:w="7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29,307</w:t>
            </w: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81,394</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5"/>
              <w:spacing w:after="0" w:line="102" w:lineRule="exact"/>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72,005</w:t>
            </w:r>
          </w:p>
        </w:tc>
        <w:tc>
          <w:tcPr>
            <w:tcW w:w="2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gridSpan w:val="3"/>
            <w:shd w:val="clear" w:color="auto" w:fill="CCEEFF"/>
          </w:tcPr>
          <w:p>
            <w:pPr>
              <w:jc w:val="right"/>
              <w:spacing w:after="0" w:line="102" w:lineRule="exact"/>
              <w:rPr>
                <w:sz w:val="20"/>
                <w:szCs w:val="20"/>
                <w:color w:val="auto"/>
              </w:rPr>
            </w:pPr>
            <w:r>
              <w:rPr>
                <w:rFonts w:ascii="Arial" w:cs="Arial" w:eastAsia="Arial" w:hAnsi="Arial"/>
                <w:sz w:val="9"/>
                <w:szCs w:val="9"/>
                <w:color w:val="auto"/>
              </w:rPr>
              <w:t>(16,115</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6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137,284</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9"/>
                <w:szCs w:val="9"/>
                <w:color w:val="auto"/>
              </w:rPr>
              <w:t>$</w:t>
            </w:r>
          </w:p>
        </w:tc>
        <w:tc>
          <w:tcPr>
            <w:tcW w:w="4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94</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32,207</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2,695</w:t>
            </w: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368</w:t>
            </w: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1,172</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340" w:type="dxa"/>
            <w:vAlign w:val="bottom"/>
            <w:tcBorders>
              <w:top w:val="single" w:sz="8" w:color="auto"/>
              <w:bottom w:val="single" w:sz="8" w:color="auto"/>
              <w:right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-1033780</wp:posOffset>
            </wp:positionV>
            <wp:extent cx="76835" cy="996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-1033780</wp:posOffset>
            </wp:positionV>
            <wp:extent cx="76835" cy="996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-1033780</wp:posOffset>
            </wp:positionV>
            <wp:extent cx="77470" cy="996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9969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-1033780</wp:posOffset>
            </wp:positionV>
            <wp:extent cx="77470" cy="996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9969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-1033780</wp:posOffset>
            </wp:positionV>
            <wp:extent cx="68580" cy="996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-1033780</wp:posOffset>
            </wp:positionV>
            <wp:extent cx="68580" cy="996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-1033780</wp:posOffset>
            </wp:positionV>
            <wp:extent cx="68580" cy="996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-1033780</wp:posOffset>
            </wp:positionV>
            <wp:extent cx="68580" cy="996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-1033780</wp:posOffset>
            </wp:positionV>
            <wp:extent cx="68580" cy="996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-1033780</wp:posOffset>
            </wp:positionV>
            <wp:extent cx="68580" cy="996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-1033780</wp:posOffset>
            </wp:positionV>
            <wp:extent cx="17145" cy="996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145" cy="9969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-24765</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-7620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-24765</wp:posOffset>
            </wp:positionV>
            <wp:extent cx="76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-7620</wp:posOffset>
            </wp:positionV>
            <wp:extent cx="76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774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-24765</wp:posOffset>
            </wp:positionV>
            <wp:extent cx="1714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-7620</wp:posOffset>
            </wp:positionV>
            <wp:extent cx="1714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02" w:name="page103"/>
    <w:bookmarkEnd w:id="102"/>
    <w:p>
      <w:pPr>
        <w:ind w:left="360" w:hanging="339"/>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spacing w:after="0" w:line="13" w:lineRule="exact"/>
        <w:rPr>
          <w:rFonts w:ascii="Arial" w:cs="Arial" w:eastAsia="Arial" w:hAnsi="Arial"/>
          <w:sz w:val="14"/>
          <w:szCs w:val="14"/>
          <w:color w:val="auto"/>
        </w:rPr>
      </w:pPr>
    </w:p>
    <w:p>
      <w:pPr>
        <w:ind w:left="360" w:right="20" w:hanging="339"/>
        <w:spacing w:after="0" w:line="228" w:lineRule="auto"/>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360" w:right="420" w:hanging="339"/>
        <w:spacing w:after="0" w:line="231" w:lineRule="auto"/>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160" w:hanging="339"/>
        <w:spacing w:after="0" w:line="228" w:lineRule="auto"/>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360" w:hanging="339"/>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Portfolio company was transferred to Affiliate investments from Control investments during the year ended December 31, 2021.</w:t>
      </w:r>
    </w:p>
    <w:p>
      <w:pPr>
        <w:spacing w:after="0" w:line="1" w:lineRule="exact"/>
        <w:rPr>
          <w:rFonts w:ascii="Arial" w:cs="Arial" w:eastAsia="Arial" w:hAnsi="Arial"/>
          <w:sz w:val="14"/>
          <w:szCs w:val="14"/>
          <w:color w:val="auto"/>
        </w:rPr>
      </w:pPr>
    </w:p>
    <w:p>
      <w:pPr>
        <w:ind w:left="360" w:hanging="339"/>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Portfolio company was transferred to Control investments from Non-control/Non-affiliate investments during the year ended December 31, 2021.</w:t>
      </w:r>
    </w:p>
    <w:p>
      <w:pPr>
        <w:spacing w:after="0" w:line="155" w:lineRule="exact"/>
        <w:rPr>
          <w:sz w:val="20"/>
          <w:szCs w:val="20"/>
          <w:color w:val="auto"/>
        </w:rPr>
      </w:pPr>
    </w:p>
    <w:p>
      <w:pPr>
        <w:ind w:firstLine="537"/>
        <w:spacing w:after="0" w:line="291" w:lineRule="auto"/>
        <w:rPr>
          <w:sz w:val="20"/>
          <w:szCs w:val="20"/>
          <w:color w:val="auto"/>
        </w:rPr>
      </w:pPr>
      <w:r>
        <w:rPr>
          <w:rFonts w:ascii="Arial" w:cs="Arial" w:eastAsia="Arial" w:hAnsi="Arial"/>
          <w:sz w:val="17"/>
          <w:szCs w:val="17"/>
          <w:color w:val="auto"/>
        </w:rPr>
        <w:t>The table below represents the fair value of control and affiliate investments as of December 31, 2019 and any additions and reductions made to such investments during the year ended December 31, 2020, including the total investment income earned on such investments during the period.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6"/>
          </w:tcPr>
          <w:p>
            <w:pPr>
              <w:jc w:val="right"/>
              <w:ind w:right="195"/>
              <w:spacing w:after="0"/>
              <w:rPr>
                <w:sz w:val="20"/>
                <w:szCs w:val="20"/>
                <w:color w:val="auto"/>
              </w:rPr>
            </w:pPr>
            <w:r>
              <w:rPr>
                <w:rFonts w:ascii="Arial" w:cs="Arial" w:eastAsia="Arial" w:hAnsi="Arial"/>
                <w:sz w:val="9"/>
                <w:szCs w:val="9"/>
                <w:b w:val="1"/>
                <w:bCs w:val="1"/>
                <w:color w:val="auto"/>
                <w:w w:val="90"/>
              </w:rPr>
              <w:t>Year Ended December 31, 2020</w:t>
            </w:r>
          </w:p>
        </w:tc>
        <w:tc>
          <w:tcPr>
            <w:tcW w:w="2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93"/>
              </w:rPr>
              <w:t>December 31, 2020</w:t>
            </w:r>
          </w:p>
        </w:tc>
        <w:tc>
          <w:tcPr>
            <w:tcW w:w="240" w:type="dxa"/>
            <w:vAlign w:val="bottom"/>
          </w:tcPr>
          <w:p>
            <w:pPr>
              <w:spacing w:after="0"/>
              <w:rPr>
                <w:sz w:val="6"/>
                <w:szCs w:val="6"/>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9"/>
                <w:szCs w:val="9"/>
                <w:b w:val="1"/>
                <w:bCs w:val="1"/>
                <w:color w:val="auto"/>
                <w:w w:val="88"/>
              </w:rPr>
              <w:t>December 31,</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December 31,</w:t>
            </w:r>
          </w:p>
        </w:tc>
        <w:tc>
          <w:tcPr>
            <w:tcW w:w="60" w:type="dxa"/>
            <w:vAlign w:val="bottom"/>
          </w:tcPr>
          <w:p>
            <w:pPr>
              <w:spacing w:after="0"/>
              <w:rPr>
                <w:sz w:val="6"/>
                <w:szCs w:val="6"/>
                <w:color w:val="auto"/>
              </w:rPr>
            </w:pPr>
          </w:p>
        </w:tc>
        <w:tc>
          <w:tcPr>
            <w:tcW w:w="460" w:type="dxa"/>
            <w:vAlign w:val="bottom"/>
          </w:tcPr>
          <w:p>
            <w:pPr>
              <w:jc w:val="center"/>
              <w:ind w:right="35"/>
              <w:spacing w:after="0" w:line="75" w:lineRule="exact"/>
              <w:rPr>
                <w:sz w:val="20"/>
                <w:szCs w:val="20"/>
                <w:color w:val="auto"/>
              </w:rPr>
            </w:pPr>
            <w:r>
              <w:rPr>
                <w:rFonts w:ascii="Arial" w:cs="Arial" w:eastAsia="Arial" w:hAnsi="Arial"/>
                <w:sz w:val="8"/>
                <w:szCs w:val="8"/>
                <w:b w:val="1"/>
                <w:bCs w:val="1"/>
                <w:color w:val="auto"/>
              </w:rPr>
              <w:t>Net</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jc w:val="center"/>
              <w:ind w:right="115"/>
              <w:spacing w:after="0" w:line="75" w:lineRule="exact"/>
              <w:rPr>
                <w:sz w:val="20"/>
                <w:szCs w:val="20"/>
                <w:color w:val="auto"/>
              </w:rPr>
            </w:pPr>
            <w:r>
              <w:rPr>
                <w:rFonts w:ascii="Arial" w:cs="Arial" w:eastAsia="Arial" w:hAnsi="Arial"/>
                <w:sz w:val="8"/>
                <w:szCs w:val="8"/>
                <w:b w:val="1"/>
                <w:bCs w:val="1"/>
                <w:color w:val="auto"/>
              </w:rPr>
              <w:t>Net Change in</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9"/>
                <w:szCs w:val="9"/>
                <w:b w:val="1"/>
                <w:bCs w:val="1"/>
                <w:color w:val="auto"/>
                <w:w w:val="89"/>
              </w:rPr>
              <w:t>Payment-in-</w:t>
            </w: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155"/>
              <w:spacing w:after="0"/>
              <w:rPr>
                <w:sz w:val="20"/>
                <w:szCs w:val="20"/>
                <w:color w:val="auto"/>
              </w:rPr>
            </w:pPr>
            <w:r>
              <w:rPr>
                <w:rFonts w:ascii="Arial" w:cs="Arial" w:eastAsia="Arial" w:hAnsi="Arial"/>
                <w:sz w:val="9"/>
                <w:szCs w:val="9"/>
                <w:b w:val="1"/>
                <w:bCs w:val="1"/>
                <w:color w:val="auto"/>
              </w:rPr>
              <w:t>Gross</w:t>
            </w: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jc w:val="center"/>
              <w:ind w:right="55"/>
              <w:spacing w:after="0" w:line="81" w:lineRule="exact"/>
              <w:rPr>
                <w:sz w:val="20"/>
                <w:szCs w:val="20"/>
                <w:color w:val="auto"/>
              </w:rPr>
            </w:pPr>
            <w:r>
              <w:rPr>
                <w:rFonts w:ascii="Arial" w:cs="Arial" w:eastAsia="Arial" w:hAnsi="Arial"/>
                <w:sz w:val="9"/>
                <w:szCs w:val="9"/>
                <w:b w:val="1"/>
                <w:bCs w:val="1"/>
                <w:color w:val="auto"/>
                <w:w w:val="87"/>
              </w:rPr>
              <w:t>Realized</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95"/>
              <w:spacing w:after="0" w:line="81" w:lineRule="exact"/>
              <w:rPr>
                <w:sz w:val="20"/>
                <w:szCs w:val="20"/>
                <w:color w:val="auto"/>
              </w:rPr>
            </w:pPr>
            <w:r>
              <w:rPr>
                <w:rFonts w:ascii="Arial" w:cs="Arial" w:eastAsia="Arial" w:hAnsi="Arial"/>
                <w:sz w:val="9"/>
                <w:szCs w:val="9"/>
                <w:b w:val="1"/>
                <w:bCs w:val="1"/>
                <w:color w:val="auto"/>
                <w:w w:val="92"/>
              </w:rPr>
              <w:t>Unrealized</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vMerge w:val="restart"/>
          </w:tcPr>
          <w:p>
            <w:pPr>
              <w:jc w:val="right"/>
              <w:ind w:right="75"/>
              <w:spacing w:after="0"/>
              <w:rPr>
                <w:sz w:val="20"/>
                <w:szCs w:val="20"/>
                <w:color w:val="auto"/>
              </w:rPr>
            </w:pPr>
            <w:r>
              <w:rPr>
                <w:rFonts w:ascii="Arial" w:cs="Arial" w:eastAsia="Arial" w:hAnsi="Arial"/>
                <w:sz w:val="9"/>
                <w:szCs w:val="9"/>
                <w:b w:val="1"/>
                <w:bCs w:val="1"/>
                <w:color w:val="auto"/>
                <w:w w:val="85"/>
              </w:rPr>
              <w:t>Interest</w:t>
            </w:r>
          </w:p>
        </w:tc>
        <w:tc>
          <w:tcPr>
            <w:tcW w:w="2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9"/>
                <w:szCs w:val="9"/>
                <w:b w:val="1"/>
                <w:bCs w:val="1"/>
                <w:color w:val="auto"/>
                <w:w w:val="89"/>
              </w:rPr>
              <w:t>Dividend</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restart"/>
          </w:tcPr>
          <w:p>
            <w:pPr>
              <w:jc w:val="right"/>
              <w:ind w:right="155"/>
              <w:spacing w:after="0"/>
              <w:rPr>
                <w:sz w:val="20"/>
                <w:szCs w:val="20"/>
                <w:color w:val="auto"/>
              </w:rPr>
            </w:pPr>
            <w:r>
              <w:rPr>
                <w:rFonts w:ascii="Arial" w:cs="Arial" w:eastAsia="Arial" w:hAnsi="Arial"/>
                <w:sz w:val="9"/>
                <w:szCs w:val="9"/>
                <w:b w:val="1"/>
                <w:bCs w:val="1"/>
                <w:color w:val="auto"/>
                <w:w w:val="89"/>
              </w:rPr>
              <w:t>Fee</w:t>
            </w:r>
          </w:p>
        </w:tc>
        <w:tc>
          <w:tcPr>
            <w:tcW w:w="0" w:type="dxa"/>
            <w:vAlign w:val="bottom"/>
          </w:tcPr>
          <w:p>
            <w:pPr>
              <w:spacing w:after="0"/>
              <w:rPr>
                <w:sz w:val="1"/>
                <w:szCs w:val="1"/>
                <w:color w:val="auto"/>
              </w:rPr>
            </w:pPr>
          </w:p>
        </w:tc>
      </w:tr>
      <w:tr>
        <w:trPr>
          <w:trHeight w:val="81"/>
        </w:trPr>
        <w:tc>
          <w:tcPr>
            <w:tcW w:w="2260" w:type="dxa"/>
            <w:vAlign w:val="bottom"/>
            <w:vMerge w:val="restart"/>
          </w:tcPr>
          <w:p>
            <w:pPr>
              <w:ind w:left="20"/>
              <w:spacing w:after="0"/>
              <w:rPr>
                <w:sz w:val="20"/>
                <w:szCs w:val="20"/>
                <w:color w:val="auto"/>
              </w:rPr>
            </w:pPr>
            <w:r>
              <w:rPr>
                <w:rFonts w:ascii="Arial" w:cs="Arial" w:eastAsia="Arial" w:hAnsi="Arial"/>
                <w:sz w:val="9"/>
                <w:szCs w:val="9"/>
                <w:b w:val="1"/>
                <w:bCs w:val="1"/>
                <w:color w:val="auto"/>
              </w:rPr>
              <w:t xml:space="preserve">Portfolio Company </w:t>
            </w:r>
            <w:r>
              <w:rPr>
                <w:rFonts w:ascii="Arial" w:cs="Arial" w:eastAsia="Arial" w:hAnsi="Arial"/>
                <w:sz w:val="12"/>
                <w:szCs w:val="12"/>
                <w:b w:val="1"/>
                <w:bCs w:val="1"/>
                <w:color w:val="auto"/>
                <w:vertAlign w:val="superscript"/>
              </w:rPr>
              <w:t>(1)</w:t>
            </w:r>
          </w:p>
        </w:tc>
        <w:tc>
          <w:tcPr>
            <w:tcW w:w="120" w:type="dxa"/>
            <w:vAlign w:val="bottom"/>
          </w:tcPr>
          <w:p>
            <w:pPr>
              <w:spacing w:after="0"/>
              <w:rPr>
                <w:sz w:val="7"/>
                <w:szCs w:val="7"/>
                <w:color w:val="auto"/>
              </w:rPr>
            </w:pPr>
          </w:p>
        </w:tc>
        <w:tc>
          <w:tcPr>
            <w:tcW w:w="80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w w:val="94"/>
              </w:rPr>
              <w:t>Principal Amount -</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center"/>
              <w:ind w:right="35"/>
              <w:spacing w:after="0" w:line="81" w:lineRule="exact"/>
              <w:rPr>
                <w:sz w:val="20"/>
                <w:szCs w:val="20"/>
                <w:color w:val="auto"/>
              </w:rPr>
            </w:pPr>
            <w:r>
              <w:rPr>
                <w:rFonts w:ascii="Arial" w:cs="Arial" w:eastAsia="Arial" w:hAnsi="Arial"/>
                <w:sz w:val="9"/>
                <w:szCs w:val="9"/>
                <w:b w:val="1"/>
                <w:bCs w:val="1"/>
                <w:color w:val="auto"/>
                <w:w w:val="89"/>
              </w:rPr>
              <w:t>2019</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 xml:space="preserve">Gross Reductions </w:t>
            </w:r>
            <w:r>
              <w:rPr>
                <w:rFonts w:ascii="Arial" w:cs="Arial" w:eastAsia="Arial" w:hAnsi="Arial"/>
                <w:sz w:val="12"/>
                <w:szCs w:val="12"/>
                <w:b w:val="1"/>
                <w:bCs w:val="1"/>
                <w:color w:val="auto"/>
                <w:vertAlign w:val="superscript"/>
              </w:rPr>
              <w:t>(3)</w:t>
            </w:r>
          </w:p>
        </w:tc>
        <w:tc>
          <w:tcPr>
            <w:tcW w:w="80" w:type="dxa"/>
            <w:vAlign w:val="bottom"/>
          </w:tcPr>
          <w:p>
            <w:pPr>
              <w:spacing w:after="0"/>
              <w:rPr>
                <w:sz w:val="7"/>
                <w:szCs w:val="7"/>
                <w:color w:val="auto"/>
              </w:rPr>
            </w:pPr>
          </w:p>
        </w:tc>
        <w:tc>
          <w:tcPr>
            <w:tcW w:w="72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w w:val="92"/>
              </w:rPr>
              <w:t>2020 Fair</w:t>
            </w:r>
          </w:p>
        </w:tc>
        <w:tc>
          <w:tcPr>
            <w:tcW w:w="60" w:type="dxa"/>
            <w:vAlign w:val="bottom"/>
          </w:tcPr>
          <w:p>
            <w:pPr>
              <w:spacing w:after="0"/>
              <w:rPr>
                <w:sz w:val="7"/>
                <w:szCs w:val="7"/>
                <w:color w:val="auto"/>
              </w:rPr>
            </w:pPr>
          </w:p>
        </w:tc>
        <w:tc>
          <w:tcPr>
            <w:tcW w:w="460" w:type="dxa"/>
            <w:vAlign w:val="bottom"/>
          </w:tcPr>
          <w:p>
            <w:pPr>
              <w:jc w:val="center"/>
              <w:ind w:right="35"/>
              <w:spacing w:after="0" w:line="81" w:lineRule="exact"/>
              <w:rPr>
                <w:sz w:val="20"/>
                <w:szCs w:val="20"/>
                <w:color w:val="auto"/>
              </w:rPr>
            </w:pPr>
            <w:r>
              <w:rPr>
                <w:rFonts w:ascii="Arial" w:cs="Arial" w:eastAsia="Arial" w:hAnsi="Arial"/>
                <w:sz w:val="9"/>
                <w:szCs w:val="9"/>
                <w:b w:val="1"/>
                <w:bCs w:val="1"/>
                <w:color w:val="auto"/>
                <w:w w:val="87"/>
              </w:rPr>
              <w:t>Gains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95"/>
              <w:spacing w:after="0" w:line="81" w:lineRule="exact"/>
              <w:rPr>
                <w:sz w:val="20"/>
                <w:szCs w:val="20"/>
                <w:color w:val="auto"/>
              </w:rPr>
            </w:pPr>
            <w:r>
              <w:rPr>
                <w:rFonts w:ascii="Arial" w:cs="Arial" w:eastAsia="Arial" w:hAnsi="Arial"/>
                <w:sz w:val="9"/>
                <w:szCs w:val="9"/>
                <w:b w:val="1"/>
                <w:bCs w:val="1"/>
                <w:color w:val="auto"/>
                <w:w w:val="90"/>
              </w:rPr>
              <w:t>Appreciation</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w w:val="89"/>
              </w:rPr>
              <w:t>kind Interest</w:t>
            </w:r>
          </w:p>
        </w:tc>
        <w:tc>
          <w:tcPr>
            <w:tcW w:w="2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b w:val="1"/>
                <w:bCs w:val="1"/>
                <w:color w:val="auto"/>
                <w:w w:val="87"/>
              </w:rPr>
              <w:t>Debt Investments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ind w:right="55"/>
              <w:spacing w:after="0"/>
              <w:rPr>
                <w:sz w:val="20"/>
                <w:szCs w:val="20"/>
                <w:color w:val="auto"/>
              </w:rPr>
            </w:pPr>
            <w:r>
              <w:rPr>
                <w:rFonts w:ascii="Arial" w:cs="Arial" w:eastAsia="Arial" w:hAnsi="Arial"/>
                <w:sz w:val="9"/>
                <w:szCs w:val="9"/>
                <w:b w:val="1"/>
                <w:bCs w:val="1"/>
                <w:color w:val="auto"/>
                <w:w w:val="92"/>
              </w:rPr>
              <w:t>Fair Value</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ind w:right="15"/>
              <w:spacing w:after="0" w:line="108" w:lineRule="exact"/>
              <w:rPr>
                <w:sz w:val="20"/>
                <w:szCs w:val="20"/>
                <w:color w:val="auto"/>
              </w:rPr>
            </w:pPr>
            <w:r>
              <w:rPr>
                <w:rFonts w:ascii="Arial" w:cs="Arial" w:eastAsia="Arial" w:hAnsi="Arial"/>
                <w:sz w:val="9"/>
                <w:szCs w:val="9"/>
                <w:b w:val="1"/>
                <w:bCs w:val="1"/>
                <w:color w:val="auto"/>
                <w:w w:val="85"/>
              </w:rPr>
              <w:t xml:space="preserve">Additions </w:t>
            </w:r>
            <w:r>
              <w:rPr>
                <w:rFonts w:ascii="Arial" w:cs="Arial" w:eastAsia="Arial" w:hAnsi="Arial"/>
                <w:sz w:val="12"/>
                <w:szCs w:val="12"/>
                <w:b w:val="1"/>
                <w:bCs w:val="1"/>
                <w:color w:val="auto"/>
                <w:w w:val="85"/>
                <w:vertAlign w:val="superscript"/>
              </w:rPr>
              <w:t>(2)</w:t>
            </w:r>
          </w:p>
        </w:tc>
        <w:tc>
          <w:tcPr>
            <w:tcW w:w="2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Value</w:t>
            </w:r>
          </w:p>
        </w:tc>
        <w:tc>
          <w:tcPr>
            <w:tcW w:w="520" w:type="dxa"/>
            <w:vAlign w:val="bottom"/>
            <w:gridSpan w:val="2"/>
          </w:tcPr>
          <w:p>
            <w:pPr>
              <w:jc w:val="center"/>
              <w:spacing w:after="0" w:line="108" w:lineRule="exact"/>
              <w:rPr>
                <w:sz w:val="20"/>
                <w:szCs w:val="20"/>
                <w:color w:val="auto"/>
              </w:rPr>
            </w:pPr>
            <w:r>
              <w:rPr>
                <w:rFonts w:ascii="Arial" w:cs="Arial" w:eastAsia="Arial" w:hAnsi="Arial"/>
                <w:sz w:val="9"/>
                <w:szCs w:val="9"/>
                <w:b w:val="1"/>
                <w:bCs w:val="1"/>
                <w:color w:val="auto"/>
                <w:w w:val="81"/>
              </w:rPr>
              <w:t xml:space="preserve">(Losses) </w:t>
            </w:r>
            <w:r>
              <w:rPr>
                <w:rFonts w:ascii="Arial" w:cs="Arial" w:eastAsia="Arial" w:hAnsi="Arial"/>
                <w:sz w:val="12"/>
                <w:szCs w:val="12"/>
                <w:b w:val="1"/>
                <w:bCs w:val="1"/>
                <w:color w:val="auto"/>
                <w:w w:val="81"/>
                <w:vertAlign w:val="superscript"/>
              </w:rPr>
              <w:t>(4)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95"/>
              <w:spacing w:after="0"/>
              <w:rPr>
                <w:sz w:val="20"/>
                <w:szCs w:val="20"/>
                <w:color w:val="auto"/>
              </w:rPr>
            </w:pPr>
            <w:r>
              <w:rPr>
                <w:rFonts w:ascii="Arial" w:cs="Arial" w:eastAsia="Arial" w:hAnsi="Arial"/>
                <w:sz w:val="9"/>
                <w:szCs w:val="9"/>
                <w:b w:val="1"/>
                <w:bCs w:val="1"/>
                <w:color w:val="auto"/>
                <w:w w:val="89"/>
              </w:rPr>
              <w:t>(Depreciation)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ind w:right="55"/>
              <w:spacing w:after="0"/>
              <w:rPr>
                <w:sz w:val="20"/>
                <w:szCs w:val="20"/>
                <w:color w:val="auto"/>
              </w:rPr>
            </w:pPr>
            <w:r>
              <w:rPr>
                <w:rFonts w:ascii="Arial" w:cs="Arial" w:eastAsia="Arial" w:hAnsi="Arial"/>
                <w:sz w:val="9"/>
                <w:szCs w:val="9"/>
                <w:b w:val="1"/>
                <w:bCs w:val="1"/>
                <w:color w:val="auto"/>
                <w:w w:val="95"/>
              </w:rPr>
              <w:t>Income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center"/>
              <w:ind w:right="35"/>
              <w:spacing w:after="0"/>
              <w:rPr>
                <w:sz w:val="20"/>
                <w:szCs w:val="20"/>
                <w:color w:val="auto"/>
              </w:rPr>
            </w:pPr>
            <w:r>
              <w:rPr>
                <w:rFonts w:ascii="Arial" w:cs="Arial" w:eastAsia="Arial" w:hAnsi="Arial"/>
                <w:sz w:val="9"/>
                <w:szCs w:val="9"/>
                <w:b w:val="1"/>
                <w:bCs w:val="1"/>
                <w:color w:val="auto"/>
                <w:w w:val="88"/>
              </w:rPr>
              <w:t>Income</w:t>
            </w:r>
          </w:p>
        </w:tc>
        <w:tc>
          <w:tcPr>
            <w:tcW w:w="280" w:type="dxa"/>
            <w:vAlign w:val="bottom"/>
          </w:tcPr>
          <w:p>
            <w:pPr>
              <w:spacing w:after="0"/>
              <w:rPr>
                <w:sz w:val="9"/>
                <w:szCs w:val="9"/>
                <w:color w:val="auto"/>
              </w:rPr>
            </w:pPr>
          </w:p>
        </w:tc>
        <w:tc>
          <w:tcPr>
            <w:tcW w:w="440" w:type="dxa"/>
            <w:vAlign w:val="bottom"/>
          </w:tcPr>
          <w:p>
            <w:pPr>
              <w:jc w:val="right"/>
              <w:ind w:right="55"/>
              <w:spacing w:after="0"/>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9"/>
                <w:szCs w:val="9"/>
                <w:color w:val="auto"/>
              </w:rPr>
            </w:pPr>
          </w:p>
        </w:tc>
        <w:tc>
          <w:tcPr>
            <w:tcW w:w="440" w:type="dxa"/>
            <w:vAlign w:val="bottom"/>
            <w:gridSpan w:val="2"/>
          </w:tcPr>
          <w:p>
            <w:pPr>
              <w:jc w:val="right"/>
              <w:ind w:right="75"/>
              <w:spacing w:after="0"/>
              <w:rPr>
                <w:sz w:val="20"/>
                <w:szCs w:val="20"/>
                <w:color w:val="auto"/>
              </w:rPr>
            </w:pPr>
            <w:r>
              <w:rPr>
                <w:rFonts w:ascii="Arial" w:cs="Arial" w:eastAsia="Arial" w:hAnsi="Arial"/>
                <w:sz w:val="9"/>
                <w:szCs w:val="9"/>
                <w:b w:val="1"/>
                <w:bCs w:val="1"/>
                <w:color w:val="auto"/>
                <w:w w:val="95"/>
              </w:rPr>
              <w:t>Income</w:t>
            </w:r>
          </w:p>
        </w:tc>
        <w:tc>
          <w:tcPr>
            <w:tcW w:w="0" w:type="dxa"/>
            <w:vAlign w:val="bottom"/>
          </w:tcPr>
          <w:p>
            <w:pPr>
              <w:spacing w:after="0"/>
              <w:rPr>
                <w:sz w:val="1"/>
                <w:szCs w:val="1"/>
                <w:color w:val="auto"/>
              </w:rPr>
            </w:pPr>
          </w:p>
        </w:tc>
      </w:tr>
      <w:tr>
        <w:trPr>
          <w:trHeight w:val="102"/>
        </w:trPr>
        <w:tc>
          <w:tcPr>
            <w:tcW w:w="2260" w:type="dxa"/>
            <w:vAlign w:val="bottom"/>
            <w:tcBorders>
              <w:top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Control Investments</w:t>
            </w:r>
          </w:p>
        </w:tc>
        <w:tc>
          <w:tcPr>
            <w:tcW w:w="1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rPr>
                <w:sz w:val="20"/>
                <w:szCs w:val="20"/>
                <w:color w:val="auto"/>
              </w:rPr>
            </w:pPr>
            <w:r>
              <w:rPr>
                <w:rFonts w:ascii="Arial" w:cs="Arial" w:eastAsia="Arial" w:hAnsi="Arial"/>
                <w:sz w:val="9"/>
                <w:szCs w:val="9"/>
                <w:color w:val="auto"/>
              </w:rPr>
              <w:t>FDS Avionics Corp. (dba Flight Display Systems)</w:t>
            </w:r>
          </w:p>
        </w:tc>
        <w:tc>
          <w:tcPr>
            <w:tcW w:w="180" w:type="dxa"/>
            <w:vAlign w:val="bottom"/>
            <w:gridSpan w:val="2"/>
          </w:tcPr>
          <w:p>
            <w:pPr>
              <w:ind w:left="140"/>
              <w:spacing w:after="0"/>
              <w:rPr>
                <w:sz w:val="20"/>
                <w:szCs w:val="20"/>
                <w:color w:val="auto"/>
              </w:rPr>
            </w:pPr>
            <w:r>
              <w:rPr>
                <w:rFonts w:ascii="Arial" w:cs="Arial" w:eastAsia="Arial" w:hAnsi="Arial"/>
                <w:sz w:val="4"/>
                <w:szCs w:val="4"/>
                <w:color w:val="auto"/>
                <w:w w:val="87"/>
              </w:rPr>
              <w:t>$</w:t>
            </w:r>
          </w:p>
        </w:tc>
        <w:tc>
          <w:tcPr>
            <w:tcW w:w="740" w:type="dxa"/>
            <w:vAlign w:val="bottom"/>
          </w:tcPr>
          <w:p>
            <w:pPr>
              <w:jc w:val="right"/>
              <w:spacing w:after="0"/>
              <w:rPr>
                <w:sz w:val="20"/>
                <w:szCs w:val="20"/>
                <w:color w:val="auto"/>
              </w:rPr>
            </w:pPr>
            <w:r>
              <w:rPr>
                <w:rFonts w:ascii="Arial" w:cs="Arial" w:eastAsia="Arial" w:hAnsi="Arial"/>
                <w:sz w:val="9"/>
                <w:szCs w:val="9"/>
                <w:color w:val="auto"/>
              </w:rPr>
              <w:t>5,122</w:t>
            </w:r>
          </w:p>
        </w:tc>
        <w:tc>
          <w:tcPr>
            <w:tcW w:w="3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5,403</w:t>
            </w:r>
          </w:p>
        </w:tc>
        <w:tc>
          <w:tcPr>
            <w:tcW w:w="2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1,988</w:t>
            </w:r>
          </w:p>
        </w:tc>
        <w:tc>
          <w:tcPr>
            <w:tcW w:w="48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9"/>
                <w:szCs w:val="9"/>
                <w:color w:val="auto"/>
              </w:rPr>
              <w:t>7,391</w:t>
            </w:r>
          </w:p>
        </w:tc>
        <w:tc>
          <w:tcPr>
            <w:tcW w:w="2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720" w:type="dxa"/>
            <w:vAlign w:val="bottom"/>
          </w:tcPr>
          <w:p>
            <w:pPr>
              <w:jc w:val="right"/>
              <w:ind w:right="35"/>
              <w:spacing w:after="0"/>
              <w:rPr>
                <w:sz w:val="20"/>
                <w:szCs w:val="20"/>
                <w:color w:val="auto"/>
              </w:rPr>
            </w:pPr>
            <w:r>
              <w:rPr>
                <w:rFonts w:ascii="Arial" w:cs="Arial" w:eastAsia="Arial" w:hAnsi="Arial"/>
                <w:sz w:val="9"/>
                <w:szCs w:val="9"/>
                <w:color w:val="auto"/>
              </w:rPr>
              <w:t>1,545</w:t>
            </w:r>
          </w:p>
        </w:tc>
        <w:tc>
          <w:tcPr>
            <w:tcW w:w="24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298</w:t>
            </w:r>
          </w:p>
        </w:tc>
        <w:tc>
          <w:tcPr>
            <w:tcW w:w="3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442</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3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36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2260" w:type="dxa"/>
            <w:vAlign w:val="bottom"/>
            <w:shd w:val="clear" w:color="auto" w:fill="CCEEFF"/>
          </w:tcPr>
          <w:p>
            <w:pPr>
              <w:ind w:left="20"/>
              <w:spacing w:after="0"/>
              <w:rPr>
                <w:sz w:val="20"/>
                <w:szCs w:val="20"/>
                <w:color w:val="auto"/>
              </w:rPr>
            </w:pPr>
            <w:r>
              <w:rPr>
                <w:rFonts w:ascii="Arial" w:cs="Arial" w:eastAsia="Arial" w:hAnsi="Arial"/>
                <w:sz w:val="9"/>
                <w:szCs w:val="9"/>
                <w:color w:val="auto"/>
              </w:rPr>
              <w:t>US GreenFiber, LLC</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22,943</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16,417</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5,830</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(1,385 )</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20,862</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(363 )</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1,591</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1,306</w:t>
            </w:r>
          </w:p>
        </w:tc>
        <w:tc>
          <w:tcPr>
            <w:tcW w:w="2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60" w:type="dxa"/>
            <w:vAlign w:val="bottom"/>
          </w:tcPr>
          <w:p>
            <w:pPr>
              <w:ind w:left="20"/>
              <w:spacing w:after="0" w:line="102" w:lineRule="exact"/>
              <w:rPr>
                <w:sz w:val="20"/>
                <w:szCs w:val="20"/>
                <w:color w:val="auto"/>
              </w:rPr>
            </w:pPr>
            <w:r>
              <w:rPr>
                <w:rFonts w:ascii="Arial" w:cs="Arial" w:eastAsia="Arial" w:hAnsi="Arial"/>
                <w:sz w:val="9"/>
                <w:szCs w:val="9"/>
                <w:b w:val="1"/>
                <w:bCs w:val="1"/>
                <w:color w:val="auto"/>
              </w:rPr>
              <w:t>Total Control Investments</w:t>
            </w:r>
          </w:p>
        </w:tc>
        <w:tc>
          <w:tcPr>
            <w:tcW w:w="120" w:type="dxa"/>
            <w:vAlign w:val="bottom"/>
          </w:tcPr>
          <w:p>
            <w:pPr>
              <w:spacing w:after="0"/>
              <w:rPr>
                <w:sz w:val="8"/>
                <w:szCs w:val="8"/>
                <w:color w:val="auto"/>
              </w:rPr>
            </w:pPr>
          </w:p>
        </w:tc>
        <w:tc>
          <w:tcPr>
            <w:tcW w:w="60" w:type="dxa"/>
            <w:vAlign w:val="bottom"/>
          </w:tcPr>
          <w:p>
            <w:pPr>
              <w:ind w:left="20"/>
              <w:spacing w:after="0"/>
              <w:rPr>
                <w:sz w:val="20"/>
                <w:szCs w:val="20"/>
                <w:color w:val="auto"/>
              </w:rPr>
            </w:pPr>
            <w:r>
              <w:rPr>
                <w:rFonts w:ascii="Arial" w:cs="Arial" w:eastAsia="Arial" w:hAnsi="Arial"/>
                <w:sz w:val="4"/>
                <w:szCs w:val="4"/>
                <w:color w:val="auto"/>
                <w:w w:val="87"/>
              </w:rPr>
              <w:t>$</w:t>
            </w:r>
          </w:p>
        </w:tc>
        <w:tc>
          <w:tcPr>
            <w:tcW w:w="740" w:type="dxa"/>
            <w:vAlign w:val="bottom"/>
          </w:tcPr>
          <w:p>
            <w:pPr>
              <w:jc w:val="right"/>
              <w:spacing w:after="0" w:line="102" w:lineRule="exact"/>
              <w:rPr>
                <w:sz w:val="20"/>
                <w:szCs w:val="20"/>
                <w:color w:val="auto"/>
              </w:rPr>
            </w:pPr>
            <w:r>
              <w:rPr>
                <w:rFonts w:ascii="Arial" w:cs="Arial" w:eastAsia="Arial" w:hAnsi="Arial"/>
                <w:sz w:val="9"/>
                <w:szCs w:val="9"/>
                <w:color w:val="auto"/>
              </w:rPr>
              <w:t>28,065</w:t>
            </w:r>
          </w:p>
        </w:tc>
        <w:tc>
          <w:tcPr>
            <w:tcW w:w="24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21,820</w:t>
            </w:r>
          </w:p>
        </w:tc>
        <w:tc>
          <w:tcPr>
            <w:tcW w:w="20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7,818</w:t>
            </w:r>
          </w:p>
        </w:tc>
        <w:tc>
          <w:tcPr>
            <w:tcW w:w="200" w:type="dxa"/>
            <w:vAlign w:val="bottom"/>
          </w:tcPr>
          <w:p>
            <w:pPr>
              <w:spacing w:after="0"/>
              <w:rPr>
                <w:sz w:val="8"/>
                <w:szCs w:val="8"/>
                <w:color w:val="auto"/>
              </w:rPr>
            </w:pPr>
          </w:p>
        </w:tc>
        <w:tc>
          <w:tcPr>
            <w:tcW w:w="280" w:type="dxa"/>
            <w:vAlign w:val="bottom"/>
          </w:tcPr>
          <w:p>
            <w:pPr>
              <w:ind w:left="20"/>
              <w:spacing w:after="0" w:line="102"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(1,385 )</w:t>
            </w:r>
          </w:p>
        </w:tc>
        <w:tc>
          <w:tcPr>
            <w:tcW w:w="80" w:type="dxa"/>
            <w:vAlign w:val="bottom"/>
          </w:tcPr>
          <w:p>
            <w:pPr>
              <w:ind w:left="20"/>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28,253</w:t>
            </w:r>
          </w:p>
        </w:tc>
        <w:tc>
          <w:tcPr>
            <w:tcW w:w="2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w:t>
            </w:r>
          </w:p>
        </w:tc>
        <w:tc>
          <w:tcPr>
            <w:tcW w:w="720" w:type="dxa"/>
            <w:vAlign w:val="bottom"/>
          </w:tcPr>
          <w:p>
            <w:pPr>
              <w:jc w:val="right"/>
              <w:ind w:right="35"/>
              <w:spacing w:after="0" w:line="102" w:lineRule="exact"/>
              <w:rPr>
                <w:sz w:val="20"/>
                <w:szCs w:val="20"/>
                <w:color w:val="auto"/>
              </w:rPr>
            </w:pPr>
            <w:r>
              <w:rPr>
                <w:rFonts w:ascii="Arial" w:cs="Arial" w:eastAsia="Arial" w:hAnsi="Arial"/>
                <w:sz w:val="9"/>
                <w:szCs w:val="9"/>
                <w:color w:val="auto"/>
              </w:rPr>
              <w:t>1,182</w:t>
            </w:r>
          </w:p>
        </w:tc>
        <w:tc>
          <w:tcPr>
            <w:tcW w:w="24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w:t>
            </w: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1,889</w:t>
            </w:r>
          </w:p>
        </w:tc>
        <w:tc>
          <w:tcPr>
            <w:tcW w:w="32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1,748</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ind w:right="35"/>
              <w:spacing w:after="0" w:line="102"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60" w:type="dxa"/>
            <w:vAlign w:val="bottom"/>
            <w:shd w:val="clear" w:color="auto" w:fill="CCEEFF"/>
          </w:tcPr>
          <w:p>
            <w:pPr>
              <w:ind w:left="20"/>
              <w:spacing w:after="0" w:line="89" w:lineRule="exact"/>
              <w:rPr>
                <w:sz w:val="20"/>
                <w:szCs w:val="20"/>
                <w:color w:val="auto"/>
              </w:rPr>
            </w:pPr>
            <w:r>
              <w:rPr>
                <w:rFonts w:ascii="Arial" w:cs="Arial" w:eastAsia="Arial" w:hAnsi="Arial"/>
                <w:sz w:val="9"/>
                <w:szCs w:val="9"/>
                <w:b w:val="1"/>
                <w:bCs w:val="1"/>
                <w:color w:val="auto"/>
              </w:rPr>
              <w:t>Affiliate Investments</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rPr>
                <w:sz w:val="20"/>
                <w:szCs w:val="20"/>
                <w:color w:val="auto"/>
              </w:rPr>
            </w:pPr>
            <w:r>
              <w:rPr>
                <w:rFonts w:ascii="Arial" w:cs="Arial" w:eastAsia="Arial" w:hAnsi="Arial"/>
                <w:sz w:val="9"/>
                <w:szCs w:val="9"/>
                <w:color w:val="auto"/>
              </w:rPr>
              <w:t>FAR Research Inc.</w:t>
            </w:r>
          </w:p>
        </w:tc>
        <w:tc>
          <w:tcPr>
            <w:tcW w:w="180" w:type="dxa"/>
            <w:vAlign w:val="bottom"/>
            <w:gridSpan w:val="2"/>
          </w:tcPr>
          <w:p>
            <w:pPr>
              <w:ind w:left="140"/>
              <w:spacing w:after="0"/>
              <w:rPr>
                <w:sz w:val="20"/>
                <w:szCs w:val="20"/>
                <w:color w:val="auto"/>
              </w:rPr>
            </w:pPr>
            <w:r>
              <w:rPr>
                <w:rFonts w:ascii="Arial" w:cs="Arial" w:eastAsia="Arial" w:hAnsi="Arial"/>
                <w:sz w:val="4"/>
                <w:szCs w:val="4"/>
                <w:color w:val="auto"/>
                <w:w w:val="87"/>
              </w:rPr>
              <w:t>$</w:t>
            </w: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28</w:t>
            </w:r>
          </w:p>
        </w:tc>
        <w:tc>
          <w:tcPr>
            <w:tcW w:w="2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9"/>
                <w:szCs w:val="9"/>
                <w:color w:val="auto"/>
              </w:rPr>
              <w:t>28</w:t>
            </w:r>
          </w:p>
        </w:tc>
        <w:tc>
          <w:tcPr>
            <w:tcW w:w="2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7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3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36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2260" w:type="dxa"/>
            <w:vAlign w:val="bottom"/>
            <w:shd w:val="clear" w:color="auto" w:fill="CCEEFF"/>
          </w:tcPr>
          <w:p>
            <w:pPr>
              <w:ind w:left="20"/>
              <w:spacing w:after="0"/>
              <w:rPr>
                <w:sz w:val="20"/>
                <w:szCs w:val="20"/>
                <w:color w:val="auto"/>
              </w:rPr>
            </w:pPr>
            <w:r>
              <w:rPr>
                <w:rFonts w:ascii="Arial" w:cs="Arial" w:eastAsia="Arial" w:hAnsi="Arial"/>
                <w:sz w:val="9"/>
                <w:szCs w:val="9"/>
                <w:color w:val="auto"/>
              </w:rPr>
              <w:t>Fiber Materials, Inc.</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10,449</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9,681</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(20,089 )</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41</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9,681</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(9,762 )</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354</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rPr>
                <w:sz w:val="20"/>
                <w:szCs w:val="20"/>
                <w:color w:val="auto"/>
              </w:rPr>
            </w:pPr>
            <w:r>
              <w:rPr>
                <w:rFonts w:ascii="Arial" w:cs="Arial" w:eastAsia="Arial" w:hAnsi="Arial"/>
                <w:sz w:val="9"/>
                <w:szCs w:val="9"/>
                <w:color w:val="auto"/>
              </w:rPr>
              <w:t>Medsurant Holdings, LLC</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8,031</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16,980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1,721</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(7,741 )</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10,960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1,714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(2,304 )</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1,145</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2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ind w:right="35"/>
              <w:spacing w:after="0"/>
              <w:rPr>
                <w:sz w:val="20"/>
                <w:szCs w:val="20"/>
                <w:color w:val="auto"/>
              </w:rPr>
            </w:pPr>
            <w:r>
              <w:rPr>
                <w:rFonts w:ascii="Arial" w:cs="Arial" w:eastAsia="Arial" w:hAnsi="Arial"/>
                <w:sz w:val="9"/>
                <w:szCs w:val="9"/>
                <w:color w:val="auto"/>
              </w:rPr>
              <w:t>79</w:t>
            </w:r>
          </w:p>
        </w:tc>
        <w:tc>
          <w:tcPr>
            <w:tcW w:w="0" w:type="dxa"/>
            <w:vAlign w:val="bottom"/>
          </w:tcPr>
          <w:p>
            <w:pPr>
              <w:spacing w:after="0"/>
              <w:rPr>
                <w:sz w:val="1"/>
                <w:szCs w:val="1"/>
                <w:color w:val="auto"/>
              </w:rPr>
            </w:pPr>
          </w:p>
        </w:tc>
      </w:tr>
      <w:tr>
        <w:trPr>
          <w:trHeight w:val="108"/>
        </w:trPr>
        <w:tc>
          <w:tcPr>
            <w:tcW w:w="2260" w:type="dxa"/>
            <w:vAlign w:val="bottom"/>
            <w:shd w:val="clear" w:color="auto" w:fill="CCEEFF"/>
          </w:tcPr>
          <w:p>
            <w:pPr>
              <w:ind w:left="20"/>
              <w:spacing w:after="0" w:line="108" w:lineRule="exact"/>
              <w:rPr>
                <w:sz w:val="20"/>
                <w:szCs w:val="20"/>
                <w:color w:val="auto"/>
              </w:rPr>
            </w:pPr>
            <w:r>
              <w:rPr>
                <w:rFonts w:ascii="Arial" w:cs="Arial" w:eastAsia="Arial" w:hAnsi="Arial"/>
                <w:sz w:val="9"/>
                <w:szCs w:val="9"/>
                <w:color w:val="auto"/>
              </w:rPr>
              <w:t>Microbiology Research Associates, Inc.</w:t>
            </w:r>
            <w:r>
              <w:rPr>
                <w:rFonts w:ascii="Arial" w:cs="Arial" w:eastAsia="Arial" w:hAnsi="Arial"/>
                <w:sz w:val="12"/>
                <w:szCs w:val="12"/>
                <w:color w:val="auto"/>
                <w:vertAlign w:val="superscript"/>
              </w:rPr>
              <w:t>(5)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11,611</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21</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(11,632 )</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(751 )</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84</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11</w:t>
            </w:r>
          </w:p>
        </w:tc>
        <w:tc>
          <w:tcPr>
            <w:tcW w:w="2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rPr>
                <w:sz w:val="20"/>
                <w:szCs w:val="20"/>
                <w:color w:val="auto"/>
              </w:rPr>
            </w:pPr>
            <w:r>
              <w:rPr>
                <w:rFonts w:ascii="Arial" w:cs="Arial" w:eastAsia="Arial" w:hAnsi="Arial"/>
                <w:sz w:val="9"/>
                <w:szCs w:val="9"/>
                <w:color w:val="auto"/>
              </w:rPr>
              <w:t>Mirage Trailers LLC</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6,410</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7,218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235</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(959 )</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6,494</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(959 )</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718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159</w:t>
            </w:r>
          </w:p>
        </w:tc>
        <w:tc>
          <w:tcPr>
            <w:tcW w:w="2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ind w:right="35"/>
              <w:spacing w:after="0"/>
              <w:rPr>
                <w:sz w:val="20"/>
                <w:szCs w:val="20"/>
                <w:color w:val="auto"/>
              </w:rPr>
            </w:pPr>
            <w:r>
              <w:rPr>
                <w:rFonts w:ascii="Arial" w:cs="Arial" w:eastAsia="Arial" w:hAnsi="Arial"/>
                <w:sz w:val="9"/>
                <w:szCs w:val="9"/>
                <w:color w:val="auto"/>
              </w:rPr>
              <w:t>16</w:t>
            </w:r>
          </w:p>
        </w:tc>
        <w:tc>
          <w:tcPr>
            <w:tcW w:w="0" w:type="dxa"/>
            <w:vAlign w:val="bottom"/>
          </w:tcPr>
          <w:p>
            <w:pPr>
              <w:spacing w:after="0"/>
              <w:rPr>
                <w:sz w:val="1"/>
                <w:szCs w:val="1"/>
                <w:color w:val="auto"/>
              </w:rPr>
            </w:pPr>
          </w:p>
        </w:tc>
      </w:tr>
      <w:tr>
        <w:trPr>
          <w:trHeight w:val="108"/>
        </w:trPr>
        <w:tc>
          <w:tcPr>
            <w:tcW w:w="2260" w:type="dxa"/>
            <w:vAlign w:val="bottom"/>
            <w:shd w:val="clear" w:color="auto" w:fill="CCEEFF"/>
          </w:tcPr>
          <w:p>
            <w:pPr>
              <w:ind w:left="20"/>
              <w:spacing w:after="0"/>
              <w:rPr>
                <w:sz w:val="20"/>
                <w:szCs w:val="20"/>
                <w:color w:val="auto"/>
              </w:rPr>
            </w:pPr>
            <w:r>
              <w:rPr>
                <w:rFonts w:ascii="Arial" w:cs="Arial" w:eastAsia="Arial" w:hAnsi="Arial"/>
                <w:sz w:val="9"/>
                <w:szCs w:val="9"/>
                <w:color w:val="auto"/>
              </w:rPr>
              <w:t>Pfanstiehl, Inc.</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32,822</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20,128</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(19,445 )</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33,505</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12,812</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7,309</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630</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478</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rPr>
                <w:sz w:val="20"/>
                <w:szCs w:val="20"/>
                <w:color w:val="auto"/>
              </w:rPr>
            </w:pPr>
            <w:r>
              <w:rPr>
                <w:rFonts w:ascii="Arial" w:cs="Arial" w:eastAsia="Arial" w:hAnsi="Arial"/>
                <w:sz w:val="9"/>
                <w:szCs w:val="9"/>
                <w:color w:val="auto"/>
              </w:rPr>
              <w:t>Pinnergy, Ltd.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32,978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301</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(12,690 )</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20,589</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301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(9,388 )</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2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w w:val="98"/>
              </w:rPr>
              <w:t>Steward Holding LLC (dba Steward Advanced Materials)</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7,783</w:t>
            </w:r>
          </w:p>
        </w:tc>
        <w:tc>
          <w:tcPr>
            <w:tcW w:w="2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9,469</w:t>
            </w: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308</w:t>
            </w:r>
          </w:p>
        </w:tc>
        <w:tc>
          <w:tcPr>
            <w:tcW w:w="2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9,777</w:t>
            </w:r>
          </w:p>
        </w:tc>
        <w:tc>
          <w:tcPr>
            <w:tcW w:w="2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right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186</w:t>
            </w: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934</w:t>
            </w:r>
          </w:p>
        </w:tc>
        <w:tc>
          <w:tcPr>
            <w:tcW w:w="2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117</w:t>
            </w:r>
          </w:p>
        </w:tc>
        <w:tc>
          <w:tcPr>
            <w:tcW w:w="280" w:type="dxa"/>
            <w:vAlign w:val="bottom"/>
            <w:tcBorders>
              <w:bottom w:val="single" w:sz="8" w:color="CCEEFF"/>
              <w:right w:val="single" w:sz="8" w:color="CCEEFF"/>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right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25</w:t>
            </w:r>
          </w:p>
        </w:tc>
        <w:tc>
          <w:tcPr>
            <w:tcW w:w="0" w:type="dxa"/>
            <w:vAlign w:val="bottom"/>
          </w:tcPr>
          <w:p>
            <w:pPr>
              <w:spacing w:after="0"/>
              <w:rPr>
                <w:sz w:val="1"/>
                <w:szCs w:val="1"/>
                <w:color w:val="auto"/>
              </w:rPr>
            </w:pPr>
          </w:p>
        </w:tc>
      </w:tr>
      <w:tr>
        <w:trPr>
          <w:trHeight w:val="102"/>
        </w:trPr>
        <w:tc>
          <w:tcPr>
            <w:tcW w:w="2260" w:type="dxa"/>
            <w:vAlign w:val="bottom"/>
          </w:tcPr>
          <w:p>
            <w:pPr>
              <w:ind w:left="20"/>
              <w:spacing w:after="0" w:line="102" w:lineRule="exact"/>
              <w:rPr>
                <w:sz w:val="20"/>
                <w:szCs w:val="20"/>
                <w:color w:val="auto"/>
              </w:rPr>
            </w:pPr>
            <w:r>
              <w:rPr>
                <w:rFonts w:ascii="Arial" w:cs="Arial" w:eastAsia="Arial" w:hAnsi="Arial"/>
                <w:sz w:val="9"/>
                <w:szCs w:val="9"/>
                <w:b w:val="1"/>
                <w:bCs w:val="1"/>
                <w:color w:val="auto"/>
              </w:rPr>
              <w:t>Total Affiliate Investments</w:t>
            </w:r>
          </w:p>
        </w:tc>
        <w:tc>
          <w:tcPr>
            <w:tcW w:w="180" w:type="dxa"/>
            <w:vAlign w:val="bottom"/>
            <w:gridSpan w:val="2"/>
          </w:tcPr>
          <w:p>
            <w:pPr>
              <w:ind w:left="140"/>
              <w:spacing w:after="0"/>
              <w:rPr>
                <w:sz w:val="20"/>
                <w:szCs w:val="20"/>
                <w:color w:val="auto"/>
              </w:rPr>
            </w:pPr>
            <w:r>
              <w:rPr>
                <w:rFonts w:ascii="Arial" w:cs="Arial" w:eastAsia="Arial" w:hAnsi="Arial"/>
                <w:sz w:val="4"/>
                <w:szCs w:val="4"/>
                <w:color w:val="auto"/>
                <w:w w:val="87"/>
              </w:rPr>
              <w:t>$</w:t>
            </w:r>
          </w:p>
        </w:tc>
        <w:tc>
          <w:tcPr>
            <w:tcW w:w="740" w:type="dxa"/>
            <w:vAlign w:val="bottom"/>
          </w:tcPr>
          <w:p>
            <w:pPr>
              <w:jc w:val="right"/>
              <w:spacing w:after="0" w:line="102" w:lineRule="exact"/>
              <w:rPr>
                <w:sz w:val="20"/>
                <w:szCs w:val="20"/>
                <w:color w:val="auto"/>
              </w:rPr>
            </w:pPr>
            <w:r>
              <w:rPr>
                <w:rFonts w:ascii="Arial" w:cs="Arial" w:eastAsia="Arial" w:hAnsi="Arial"/>
                <w:sz w:val="9"/>
                <w:szCs w:val="9"/>
                <w:color w:val="auto"/>
              </w:rPr>
              <w:t>22,224</w:t>
            </w:r>
          </w:p>
        </w:tc>
        <w:tc>
          <w:tcPr>
            <w:tcW w:w="32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121,555</w:t>
            </w:r>
          </w:p>
        </w:tc>
        <w:tc>
          <w:tcPr>
            <w:tcW w:w="2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32,395</w:t>
            </w:r>
          </w:p>
        </w:tc>
        <w:tc>
          <w:tcPr>
            <w:tcW w:w="480" w:type="dxa"/>
            <w:vAlign w:val="bottom"/>
            <w:gridSpan w:val="2"/>
          </w:tcPr>
          <w:p>
            <w:pPr>
              <w:ind w:left="220"/>
              <w:spacing w:after="0" w:line="102"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(72,556 )</w:t>
            </w:r>
          </w:p>
        </w:tc>
        <w:tc>
          <w:tcPr>
            <w:tcW w:w="80" w:type="dxa"/>
            <w:vAlign w:val="bottom"/>
          </w:tcPr>
          <w:p>
            <w:pPr>
              <w:ind w:left="20"/>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81,394</w:t>
            </w:r>
          </w:p>
        </w:tc>
        <w:tc>
          <w:tcPr>
            <w:tcW w:w="2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24,508</w:t>
            </w:r>
          </w:p>
        </w:tc>
        <w:tc>
          <w:tcPr>
            <w:tcW w:w="28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(15,669 )</w:t>
            </w:r>
          </w:p>
        </w:tc>
        <w:tc>
          <w:tcPr>
            <w:tcW w:w="24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w:t>
            </w:r>
          </w:p>
        </w:tc>
        <w:tc>
          <w:tcPr>
            <w:tcW w:w="420" w:type="dxa"/>
            <w:vAlign w:val="bottom"/>
          </w:tcPr>
          <w:p>
            <w:pPr>
              <w:jc w:val="right"/>
              <w:spacing w:after="0" w:line="102" w:lineRule="exact"/>
              <w:rPr>
                <w:sz w:val="20"/>
                <w:szCs w:val="20"/>
                <w:color w:val="auto"/>
              </w:rPr>
            </w:pPr>
            <w:r>
              <w:rPr>
                <w:rFonts w:ascii="Arial" w:cs="Arial" w:eastAsia="Arial" w:hAnsi="Arial"/>
                <w:sz w:val="9"/>
                <w:szCs w:val="9"/>
                <w:color w:val="auto"/>
              </w:rPr>
              <w:t>3,511</w:t>
            </w:r>
          </w:p>
        </w:tc>
        <w:tc>
          <w:tcPr>
            <w:tcW w:w="32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287</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837</w:t>
            </w:r>
          </w:p>
        </w:tc>
        <w:tc>
          <w:tcPr>
            <w:tcW w:w="30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ind w:right="35"/>
              <w:spacing w:after="0" w:line="102" w:lineRule="exact"/>
              <w:rPr>
                <w:sz w:val="20"/>
                <w:szCs w:val="20"/>
                <w:color w:val="auto"/>
              </w:rPr>
            </w:pPr>
            <w:r>
              <w:rPr>
                <w:rFonts w:ascii="Arial" w:cs="Arial" w:eastAsia="Arial" w:hAnsi="Arial"/>
                <w:sz w:val="9"/>
                <w:szCs w:val="9"/>
                <w:color w:val="auto"/>
              </w:rPr>
              <w:t>120</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-819150</wp:posOffset>
            </wp:positionV>
            <wp:extent cx="76835" cy="996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-819150</wp:posOffset>
            </wp:positionV>
            <wp:extent cx="51435" cy="996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 cy="9969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-819150</wp:posOffset>
            </wp:positionV>
            <wp:extent cx="51435" cy="996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 cy="9969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-819150</wp:posOffset>
            </wp:positionV>
            <wp:extent cx="76835" cy="9969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-819150</wp:posOffset>
            </wp:positionV>
            <wp:extent cx="68580" cy="9969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-819150</wp:posOffset>
            </wp:positionV>
            <wp:extent cx="68580" cy="996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-819150</wp:posOffset>
            </wp:positionV>
            <wp:extent cx="68580" cy="996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-819150</wp:posOffset>
            </wp:positionV>
            <wp:extent cx="68580" cy="996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-819150</wp:posOffset>
            </wp:positionV>
            <wp:extent cx="68580" cy="996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-819150</wp:posOffset>
            </wp:positionV>
            <wp:extent cx="68580" cy="996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-819150</wp:posOffset>
            </wp:positionV>
            <wp:extent cx="43180" cy="996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3180" cy="9969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-99060</wp:posOffset>
            </wp:positionV>
            <wp:extent cx="76835" cy="996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-99060</wp:posOffset>
            </wp:positionV>
            <wp:extent cx="51435" cy="996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 cy="9969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-99060</wp:posOffset>
            </wp:positionV>
            <wp:extent cx="51435" cy="996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9969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-99060</wp:posOffset>
            </wp:positionV>
            <wp:extent cx="76835" cy="9969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-99060</wp:posOffset>
            </wp:positionV>
            <wp:extent cx="68580" cy="996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-99060</wp:posOffset>
            </wp:positionV>
            <wp:extent cx="68580" cy="996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-99060</wp:posOffset>
            </wp:positionV>
            <wp:extent cx="68580" cy="996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-99060</wp:posOffset>
            </wp:positionV>
            <wp:extent cx="68580" cy="9969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-99060</wp:posOffset>
            </wp:positionV>
            <wp:extent cx="68580" cy="996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-99060</wp:posOffset>
            </wp:positionV>
            <wp:extent cx="68580" cy="9969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-99060</wp:posOffset>
            </wp:positionV>
            <wp:extent cx="43180" cy="996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3180" cy="99695"/>
                    </a:xfrm>
                    <a:prstGeom prst="rect">
                      <a:avLst/>
                    </a:prstGeom>
                    <a:noFill/>
                  </pic:spPr>
                </pic:pic>
              </a:graphicData>
            </a:graphic>
          </wp:anchor>
        </w:drawing>
      </w:r>
    </w:p>
    <w:p>
      <w:pPr>
        <w:ind w:left="360" w:hanging="339"/>
        <w:spacing w:after="0"/>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spacing w:after="0" w:line="7" w:lineRule="exact"/>
        <w:rPr>
          <w:rFonts w:ascii="Arial" w:cs="Arial" w:eastAsia="Arial" w:hAnsi="Arial"/>
          <w:sz w:val="14"/>
          <w:szCs w:val="14"/>
          <w:color w:val="auto"/>
        </w:rPr>
      </w:pPr>
    </w:p>
    <w:p>
      <w:pPr>
        <w:ind w:left="360" w:right="20" w:hanging="339"/>
        <w:spacing w:after="0" w:line="228" w:lineRule="auto"/>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360" w:right="420" w:hanging="339"/>
        <w:spacing w:after="0" w:line="231" w:lineRule="auto"/>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160" w:hanging="339"/>
        <w:spacing w:after="0" w:line="228" w:lineRule="auto"/>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360" w:hanging="339"/>
        <w:spacing w:after="0"/>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Portfolio company was transferred to Non-control/Non-affiliate investments from Affiliate investments during the twelve months ended December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58"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158"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include quoted prices for similar assets in active markets, or that are quoted prices for identical or similar assets in markets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active and inputs that are observable, either directly or indirectly, for substantially the full term, if applicable, of the investment.</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158" w:lineRule="exact"/>
        <w:rPr>
          <w:sz w:val="20"/>
          <w:szCs w:val="20"/>
          <w:color w:val="auto"/>
        </w:rPr>
      </w:pPr>
    </w:p>
    <w:p>
      <w:pPr>
        <w:jc w:val="both"/>
        <w:ind w:firstLine="478"/>
        <w:spacing w:after="0" w:line="237" w:lineRule="auto"/>
        <w:rPr>
          <w:sz w:val="20"/>
          <w:szCs w:val="20"/>
          <w:color w:val="auto"/>
        </w:rPr>
      </w:pPr>
      <w:r>
        <w:rPr>
          <w:rFonts w:ascii="Arial" w:cs="Arial" w:eastAsia="Arial" w:hAnsi="Arial"/>
          <w:sz w:val="18"/>
          <w:szCs w:val="18"/>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3" w:name="page104"/>
    <w:bookmarkEnd w:id="103"/>
    <w:p>
      <w:pPr>
        <w:jc w:val="both"/>
        <w:spacing w:after="0" w:line="270" w:lineRule="auto"/>
        <w:rPr>
          <w:sz w:val="20"/>
          <w:szCs w:val="20"/>
          <w:color w:val="auto"/>
        </w:rPr>
      </w:pPr>
      <w:r>
        <w:rPr>
          <w:rFonts w:ascii="Arial" w:cs="Arial" w:eastAsia="Arial" w:hAnsi="Arial"/>
          <w:sz w:val="17"/>
          <w:szCs w:val="17"/>
          <w:color w:val="auto"/>
        </w:rPr>
        <w:t>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10"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157" w:lineRule="exact"/>
        <w:rPr>
          <w:sz w:val="20"/>
          <w:szCs w:val="20"/>
          <w:color w:val="auto"/>
        </w:rPr>
      </w:pPr>
    </w:p>
    <w:p>
      <w:pPr>
        <w:ind w:left="1060" w:right="40" w:hanging="526"/>
        <w:spacing w:after="0" w:line="235" w:lineRule="auto"/>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175"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investment committee of the Investment Advisor;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60" w:right="40" w:hanging="526"/>
        <w:spacing w:after="0" w:line="212" w:lineRule="auto"/>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178" w:lineRule="exact"/>
        <w:rPr>
          <w:rFonts w:ascii="Arial" w:cs="Arial" w:eastAsia="Arial" w:hAnsi="Arial"/>
          <w:sz w:val="18"/>
          <w:szCs w:val="18"/>
          <w:color w:val="auto"/>
        </w:rPr>
      </w:pPr>
    </w:p>
    <w:p>
      <w:pPr>
        <w:ind w:left="1060" w:right="40" w:hanging="526"/>
        <w:spacing w:after="0" w:line="235" w:lineRule="auto"/>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175" w:lineRule="exact"/>
        <w:rPr>
          <w:rFonts w:ascii="Arial" w:cs="Arial" w:eastAsia="Arial" w:hAnsi="Arial"/>
          <w:sz w:val="18"/>
          <w:szCs w:val="18"/>
          <w:color w:val="auto"/>
        </w:rPr>
      </w:pPr>
    </w:p>
    <w:p>
      <w:pPr>
        <w:ind w:left="1060" w:right="40" w:hanging="526"/>
        <w:spacing w:after="0" w:line="235" w:lineRule="auto"/>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337"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28"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07"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28" w:lineRule="exact"/>
        <w:rPr>
          <w:sz w:val="20"/>
          <w:szCs w:val="20"/>
          <w:color w:val="auto"/>
        </w:rPr>
      </w:pPr>
    </w:p>
    <w:p>
      <w:pPr>
        <w:jc w:val="both"/>
        <w:ind w:firstLine="478"/>
        <w:spacing w:after="0" w:line="265" w:lineRule="auto"/>
        <w:rPr>
          <w:sz w:val="20"/>
          <w:szCs w:val="20"/>
          <w:color w:val="auto"/>
        </w:rPr>
      </w:pPr>
      <w:r>
        <w:rPr>
          <w:rFonts w:ascii="Arial" w:cs="Arial" w:eastAsia="Arial" w:hAnsi="Arial"/>
          <w:sz w:val="16"/>
          <w:szCs w:val="16"/>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4" w:name="page105"/>
    <w:bookmarkEnd w:id="104"/>
    <w:p>
      <w:pPr>
        <w:jc w:val="both"/>
        <w:ind w:firstLine="478"/>
        <w:spacing w:after="0" w:line="239" w:lineRule="auto"/>
        <w:rPr>
          <w:sz w:val="20"/>
          <w:szCs w:val="20"/>
          <w:color w:val="auto"/>
        </w:rPr>
      </w:pPr>
      <w:r>
        <w:rPr>
          <w:rFonts w:ascii="Arial" w:cs="Arial" w:eastAsia="Arial" w:hAnsi="Arial"/>
          <w:sz w:val="18"/>
          <w:szCs w:val="18"/>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37"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21" w:lineRule="exact"/>
        <w:rPr>
          <w:sz w:val="20"/>
          <w:szCs w:val="20"/>
          <w:color w:val="auto"/>
        </w:rPr>
      </w:pPr>
    </w:p>
    <w:p>
      <w:pPr>
        <w:jc w:val="both"/>
        <w:ind w:right="20" w:firstLine="478"/>
        <w:spacing w:after="0" w:line="248"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one and no transfers among Levels 1, 2, and 3 during the years ended December 31, 2021 and 2020, respectively.</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present fair value measurements of investments according to the fair value hierarchy: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w w:val="91"/>
              </w:rPr>
              <w:t>December 31, 2021</w:t>
            </w: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3"/>
        </w:trPr>
        <w:tc>
          <w:tcPr>
            <w:tcW w:w="29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60" w:type="dxa"/>
            <w:vAlign w:val="bottom"/>
            <w:tcBorders>
              <w:bottom w:val="single" w:sz="8" w:color="auto"/>
            </w:tcBorders>
          </w:tcPr>
          <w:p>
            <w:pPr>
              <w:ind w:left="460"/>
              <w:spacing w:after="0" w:line="183" w:lineRule="exact"/>
              <w:rPr>
                <w:sz w:val="20"/>
                <w:szCs w:val="20"/>
                <w:color w:val="auto"/>
              </w:rPr>
            </w:pPr>
            <w:r>
              <w:rPr>
                <w:rFonts w:ascii="Arial" w:cs="Arial" w:eastAsia="Arial" w:hAnsi="Arial"/>
                <w:sz w:val="16"/>
                <w:szCs w:val="16"/>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Borders>
              <w:bottom w:val="single" w:sz="8" w:color="auto"/>
            </w:tcBorders>
          </w:tcPr>
          <w:p>
            <w:pPr>
              <w:ind w:left="460"/>
              <w:spacing w:after="0" w:line="183" w:lineRule="exact"/>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95"/>
              </w:rPr>
              <w:t>Level 3</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5"/>
                <w:szCs w:val="15"/>
                <w:color w:val="auto"/>
              </w:rPr>
            </w:pPr>
          </w:p>
        </w:tc>
      </w:tr>
      <w:tr>
        <w:trPr>
          <w:trHeight w:val="183"/>
        </w:trPr>
        <w:tc>
          <w:tcPr>
            <w:tcW w:w="29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First Lien Debt</w:t>
            </w:r>
          </w:p>
        </w:tc>
        <w:tc>
          <w:tcPr>
            <w:tcW w:w="1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ind w:left="1240"/>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354,922</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354,922</w:t>
            </w:r>
          </w:p>
        </w:tc>
        <w:tc>
          <w:tcPr>
            <w:tcW w:w="220" w:type="dxa"/>
            <w:vAlign w:val="bottom"/>
            <w:shd w:val="clear" w:color="auto" w:fill="CFF0FC"/>
          </w:tcPr>
          <w:p>
            <w:pPr>
              <w:spacing w:after="0"/>
              <w:rPr>
                <w:sz w:val="15"/>
                <w:szCs w:val="15"/>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Second Lien Debt</w:t>
            </w:r>
          </w:p>
        </w:tc>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20" w:type="dxa"/>
            <w:vAlign w:val="bottom"/>
          </w:tcPr>
          <w:p>
            <w:pPr>
              <w:ind w:left="12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158,815</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158,815</w:t>
            </w:r>
          </w:p>
        </w:tc>
        <w:tc>
          <w:tcPr>
            <w:tcW w:w="220" w:type="dxa"/>
            <w:vAlign w:val="bottom"/>
          </w:tcPr>
          <w:p>
            <w:pPr>
              <w:spacing w:after="0"/>
              <w:rPr>
                <w:sz w:val="16"/>
                <w:szCs w:val="16"/>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Subordinated Debt</w:t>
            </w:r>
          </w:p>
        </w:tc>
        <w:tc>
          <w:tcPr>
            <w:tcW w:w="17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ind w:left="12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36,064</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36,064</w:t>
            </w:r>
          </w:p>
        </w:tc>
        <w:tc>
          <w:tcPr>
            <w:tcW w:w="220" w:type="dxa"/>
            <w:vAlign w:val="bottom"/>
            <w:shd w:val="clear" w:color="auto" w:fill="CFF0FC"/>
          </w:tcPr>
          <w:p>
            <w:pPr>
              <w:spacing w:after="0"/>
              <w:rPr>
                <w:sz w:val="16"/>
                <w:szCs w:val="16"/>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Equity</w:t>
            </w:r>
          </w:p>
        </w:tc>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357</w:t>
            </w:r>
          </w:p>
        </w:tc>
        <w:tc>
          <w:tcPr>
            <w:tcW w:w="240" w:type="dxa"/>
            <w:vAlign w:val="bottom"/>
          </w:tcPr>
          <w:p>
            <w:pPr>
              <w:spacing w:after="0"/>
              <w:rPr>
                <w:sz w:val="16"/>
                <w:szCs w:val="16"/>
                <w:color w:val="auto"/>
              </w:rPr>
            </w:pPr>
          </w:p>
        </w:tc>
        <w:tc>
          <w:tcPr>
            <w:tcW w:w="1420" w:type="dxa"/>
            <w:vAlign w:val="bottom"/>
          </w:tcPr>
          <w:p>
            <w:pPr>
              <w:ind w:left="12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165,762</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166,119</w:t>
            </w:r>
          </w:p>
        </w:tc>
        <w:tc>
          <w:tcPr>
            <w:tcW w:w="220" w:type="dxa"/>
            <w:vAlign w:val="bottom"/>
          </w:tcPr>
          <w:p>
            <w:pPr>
              <w:spacing w:after="0"/>
              <w:rPr>
                <w:sz w:val="16"/>
                <w:szCs w:val="16"/>
                <w:color w:val="auto"/>
              </w:rPr>
            </w:pPr>
          </w:p>
        </w:tc>
      </w:tr>
      <w:tr>
        <w:trPr>
          <w:trHeight w:val="189"/>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Warrants</w:t>
            </w:r>
          </w:p>
        </w:tc>
        <w:tc>
          <w:tcPr>
            <w:tcW w:w="17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ind w:left="124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3,204</w:t>
            </w:r>
          </w:p>
        </w:tc>
        <w:tc>
          <w:tcPr>
            <w:tcW w:w="22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3,204</w:t>
            </w:r>
          </w:p>
        </w:tc>
        <w:tc>
          <w:tcPr>
            <w:tcW w:w="220" w:type="dxa"/>
            <w:vAlign w:val="bottom"/>
            <w:tcBorders>
              <w:bottom w:val="single" w:sz="8" w:color="CFF0FC"/>
            </w:tcBorders>
            <w:shd w:val="clear" w:color="auto" w:fill="CFF0FC"/>
          </w:tcPr>
          <w:p>
            <w:pPr>
              <w:spacing w:after="0"/>
              <w:rPr>
                <w:sz w:val="16"/>
                <w:szCs w:val="16"/>
                <w:color w:val="auto"/>
              </w:rPr>
            </w:pPr>
          </w:p>
        </w:tc>
      </w:tr>
      <w:tr>
        <w:trPr>
          <w:trHeight w:val="183"/>
        </w:trPr>
        <w:tc>
          <w:tcPr>
            <w:tcW w:w="2920" w:type="dxa"/>
            <w:vAlign w:val="bottom"/>
          </w:tcPr>
          <w:p>
            <w:pPr>
              <w:ind w:left="20"/>
              <w:spacing w:after="0" w:line="169" w:lineRule="exact"/>
              <w:rPr>
                <w:sz w:val="20"/>
                <w:szCs w:val="20"/>
                <w:color w:val="auto"/>
              </w:rPr>
            </w:pPr>
            <w:r>
              <w:rPr>
                <w:rFonts w:ascii="Arial" w:cs="Arial" w:eastAsia="Arial" w:hAnsi="Arial"/>
                <w:sz w:val="16"/>
                <w:szCs w:val="16"/>
                <w:color w:val="auto"/>
              </w:rPr>
              <w:t>Total</w:t>
            </w:r>
          </w:p>
        </w:tc>
        <w:tc>
          <w:tcPr>
            <w:tcW w:w="17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357</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ind w:left="1240"/>
              <w:spacing w:after="0" w:line="169" w:lineRule="exact"/>
              <w:rPr>
                <w:sz w:val="20"/>
                <w:szCs w:val="20"/>
                <w:color w:val="auto"/>
              </w:rPr>
            </w:pPr>
            <w:r>
              <w:rPr>
                <w:rFonts w:ascii="Arial" w:cs="Arial" w:eastAsia="Arial" w:hAnsi="Arial"/>
                <w:sz w:val="16"/>
                <w:szCs w:val="16"/>
                <w:color w:val="auto"/>
                <w:w w:val="99"/>
              </w:rPr>
              <w:t>—</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718,767</w:t>
            </w:r>
          </w:p>
        </w:tc>
        <w:tc>
          <w:tcPr>
            <w:tcW w:w="2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719,124</w:t>
            </w:r>
          </w:p>
        </w:tc>
        <w:tc>
          <w:tcPr>
            <w:tcW w:w="220" w:type="dxa"/>
            <w:vAlign w:val="bottom"/>
          </w:tcPr>
          <w:p>
            <w:pPr>
              <w:spacing w:after="0"/>
              <w:rPr>
                <w:sz w:val="15"/>
                <w:szCs w:val="15"/>
                <w:color w:val="auto"/>
              </w:rPr>
            </w:pPr>
          </w:p>
        </w:tc>
      </w:tr>
      <w:tr>
        <w:trPr>
          <w:trHeight w:val="20"/>
        </w:trPr>
        <w:tc>
          <w:tcPr>
            <w:tcW w:w="2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-150495</wp:posOffset>
            </wp:positionV>
            <wp:extent cx="43180" cy="1511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3180" cy="1511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-150495</wp:posOffset>
            </wp:positionV>
            <wp:extent cx="43180" cy="1511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3180" cy="15113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-150495</wp:posOffset>
            </wp:positionV>
            <wp:extent cx="34290" cy="1511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15113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-150495</wp:posOffset>
            </wp:positionV>
            <wp:extent cx="34290" cy="1511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15113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w w:val="91"/>
              </w:rPr>
              <w:t>December 31, 2020</w:t>
            </w: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920" w:type="dxa"/>
            <w:vAlign w:val="bottom"/>
            <w:vMerge w:val="restart"/>
          </w:tcPr>
          <w:p>
            <w:pPr>
              <w:ind w:left="20"/>
              <w:spacing w:after="0"/>
              <w:rPr>
                <w:sz w:val="20"/>
                <w:szCs w:val="20"/>
                <w:color w:val="auto"/>
              </w:rPr>
            </w:pPr>
            <w:r>
              <w:rPr>
                <w:rFonts w:ascii="Arial" w:cs="Arial" w:eastAsia="Arial" w:hAnsi="Arial"/>
                <w:sz w:val="16"/>
                <w:szCs w:val="16"/>
                <w:color w:val="auto"/>
              </w:rPr>
              <w:t>First Lien Debt</w:t>
            </w: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460"/>
              <w:spacing w:after="0" w:line="183" w:lineRule="exact"/>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ind w:left="460"/>
              <w:spacing w:after="0" w:line="183" w:lineRule="exact"/>
              <w:rPr>
                <w:sz w:val="20"/>
                <w:szCs w:val="20"/>
                <w:color w:val="auto"/>
              </w:rPr>
            </w:pPr>
            <w:r>
              <w:rPr>
                <w:rFonts w:ascii="Arial" w:cs="Arial" w:eastAsia="Arial" w:hAnsi="Arial"/>
                <w:sz w:val="16"/>
                <w:szCs w:val="16"/>
                <w:b w:val="1"/>
                <w:bCs w:val="1"/>
                <w:color w:val="auto"/>
              </w:rPr>
              <w:t>Level 2</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95"/>
              </w:rPr>
              <w:t>Level 3</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ind w:left="140"/>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vMerge w:val="continue"/>
          </w:tcPr>
          <w:p>
            <w:pPr>
              <w:spacing w:after="0"/>
              <w:rPr>
                <w:sz w:val="15"/>
                <w:szCs w:val="15"/>
                <w:color w:val="auto"/>
              </w:rPr>
            </w:pPr>
          </w:p>
        </w:tc>
        <w:tc>
          <w:tcPr>
            <w:tcW w:w="1420" w:type="dxa"/>
            <w:vAlign w:val="bottom"/>
          </w:tcPr>
          <w:p>
            <w:pPr>
              <w:ind w:left="1240"/>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187,353</w:t>
            </w:r>
          </w:p>
        </w:tc>
        <w:tc>
          <w:tcPr>
            <w:tcW w:w="220" w:type="dxa"/>
            <w:vAlign w:val="bottom"/>
            <w:vMerge w:val="continue"/>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187,353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Second Lien Debt</w:t>
            </w:r>
          </w:p>
        </w:tc>
        <w:tc>
          <w:tcPr>
            <w:tcW w:w="17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ind w:left="12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332,154</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332,154</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Subordinated Debt</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6"/>
                <w:szCs w:val="16"/>
                <w:color w:val="auto"/>
              </w:rPr>
            </w:pPr>
          </w:p>
        </w:tc>
        <w:tc>
          <w:tcPr>
            <w:tcW w:w="1420" w:type="dxa"/>
            <w:vAlign w:val="bottom"/>
          </w:tcPr>
          <w:p>
            <w:pPr>
              <w:ind w:left="12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107,911</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107,911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w:t>
            </w:r>
          </w:p>
        </w:tc>
        <w:tc>
          <w:tcPr>
            <w:tcW w:w="17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ind w:left="12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112,836</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112,836</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Warrants</w:t>
            </w:r>
          </w:p>
        </w:tc>
        <w:tc>
          <w:tcPr>
            <w:tcW w:w="17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6"/>
                <w:szCs w:val="16"/>
                <w:color w:val="auto"/>
              </w:rPr>
            </w:pPr>
          </w:p>
        </w:tc>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Total</w:t>
            </w:r>
          </w:p>
        </w:tc>
        <w:tc>
          <w:tcPr>
            <w:tcW w:w="17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140"/>
              <w:spacing w:after="0" w:line="169" w:lineRule="exact"/>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ind w:left="1240"/>
              <w:spacing w:after="0" w:line="169" w:lineRule="exact"/>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742,869</w:t>
            </w:r>
          </w:p>
        </w:tc>
        <w:tc>
          <w:tcPr>
            <w:tcW w:w="22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742,869</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431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431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431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431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342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342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342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342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both"/>
        <w:ind w:right="20" w:firstLine="478"/>
        <w:spacing w:after="0" w:line="261"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years ended December 31, 2021 and 2020:</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First Lien</w:t>
            </w:r>
          </w:p>
        </w:tc>
        <w:tc>
          <w:tcPr>
            <w:tcW w:w="120" w:type="dxa"/>
            <w:vAlign w:val="bottom"/>
          </w:tcPr>
          <w:p>
            <w:pPr>
              <w:spacing w:after="0"/>
              <w:rPr>
                <w:sz w:val="16"/>
                <w:szCs w:val="16"/>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0"/>
              </w:rPr>
              <w:t>Second Lien</w:t>
            </w:r>
          </w:p>
        </w:tc>
        <w:tc>
          <w:tcPr>
            <w:tcW w:w="160" w:type="dxa"/>
            <w:vAlign w:val="bottom"/>
          </w:tcPr>
          <w:p>
            <w:pPr>
              <w:spacing w:after="0"/>
              <w:rPr>
                <w:sz w:val="16"/>
                <w:szCs w:val="16"/>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4"/>
              </w:rPr>
              <w:t>Subordinated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Debt</w:t>
            </w:r>
          </w:p>
        </w:tc>
        <w:tc>
          <w:tcPr>
            <w:tcW w:w="160" w:type="dxa"/>
            <w:vAlign w:val="bottom"/>
          </w:tcPr>
          <w:p>
            <w:pPr>
              <w:spacing w:after="0"/>
              <w:rPr>
                <w:sz w:val="17"/>
                <w:szCs w:val="17"/>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Debt</w:t>
            </w:r>
          </w:p>
        </w:tc>
        <w:tc>
          <w:tcPr>
            <w:tcW w:w="14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5"/>
              </w:rPr>
              <w:t>Warrants</w:t>
            </w:r>
          </w:p>
        </w:tc>
        <w:tc>
          <w:tcPr>
            <w:tcW w:w="1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36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December 31, 2019</w:t>
            </w: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108,327</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383,077</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140,843</w:t>
            </w:r>
          </w:p>
        </w:tc>
        <w:tc>
          <w:tcPr>
            <w:tcW w:w="2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126,564</w:t>
            </w: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8,108</w:t>
            </w: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766,919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Net realized gains (losses) on investments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(35,227 )</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32,392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(968 )</w:t>
            </w:r>
          </w:p>
        </w:tc>
        <w:tc>
          <w:tcPr>
            <w:tcW w:w="0" w:type="dxa"/>
            <w:vAlign w:val="bottom"/>
          </w:tcPr>
          <w:p>
            <w:pPr>
              <w:spacing w:after="0"/>
              <w:rPr>
                <w:sz w:val="1"/>
                <w:szCs w:val="1"/>
                <w:color w:val="auto"/>
              </w:rPr>
            </w:pPr>
          </w:p>
        </w:tc>
      </w:tr>
      <w:tr>
        <w:trPr>
          <w:trHeight w:val="152"/>
        </w:trPr>
        <w:tc>
          <w:tcPr>
            <w:tcW w:w="366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w w:val="92"/>
              </w:rPr>
              <w:t>Net change in unrealized appreciation (depreciation) on</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(674 )</w:t>
            </w:r>
          </w:p>
        </w:tc>
        <w:tc>
          <w:tcPr>
            <w:tcW w:w="1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(5,595 )</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(2,863 )</w:t>
            </w:r>
          </w:p>
        </w:tc>
        <w:tc>
          <w:tcPr>
            <w:tcW w:w="18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(6,578 )</w:t>
            </w:r>
          </w:p>
        </w:tc>
        <w:tc>
          <w:tcPr>
            <w:tcW w:w="0" w:type="dxa"/>
            <w:vAlign w:val="bottom"/>
          </w:tcPr>
          <w:p>
            <w:pPr>
              <w:spacing w:after="0"/>
              <w:rPr>
                <w:sz w:val="1"/>
                <w:szCs w:val="1"/>
                <w:color w:val="auto"/>
              </w:rPr>
            </w:pPr>
          </w:p>
        </w:tc>
      </w:tr>
      <w:tr>
        <w:trPr>
          <w:trHeight w:val="19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Purchase of investments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109,901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54,900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10,695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189,996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Proceeds from sales and repayments of investments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(32,260 )</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(74,465 )</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(48,326 )</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(51,223 )</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(4,500 )</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(210,774 )</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Interest and dividend income paid-in-kind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4,088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loan origination fees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(1,489 )</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(278 )</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(260 )</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(2,027 )</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Accretion of loan origination fees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of original issue discount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Transfers in/(out) of Level 3</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December 31, 2020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187,353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332,154</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107,911</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112,836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2,615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742,869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Net realized gains (losses) on investments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55,779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55,808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w w:val="92"/>
              </w:rPr>
              <w:t>Net change in unrealized appreciation (depreciation) on</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(1,152 )</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(499 )</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42,652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41,496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Purchase of investments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244,596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72,181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346,737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Proceeds from sales and repayments of investments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(75,124 )</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(250,662 )</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(88,384 )</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(58,583 )</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(29 )</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(472,782 )</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Interest and dividend income paid-in-kind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loan origination fees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(2,322 )</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(213 )</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(135 )</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(2,670 )</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Accretion of loan origination fees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of original issue discount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Transfers in/(out) of Level 3 </w:t>
            </w:r>
            <w:r>
              <w:rPr>
                <w:rFonts w:ascii="Arial" w:cs="Arial" w:eastAsia="Arial" w:hAnsi="Arial"/>
                <w:sz w:val="21"/>
                <w:szCs w:val="21"/>
                <w:color w:val="auto"/>
                <w:vertAlign w:val="superscript"/>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(357 )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(357 )</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Balance, December 31, 2021</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354,922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158,815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36,064</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165,762</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3,204</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718,767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-24765</wp:posOffset>
            </wp:positionV>
            <wp:extent cx="514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514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5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514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514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514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431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431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431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431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ind w:left="360" w:hanging="339"/>
        <w:spacing w:after="0"/>
        <w:tabs>
          <w:tab w:leader="none" w:pos="3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Transfers out of Level 3 were as a result of changes in the observability of significant inputs or available market data for certain portfolio companies.</w:t>
      </w:r>
    </w:p>
    <w:p>
      <w:pPr>
        <w:spacing w:after="0" w:line="162"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Net change in unrealized appreciation/(depreciation) of $46,340 and $(6,559) for the years ended December 31, 2021 and 2020, respectively, was attributable to Level 3 investments held at December 31, 2021 and 2020, respectively.</w:t>
      </w:r>
    </w:p>
    <w:p>
      <w:pPr>
        <w:spacing w:after="0" w:line="117" w:lineRule="exact"/>
        <w:rPr>
          <w:sz w:val="20"/>
          <w:szCs w:val="20"/>
          <w:color w:val="auto"/>
        </w:rPr>
      </w:pPr>
    </w:p>
    <w:p>
      <w:pPr>
        <w:jc w:val="both"/>
        <w:ind w:right="20" w:firstLine="478"/>
        <w:spacing w:after="0" w:line="241"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December 31, 2021 and 2020. The tables are not intended to be all-inclusive, but instead capture the significant unobservable inputs relevant to the Company’s determination of fair values.</w:t>
      </w:r>
    </w:p>
    <w:tbl>
      <w:tblPr>
        <w:tblLayout w:type="fixed"/>
        <w:tblInd w:w="0" w:type="dxa"/>
        <w:tblCellMar>
          <w:top w:w="0" w:type="dxa"/>
          <w:left w:w="0" w:type="dxa"/>
          <w:bottom w:w="0" w:type="dxa"/>
          <w:right w:w="0" w:type="dxa"/>
        </w:tblCellMar>
      </w:tblPr>
      <w:tr>
        <w:trPr>
          <w:trHeight w:val="147"/>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right"/>
              <w:ind w:right="319"/>
              <w:spacing w:after="0" w:line="147" w:lineRule="exact"/>
              <w:rPr>
                <w:sz w:val="20"/>
                <w:szCs w:val="20"/>
                <w:color w:val="auto"/>
              </w:rPr>
            </w:pPr>
            <w:r>
              <w:rPr>
                <w:rFonts w:ascii="Arial" w:cs="Arial" w:eastAsia="Arial" w:hAnsi="Arial"/>
                <w:sz w:val="16"/>
                <w:szCs w:val="16"/>
                <w:b w:val="1"/>
                <w:bCs w:val="1"/>
                <w:color w:val="auto"/>
              </w:rPr>
              <w:t>Fair Value at</w:t>
            </w:r>
          </w:p>
        </w:tc>
        <w:tc>
          <w:tcPr>
            <w:tcW w:w="200" w:type="dxa"/>
            <w:vAlign w:val="bottom"/>
          </w:tcPr>
          <w:p>
            <w:pPr>
              <w:spacing w:after="0"/>
              <w:rPr>
                <w:sz w:val="12"/>
                <w:szCs w:val="12"/>
                <w:color w:val="auto"/>
              </w:rPr>
            </w:pPr>
          </w:p>
        </w:tc>
        <w:tc>
          <w:tcPr>
            <w:tcW w:w="1880" w:type="dxa"/>
            <w:vAlign w:val="bottom"/>
          </w:tcPr>
          <w:p>
            <w:pPr>
              <w:ind w:left="620"/>
              <w:spacing w:after="0" w:line="147" w:lineRule="exact"/>
              <w:rPr>
                <w:sz w:val="20"/>
                <w:szCs w:val="20"/>
                <w:color w:val="auto"/>
              </w:rPr>
            </w:pPr>
            <w:r>
              <w:rPr>
                <w:rFonts w:ascii="Arial" w:cs="Arial" w:eastAsia="Arial" w:hAnsi="Arial"/>
                <w:sz w:val="16"/>
                <w:szCs w:val="16"/>
                <w:b w:val="1"/>
                <w:bCs w:val="1"/>
                <w:color w:val="auto"/>
              </w:rPr>
              <w:t>Valuation</w:t>
            </w:r>
          </w:p>
        </w:tc>
        <w:tc>
          <w:tcPr>
            <w:tcW w:w="160" w:type="dxa"/>
            <w:vAlign w:val="bottom"/>
          </w:tcPr>
          <w:p>
            <w:pPr>
              <w:spacing w:after="0"/>
              <w:rPr>
                <w:sz w:val="12"/>
                <w:szCs w:val="12"/>
                <w:color w:val="auto"/>
              </w:rPr>
            </w:pPr>
          </w:p>
        </w:tc>
        <w:tc>
          <w:tcPr>
            <w:tcW w:w="2780" w:type="dxa"/>
            <w:vAlign w:val="bottom"/>
          </w:tcPr>
          <w:p>
            <w:pPr>
              <w:ind w:left="900"/>
              <w:spacing w:after="0" w:line="147" w:lineRule="exact"/>
              <w:rPr>
                <w:sz w:val="20"/>
                <w:szCs w:val="20"/>
                <w:color w:val="auto"/>
              </w:rPr>
            </w:pPr>
            <w:r>
              <w:rPr>
                <w:rFonts w:ascii="Arial" w:cs="Arial" w:eastAsia="Arial" w:hAnsi="Arial"/>
                <w:sz w:val="16"/>
                <w:szCs w:val="16"/>
                <w:b w:val="1"/>
                <w:bCs w:val="1"/>
                <w:color w:val="auto"/>
              </w:rPr>
              <w:t>Unobservable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ind w:left="400"/>
              <w:spacing w:after="0" w:line="147" w:lineRule="exact"/>
              <w:rPr>
                <w:sz w:val="20"/>
                <w:szCs w:val="20"/>
                <w:color w:val="auto"/>
              </w:rPr>
            </w:pPr>
            <w:r>
              <w:rPr>
                <w:rFonts w:ascii="Arial" w:cs="Arial" w:eastAsia="Arial" w:hAnsi="Arial"/>
                <w:sz w:val="16"/>
                <w:szCs w:val="16"/>
                <w:b w:val="1"/>
                <w:bCs w:val="1"/>
                <w:color w:val="auto"/>
              </w:rPr>
              <w:t>Range</w:t>
            </w:r>
          </w:p>
        </w:tc>
      </w:tr>
      <w:tr>
        <w:trPr>
          <w:trHeight w:val="229"/>
        </w:trPr>
        <w:tc>
          <w:tcPr>
            <w:tcW w:w="2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December 31, 2021</w:t>
            </w:r>
          </w:p>
        </w:tc>
        <w:tc>
          <w:tcPr>
            <w:tcW w:w="200" w:type="dxa"/>
            <w:vAlign w:val="bottom"/>
          </w:tcPr>
          <w:p>
            <w:pPr>
              <w:spacing w:after="0"/>
              <w:rPr>
                <w:sz w:val="19"/>
                <w:szCs w:val="19"/>
                <w:color w:val="auto"/>
              </w:rPr>
            </w:pPr>
          </w:p>
        </w:tc>
        <w:tc>
          <w:tcPr>
            <w:tcW w:w="18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Techniques</w:t>
            </w:r>
          </w:p>
        </w:tc>
        <w:tc>
          <w:tcPr>
            <w:tcW w:w="160" w:type="dxa"/>
            <w:vAlign w:val="bottom"/>
          </w:tcPr>
          <w:p>
            <w:pPr>
              <w:spacing w:after="0"/>
              <w:rPr>
                <w:sz w:val="19"/>
                <w:szCs w:val="19"/>
                <w:color w:val="auto"/>
              </w:rPr>
            </w:pPr>
          </w:p>
        </w:tc>
        <w:tc>
          <w:tcPr>
            <w:tcW w:w="278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Inputs</w:t>
            </w:r>
          </w:p>
        </w:tc>
        <w:tc>
          <w:tcPr>
            <w:tcW w:w="140" w:type="dxa"/>
            <w:vAlign w:val="bottom"/>
          </w:tcPr>
          <w:p>
            <w:pPr>
              <w:spacing w:after="0"/>
              <w:rPr>
                <w:sz w:val="19"/>
                <w:szCs w:val="19"/>
                <w:color w:val="auto"/>
              </w:rPr>
            </w:pPr>
          </w:p>
        </w:tc>
        <w:tc>
          <w:tcPr>
            <w:tcW w:w="1880" w:type="dxa"/>
            <w:vAlign w:val="bottom"/>
            <w:tcBorders>
              <w:bottom w:val="single" w:sz="8" w:color="auto"/>
            </w:tcBorders>
            <w:gridSpan w:val="2"/>
          </w:tcPr>
          <w:p>
            <w:pPr>
              <w:ind w:left="220"/>
              <w:spacing w:after="0" w:line="230" w:lineRule="exact"/>
              <w:rPr>
                <w:sz w:val="20"/>
                <w:szCs w:val="20"/>
                <w:color w:val="auto"/>
              </w:rPr>
            </w:pPr>
            <w:r>
              <w:rPr>
                <w:rFonts w:ascii="Arial" w:cs="Arial" w:eastAsia="Arial" w:hAnsi="Arial"/>
                <w:sz w:val="16"/>
                <w:szCs w:val="16"/>
                <w:b w:val="1"/>
                <w:bCs w:val="1"/>
                <w:color w:val="auto"/>
              </w:rPr>
              <w:t>(weighted average)</w:t>
            </w:r>
            <w:r>
              <w:rPr>
                <w:rFonts w:ascii="Arial" w:cs="Arial" w:eastAsia="Arial" w:hAnsi="Arial"/>
                <w:sz w:val="21"/>
                <w:szCs w:val="21"/>
                <w:b w:val="1"/>
                <w:bCs w:val="1"/>
                <w:color w:val="auto"/>
                <w:vertAlign w:val="superscript"/>
              </w:rPr>
              <w:t>(1)</w:t>
            </w:r>
          </w:p>
        </w:tc>
      </w:tr>
      <w:tr>
        <w:trPr>
          <w:trHeight w:val="183"/>
        </w:trPr>
        <w:tc>
          <w:tcPr>
            <w:tcW w:w="25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Debt investments:</w:t>
            </w: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r>
      <w:tr>
        <w:trPr>
          <w:trHeight w:val="189"/>
        </w:trPr>
        <w:tc>
          <w:tcPr>
            <w:tcW w:w="2520" w:type="dxa"/>
            <w:vAlign w:val="bottom"/>
          </w:tcPr>
          <w:p>
            <w:pPr>
              <w:ind w:left="200"/>
              <w:spacing w:after="0"/>
              <w:rPr>
                <w:sz w:val="20"/>
                <w:szCs w:val="20"/>
                <w:color w:val="auto"/>
              </w:rPr>
            </w:pPr>
            <w:r>
              <w:rPr>
                <w:rFonts w:ascii="Arial" w:cs="Arial" w:eastAsia="Arial" w:hAnsi="Arial"/>
                <w:sz w:val="16"/>
                <w:szCs w:val="16"/>
                <w:color w:val="auto"/>
              </w:rPr>
              <w:t>First Lien Debt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335,022</w:t>
            </w:r>
          </w:p>
        </w:tc>
        <w:tc>
          <w:tcPr>
            <w:tcW w:w="2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Discounted cash flow</w:t>
            </w:r>
          </w:p>
        </w:tc>
        <w:tc>
          <w:tcPr>
            <w:tcW w:w="1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Weighted average cost of capital</w:t>
            </w:r>
          </w:p>
        </w:tc>
        <w:tc>
          <w:tcPr>
            <w:tcW w:w="2020" w:type="dxa"/>
            <w:vAlign w:val="bottom"/>
            <w:gridSpan w:val="3"/>
          </w:tcPr>
          <w:p>
            <w:pPr>
              <w:ind w:left="160"/>
              <w:spacing w:after="0"/>
              <w:rPr>
                <w:sz w:val="20"/>
                <w:szCs w:val="20"/>
                <w:color w:val="auto"/>
              </w:rPr>
            </w:pPr>
            <w:r>
              <w:rPr>
                <w:rFonts w:ascii="Arial" w:cs="Arial" w:eastAsia="Arial" w:hAnsi="Arial"/>
                <w:sz w:val="16"/>
                <w:szCs w:val="16"/>
                <w:color w:val="auto"/>
              </w:rPr>
              <w:t>4.0% - 21.6% (12.2%)</w:t>
            </w:r>
          </w:p>
        </w:tc>
      </w:tr>
      <w:tr>
        <w:trPr>
          <w:trHeight w:val="189"/>
        </w:trPr>
        <w:tc>
          <w:tcPr>
            <w:tcW w:w="2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11,000</w:t>
            </w: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Asset Coverage</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1.2x</w:t>
            </w:r>
          </w:p>
        </w:tc>
        <w:tc>
          <w:tcPr>
            <w:tcW w:w="1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- 1.2x (1.2x)</w:t>
            </w:r>
          </w:p>
        </w:tc>
      </w:tr>
      <w:tr>
        <w:trPr>
          <w:trHeight w:val="189"/>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8,900</w:t>
            </w:r>
          </w:p>
        </w:tc>
        <w:tc>
          <w:tcPr>
            <w:tcW w:w="2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Revenue multiples</w:t>
            </w:r>
          </w:p>
        </w:tc>
        <w:tc>
          <w:tcPr>
            <w:tcW w:w="14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w w:val="92"/>
              </w:rPr>
              <w:t>4.5x</w:t>
            </w:r>
          </w:p>
        </w:tc>
        <w:tc>
          <w:tcPr>
            <w:tcW w:w="1560" w:type="dxa"/>
            <w:vAlign w:val="bottom"/>
          </w:tcPr>
          <w:p>
            <w:pPr>
              <w:ind w:left="20"/>
              <w:spacing w:after="0"/>
              <w:rPr>
                <w:sz w:val="20"/>
                <w:szCs w:val="20"/>
                <w:color w:val="auto"/>
              </w:rPr>
            </w:pPr>
            <w:r>
              <w:rPr>
                <w:rFonts w:ascii="Arial" w:cs="Arial" w:eastAsia="Arial" w:hAnsi="Arial"/>
                <w:sz w:val="16"/>
                <w:szCs w:val="16"/>
                <w:color w:val="auto"/>
              </w:rPr>
              <w:t>- 4.5x (4.5x)</w:t>
            </w:r>
          </w:p>
        </w:tc>
      </w:tr>
      <w:tr>
        <w:trPr>
          <w:trHeight w:val="189"/>
        </w:trPr>
        <w:tc>
          <w:tcPr>
            <w:tcW w:w="2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16"/>
                <w:szCs w:val="16"/>
                <w:color w:val="auto"/>
              </w:rPr>
            </w:pPr>
          </w:p>
        </w:tc>
        <w:tc>
          <w:tcPr>
            <w:tcW w:w="2020" w:type="dxa"/>
            <w:vAlign w:val="bottom"/>
            <w:gridSpan w:val="3"/>
            <w:shd w:val="clear" w:color="auto" w:fill="CFF0FC"/>
          </w:tcPr>
          <w:p>
            <w:pPr>
              <w:spacing w:after="0"/>
              <w:rPr>
                <w:sz w:val="16"/>
                <w:szCs w:val="16"/>
                <w:color w:val="auto"/>
              </w:rPr>
            </w:pPr>
          </w:p>
        </w:tc>
      </w:tr>
      <w:tr>
        <w:trPr>
          <w:trHeight w:val="189"/>
        </w:trPr>
        <w:tc>
          <w:tcPr>
            <w:tcW w:w="2520" w:type="dxa"/>
            <w:vAlign w:val="bottom"/>
          </w:tcPr>
          <w:p>
            <w:pPr>
              <w:ind w:left="200"/>
              <w:spacing w:after="0"/>
              <w:rPr>
                <w:sz w:val="20"/>
                <w:szCs w:val="20"/>
                <w:color w:val="auto"/>
              </w:rPr>
            </w:pPr>
            <w:r>
              <w:rPr>
                <w:rFonts w:ascii="Arial" w:cs="Arial" w:eastAsia="Arial" w:hAnsi="Arial"/>
                <w:sz w:val="16"/>
                <w:szCs w:val="16"/>
                <w:color w:val="auto"/>
              </w:rPr>
              <w:t>Second Lien Debt</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144,541</w:t>
            </w:r>
          </w:p>
        </w:tc>
        <w:tc>
          <w:tcPr>
            <w:tcW w:w="2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Discounted cash flow</w:t>
            </w:r>
          </w:p>
        </w:tc>
        <w:tc>
          <w:tcPr>
            <w:tcW w:w="1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Weighted average cost of capital</w:t>
            </w:r>
          </w:p>
        </w:tc>
        <w:tc>
          <w:tcPr>
            <w:tcW w:w="2020" w:type="dxa"/>
            <w:vAlign w:val="bottom"/>
            <w:gridSpan w:val="3"/>
          </w:tcPr>
          <w:p>
            <w:pPr>
              <w:ind w:left="160"/>
              <w:spacing w:after="0"/>
              <w:rPr>
                <w:sz w:val="20"/>
                <w:szCs w:val="20"/>
                <w:color w:val="auto"/>
              </w:rPr>
            </w:pPr>
            <w:r>
              <w:rPr>
                <w:rFonts w:ascii="Arial" w:cs="Arial" w:eastAsia="Arial" w:hAnsi="Arial"/>
                <w:sz w:val="16"/>
                <w:szCs w:val="16"/>
                <w:color w:val="auto"/>
              </w:rPr>
              <w:t>7.8% - 25.0% (14.4%)</w:t>
            </w:r>
          </w:p>
        </w:tc>
      </w:tr>
      <w:tr>
        <w:trPr>
          <w:trHeight w:val="189"/>
        </w:trPr>
        <w:tc>
          <w:tcPr>
            <w:tcW w:w="2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14,274</w:t>
            </w: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Asset Coverage</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1.0x</w:t>
            </w:r>
          </w:p>
        </w:tc>
        <w:tc>
          <w:tcPr>
            <w:tcW w:w="1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- 1.4x (1.4x)</w:t>
            </w:r>
          </w:p>
        </w:tc>
      </w:tr>
      <w:tr>
        <w:trPr>
          <w:trHeight w:val="189"/>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20" w:type="dxa"/>
            <w:vAlign w:val="bottom"/>
            <w:gridSpan w:val="3"/>
          </w:tcPr>
          <w:p>
            <w:pPr>
              <w:spacing w:after="0"/>
              <w:rPr>
                <w:sz w:val="16"/>
                <w:szCs w:val="16"/>
                <w:color w:val="auto"/>
              </w:rPr>
            </w:pPr>
          </w:p>
        </w:tc>
      </w:tr>
      <w:tr>
        <w:trPr>
          <w:trHeight w:val="189"/>
        </w:trPr>
        <w:tc>
          <w:tcPr>
            <w:tcW w:w="2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Subordinated Debt</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36,064</w:t>
            </w: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Discounted cash flow</w:t>
            </w: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cost of capital</w:t>
            </w:r>
          </w:p>
        </w:tc>
        <w:tc>
          <w:tcPr>
            <w:tcW w:w="202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10.0% - 13.5% (11.1%)</w:t>
            </w:r>
          </w:p>
        </w:tc>
      </w:tr>
      <w:tr>
        <w:trPr>
          <w:trHeight w:val="189"/>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2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 investments:</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189"/>
        </w:trPr>
        <w:tc>
          <w:tcPr>
            <w:tcW w:w="2520" w:type="dxa"/>
            <w:vAlign w:val="bottom"/>
          </w:tcPr>
          <w:p>
            <w:pPr>
              <w:ind w:left="200"/>
              <w:spacing w:after="0"/>
              <w:rPr>
                <w:sz w:val="20"/>
                <w:szCs w:val="20"/>
                <w:color w:val="auto"/>
              </w:rPr>
            </w:pPr>
            <w:r>
              <w:rPr>
                <w:rFonts w:ascii="Arial" w:cs="Arial" w:eastAsia="Arial" w:hAnsi="Arial"/>
                <w:sz w:val="16"/>
                <w:szCs w:val="16"/>
                <w:color w:val="auto"/>
              </w:rPr>
              <w:t>Equity</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162,681</w:t>
            </w:r>
          </w:p>
        </w:tc>
        <w:tc>
          <w:tcPr>
            <w:tcW w:w="2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EBITDA multiples</w:t>
            </w:r>
          </w:p>
        </w:tc>
        <w:tc>
          <w:tcPr>
            <w:tcW w:w="14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w w:val="92"/>
              </w:rPr>
              <w:t>3.5x</w:t>
            </w:r>
          </w:p>
        </w:tc>
        <w:tc>
          <w:tcPr>
            <w:tcW w:w="1560" w:type="dxa"/>
            <w:vAlign w:val="bottom"/>
          </w:tcPr>
          <w:p>
            <w:pPr>
              <w:ind w:left="20"/>
              <w:spacing w:after="0"/>
              <w:rPr>
                <w:sz w:val="20"/>
                <w:szCs w:val="20"/>
                <w:color w:val="auto"/>
              </w:rPr>
            </w:pPr>
            <w:r>
              <w:rPr>
                <w:rFonts w:ascii="Arial" w:cs="Arial" w:eastAsia="Arial" w:hAnsi="Arial"/>
                <w:sz w:val="16"/>
                <w:szCs w:val="16"/>
                <w:color w:val="auto"/>
              </w:rPr>
              <w:t>- 23.8x (8.2x)</w:t>
            </w:r>
          </w:p>
        </w:tc>
      </w:tr>
      <w:tr>
        <w:trPr>
          <w:trHeight w:val="189"/>
        </w:trPr>
        <w:tc>
          <w:tcPr>
            <w:tcW w:w="2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3,081</w:t>
            </w: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Revenue multiples</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3.5x</w:t>
            </w:r>
          </w:p>
        </w:tc>
        <w:tc>
          <w:tcPr>
            <w:tcW w:w="1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- 9.3x (6.2x)</w:t>
            </w:r>
          </w:p>
        </w:tc>
      </w:tr>
      <w:tr>
        <w:trPr>
          <w:trHeight w:val="189"/>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2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Warrants</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3,075</w:t>
            </w: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EBITDA multiples</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4.5x</w:t>
            </w:r>
          </w:p>
        </w:tc>
        <w:tc>
          <w:tcPr>
            <w:tcW w:w="1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- 6.0x (5.9x)</w:t>
            </w:r>
          </w:p>
        </w:tc>
      </w:tr>
      <w:tr>
        <w:trPr>
          <w:trHeight w:val="182"/>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spacing w:after="0" w:line="182" w:lineRule="exact"/>
              <w:rPr>
                <w:sz w:val="20"/>
                <w:szCs w:val="20"/>
                <w:color w:val="auto"/>
              </w:rPr>
            </w:pPr>
            <w:r>
              <w:rPr>
                <w:rFonts w:ascii="Arial" w:cs="Arial" w:eastAsia="Arial" w:hAnsi="Arial"/>
                <w:sz w:val="16"/>
                <w:szCs w:val="16"/>
                <w:color w:val="auto"/>
              </w:rPr>
              <w:t>129</w:t>
            </w:r>
          </w:p>
        </w:tc>
        <w:tc>
          <w:tcPr>
            <w:tcW w:w="200" w:type="dxa"/>
            <w:vAlign w:val="bottom"/>
          </w:tcPr>
          <w:p>
            <w:pPr>
              <w:spacing w:after="0"/>
              <w:rPr>
                <w:sz w:val="15"/>
                <w:szCs w:val="15"/>
                <w:color w:val="auto"/>
              </w:rPr>
            </w:pPr>
          </w:p>
        </w:tc>
        <w:tc>
          <w:tcPr>
            <w:tcW w:w="1880" w:type="dxa"/>
            <w:vAlign w:val="bottom"/>
          </w:tcPr>
          <w:p>
            <w:pPr>
              <w:ind w:left="20"/>
              <w:spacing w:after="0" w:line="182" w:lineRule="exact"/>
              <w:rPr>
                <w:sz w:val="20"/>
                <w:szCs w:val="20"/>
                <w:color w:val="auto"/>
              </w:rPr>
            </w:pPr>
            <w:r>
              <w:rPr>
                <w:rFonts w:ascii="Arial" w:cs="Arial" w:eastAsia="Arial" w:hAnsi="Arial"/>
                <w:sz w:val="16"/>
                <w:szCs w:val="16"/>
                <w:color w:val="auto"/>
              </w:rPr>
              <w:t>Enterprise value</w:t>
            </w:r>
          </w:p>
        </w:tc>
        <w:tc>
          <w:tcPr>
            <w:tcW w:w="160" w:type="dxa"/>
            <w:vAlign w:val="bottom"/>
          </w:tcPr>
          <w:p>
            <w:pPr>
              <w:spacing w:after="0"/>
              <w:rPr>
                <w:sz w:val="15"/>
                <w:szCs w:val="15"/>
                <w:color w:val="auto"/>
              </w:rPr>
            </w:pPr>
          </w:p>
        </w:tc>
        <w:tc>
          <w:tcPr>
            <w:tcW w:w="2780" w:type="dxa"/>
            <w:vAlign w:val="bottom"/>
          </w:tcPr>
          <w:p>
            <w:pPr>
              <w:spacing w:after="0" w:line="182" w:lineRule="exact"/>
              <w:rPr>
                <w:sz w:val="20"/>
                <w:szCs w:val="20"/>
                <w:color w:val="auto"/>
              </w:rPr>
            </w:pPr>
            <w:r>
              <w:rPr>
                <w:rFonts w:ascii="Arial" w:cs="Arial" w:eastAsia="Arial" w:hAnsi="Arial"/>
                <w:sz w:val="16"/>
                <w:szCs w:val="16"/>
                <w:color w:val="auto"/>
              </w:rPr>
              <w:t>Revenue multiples</w:t>
            </w:r>
          </w:p>
        </w:tc>
        <w:tc>
          <w:tcPr>
            <w:tcW w:w="140" w:type="dxa"/>
            <w:vAlign w:val="bottom"/>
          </w:tcPr>
          <w:p>
            <w:pPr>
              <w:spacing w:after="0"/>
              <w:rPr>
                <w:sz w:val="15"/>
                <w:szCs w:val="15"/>
                <w:color w:val="auto"/>
              </w:rPr>
            </w:pPr>
          </w:p>
        </w:tc>
        <w:tc>
          <w:tcPr>
            <w:tcW w:w="320" w:type="dxa"/>
            <w:vAlign w:val="bottom"/>
          </w:tcPr>
          <w:p>
            <w:pPr>
              <w:ind w:left="20"/>
              <w:spacing w:after="0" w:line="182" w:lineRule="exact"/>
              <w:rPr>
                <w:sz w:val="20"/>
                <w:szCs w:val="20"/>
                <w:color w:val="auto"/>
              </w:rPr>
            </w:pPr>
            <w:r>
              <w:rPr>
                <w:rFonts w:ascii="Arial" w:cs="Arial" w:eastAsia="Arial" w:hAnsi="Arial"/>
                <w:sz w:val="16"/>
                <w:szCs w:val="16"/>
                <w:color w:val="auto"/>
                <w:w w:val="92"/>
              </w:rPr>
              <w:t>4.5x</w:t>
            </w:r>
          </w:p>
        </w:tc>
        <w:tc>
          <w:tcPr>
            <w:tcW w:w="1560" w:type="dxa"/>
            <w:vAlign w:val="bottom"/>
          </w:tcPr>
          <w:p>
            <w:pPr>
              <w:ind w:left="20"/>
              <w:spacing w:after="0" w:line="182" w:lineRule="exact"/>
              <w:rPr>
                <w:sz w:val="20"/>
                <w:szCs w:val="20"/>
                <w:color w:val="auto"/>
              </w:rPr>
            </w:pPr>
            <w:r>
              <w:rPr>
                <w:rFonts w:ascii="Arial" w:cs="Arial" w:eastAsia="Arial" w:hAnsi="Arial"/>
                <w:sz w:val="16"/>
                <w:szCs w:val="16"/>
                <w:color w:val="auto"/>
              </w:rPr>
              <w:t>- 4.5x (4.5x)</w:t>
            </w:r>
          </w:p>
        </w:tc>
      </w:tr>
    </w:tbl>
    <w:p>
      <w:pPr>
        <w:ind w:left="480" w:hanging="472"/>
        <w:spacing w:after="0"/>
        <w:tabs>
          <w:tab w:leader="none" w:pos="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Unobservable inputs were weighted by the relative fair value of the instruments.</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Fair Value at</w:t>
            </w:r>
          </w:p>
        </w:tc>
        <w:tc>
          <w:tcPr>
            <w:tcW w:w="200" w:type="dxa"/>
            <w:vAlign w:val="bottom"/>
          </w:tcPr>
          <w:p>
            <w:pPr>
              <w:spacing w:after="0"/>
              <w:rPr>
                <w:sz w:val="16"/>
                <w:szCs w:val="16"/>
                <w:color w:val="auto"/>
              </w:rPr>
            </w:pPr>
          </w:p>
        </w:tc>
        <w:tc>
          <w:tcPr>
            <w:tcW w:w="1880" w:type="dxa"/>
            <w:vAlign w:val="bottom"/>
          </w:tcPr>
          <w:p>
            <w:pPr>
              <w:ind w:left="620"/>
              <w:spacing w:after="0"/>
              <w:rPr>
                <w:sz w:val="20"/>
                <w:szCs w:val="20"/>
                <w:color w:val="auto"/>
              </w:rPr>
            </w:pPr>
            <w:r>
              <w:rPr>
                <w:rFonts w:ascii="Arial" w:cs="Arial" w:eastAsia="Arial" w:hAnsi="Arial"/>
                <w:sz w:val="16"/>
                <w:szCs w:val="16"/>
                <w:b w:val="1"/>
                <w:bCs w:val="1"/>
                <w:color w:val="auto"/>
              </w:rPr>
              <w:t>Valuation</w:t>
            </w:r>
          </w:p>
        </w:tc>
        <w:tc>
          <w:tcPr>
            <w:tcW w:w="160" w:type="dxa"/>
            <w:vAlign w:val="bottom"/>
          </w:tcPr>
          <w:p>
            <w:pPr>
              <w:spacing w:after="0"/>
              <w:rPr>
                <w:sz w:val="16"/>
                <w:szCs w:val="16"/>
                <w:color w:val="auto"/>
              </w:rPr>
            </w:pPr>
          </w:p>
        </w:tc>
        <w:tc>
          <w:tcPr>
            <w:tcW w:w="2780" w:type="dxa"/>
            <w:vAlign w:val="bottom"/>
          </w:tcPr>
          <w:p>
            <w:pPr>
              <w:ind w:left="900"/>
              <w:spacing w:after="0"/>
              <w:rPr>
                <w:sz w:val="20"/>
                <w:szCs w:val="20"/>
                <w:color w:val="auto"/>
              </w:rPr>
            </w:pPr>
            <w:r>
              <w:rPr>
                <w:rFonts w:ascii="Arial" w:cs="Arial" w:eastAsia="Arial" w:hAnsi="Arial"/>
                <w:sz w:val="16"/>
                <w:szCs w:val="16"/>
                <w:b w:val="1"/>
                <w:bCs w:val="1"/>
                <w:color w:val="auto"/>
              </w:rPr>
              <w:t>Unobservable</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ind w:left="400"/>
              <w:spacing w:after="0"/>
              <w:rPr>
                <w:sz w:val="20"/>
                <w:szCs w:val="20"/>
                <w:color w:val="auto"/>
              </w:rPr>
            </w:pPr>
            <w:r>
              <w:rPr>
                <w:rFonts w:ascii="Arial" w:cs="Arial" w:eastAsia="Arial" w:hAnsi="Arial"/>
                <w:sz w:val="16"/>
                <w:szCs w:val="16"/>
                <w:b w:val="1"/>
                <w:bCs w:val="1"/>
                <w:color w:val="auto"/>
              </w:rPr>
              <w:t>Range</w:t>
            </w:r>
          </w:p>
        </w:tc>
      </w:tr>
      <w:tr>
        <w:trPr>
          <w:trHeight w:val="229"/>
        </w:trPr>
        <w:tc>
          <w:tcPr>
            <w:tcW w:w="2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December 31, 2020</w:t>
            </w:r>
          </w:p>
        </w:tc>
        <w:tc>
          <w:tcPr>
            <w:tcW w:w="200" w:type="dxa"/>
            <w:vAlign w:val="bottom"/>
          </w:tcPr>
          <w:p>
            <w:pPr>
              <w:spacing w:after="0"/>
              <w:rPr>
                <w:sz w:val="19"/>
                <w:szCs w:val="19"/>
                <w:color w:val="auto"/>
              </w:rPr>
            </w:pPr>
          </w:p>
        </w:tc>
        <w:tc>
          <w:tcPr>
            <w:tcW w:w="18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Techniques</w:t>
            </w:r>
          </w:p>
        </w:tc>
        <w:tc>
          <w:tcPr>
            <w:tcW w:w="160" w:type="dxa"/>
            <w:vAlign w:val="bottom"/>
          </w:tcPr>
          <w:p>
            <w:pPr>
              <w:spacing w:after="0"/>
              <w:rPr>
                <w:sz w:val="19"/>
                <w:szCs w:val="19"/>
                <w:color w:val="auto"/>
              </w:rPr>
            </w:pPr>
          </w:p>
        </w:tc>
        <w:tc>
          <w:tcPr>
            <w:tcW w:w="278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Inputs</w:t>
            </w:r>
          </w:p>
        </w:tc>
        <w:tc>
          <w:tcPr>
            <w:tcW w:w="140" w:type="dxa"/>
            <w:vAlign w:val="bottom"/>
          </w:tcPr>
          <w:p>
            <w:pPr>
              <w:spacing w:after="0"/>
              <w:rPr>
                <w:sz w:val="19"/>
                <w:szCs w:val="19"/>
                <w:color w:val="auto"/>
              </w:rPr>
            </w:pPr>
          </w:p>
        </w:tc>
        <w:tc>
          <w:tcPr>
            <w:tcW w:w="1880" w:type="dxa"/>
            <w:vAlign w:val="bottom"/>
            <w:tcBorders>
              <w:bottom w:val="single" w:sz="8" w:color="auto"/>
            </w:tcBorders>
            <w:gridSpan w:val="2"/>
          </w:tcPr>
          <w:p>
            <w:pPr>
              <w:ind w:left="220"/>
              <w:spacing w:after="0" w:line="230" w:lineRule="exact"/>
              <w:rPr>
                <w:sz w:val="20"/>
                <w:szCs w:val="20"/>
                <w:color w:val="auto"/>
              </w:rPr>
            </w:pPr>
            <w:r>
              <w:rPr>
                <w:rFonts w:ascii="Arial" w:cs="Arial" w:eastAsia="Arial" w:hAnsi="Arial"/>
                <w:sz w:val="16"/>
                <w:szCs w:val="16"/>
                <w:b w:val="1"/>
                <w:bCs w:val="1"/>
                <w:color w:val="auto"/>
              </w:rPr>
              <w:t>(weighted average)</w:t>
            </w:r>
            <w:r>
              <w:rPr>
                <w:rFonts w:ascii="Arial" w:cs="Arial" w:eastAsia="Arial" w:hAnsi="Arial"/>
                <w:sz w:val="21"/>
                <w:szCs w:val="21"/>
                <w:b w:val="1"/>
                <w:bCs w:val="1"/>
                <w:color w:val="auto"/>
                <w:vertAlign w:val="superscript"/>
              </w:rPr>
              <w:t>(1)</w:t>
            </w:r>
          </w:p>
        </w:tc>
      </w:tr>
      <w:tr>
        <w:trPr>
          <w:trHeight w:val="183"/>
        </w:trPr>
        <w:tc>
          <w:tcPr>
            <w:tcW w:w="25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Debt investments:</w:t>
            </w: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r>
      <w:tr>
        <w:trPr>
          <w:trHeight w:val="189"/>
        </w:trPr>
        <w:tc>
          <w:tcPr>
            <w:tcW w:w="2520" w:type="dxa"/>
            <w:vAlign w:val="bottom"/>
          </w:tcPr>
          <w:p>
            <w:pPr>
              <w:ind w:left="200"/>
              <w:spacing w:after="0"/>
              <w:rPr>
                <w:sz w:val="20"/>
                <w:szCs w:val="20"/>
                <w:color w:val="auto"/>
              </w:rPr>
            </w:pPr>
            <w:r>
              <w:rPr>
                <w:rFonts w:ascii="Arial" w:cs="Arial" w:eastAsia="Arial" w:hAnsi="Arial"/>
                <w:sz w:val="16"/>
                <w:szCs w:val="16"/>
                <w:color w:val="auto"/>
              </w:rPr>
              <w:t>First Lien Debt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183,238</w:t>
            </w:r>
          </w:p>
        </w:tc>
        <w:tc>
          <w:tcPr>
            <w:tcW w:w="2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Discounted cash flow</w:t>
            </w:r>
          </w:p>
        </w:tc>
        <w:tc>
          <w:tcPr>
            <w:tcW w:w="1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Weighted average cost of capital</w:t>
            </w:r>
          </w:p>
        </w:tc>
        <w:tc>
          <w:tcPr>
            <w:tcW w:w="2020" w:type="dxa"/>
            <w:vAlign w:val="bottom"/>
            <w:gridSpan w:val="3"/>
          </w:tcPr>
          <w:p>
            <w:pPr>
              <w:ind w:left="160"/>
              <w:spacing w:after="0"/>
              <w:rPr>
                <w:sz w:val="20"/>
                <w:szCs w:val="20"/>
                <w:color w:val="auto"/>
              </w:rPr>
            </w:pPr>
            <w:r>
              <w:rPr>
                <w:rFonts w:ascii="Arial" w:cs="Arial" w:eastAsia="Arial" w:hAnsi="Arial"/>
                <w:sz w:val="16"/>
                <w:szCs w:val="16"/>
                <w:color w:val="auto"/>
              </w:rPr>
              <w:t>6.8% - 16.3% (10.3%)</w:t>
            </w:r>
          </w:p>
        </w:tc>
      </w:tr>
      <w:tr>
        <w:trPr>
          <w:trHeight w:val="189"/>
        </w:trPr>
        <w:tc>
          <w:tcPr>
            <w:tcW w:w="2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4,115</w:t>
            </w: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Asset Coverage</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1.8x</w:t>
            </w:r>
          </w:p>
        </w:tc>
        <w:tc>
          <w:tcPr>
            <w:tcW w:w="1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- 1.8x (1.8x)</w:t>
            </w:r>
          </w:p>
        </w:tc>
      </w:tr>
      <w:tr>
        <w:trPr>
          <w:trHeight w:val="189"/>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20" w:type="dxa"/>
            <w:vAlign w:val="bottom"/>
            <w:gridSpan w:val="3"/>
          </w:tcPr>
          <w:p>
            <w:pPr>
              <w:spacing w:after="0"/>
              <w:rPr>
                <w:sz w:val="16"/>
                <w:szCs w:val="16"/>
                <w:color w:val="auto"/>
              </w:rPr>
            </w:pPr>
          </w:p>
        </w:tc>
      </w:tr>
      <w:tr>
        <w:trPr>
          <w:trHeight w:val="189"/>
        </w:trPr>
        <w:tc>
          <w:tcPr>
            <w:tcW w:w="2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Second Lien Debt</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306,405</w:t>
            </w: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Discounted cash flow</w:t>
            </w: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cost of capital</w:t>
            </w:r>
          </w:p>
        </w:tc>
        <w:tc>
          <w:tcPr>
            <w:tcW w:w="202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9.3% - 27.0% (14.0%)</w:t>
            </w:r>
          </w:p>
        </w:tc>
      </w:tr>
      <w:tr>
        <w:trPr>
          <w:trHeight w:val="189"/>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5,454</w:t>
            </w:r>
          </w:p>
        </w:tc>
        <w:tc>
          <w:tcPr>
            <w:tcW w:w="2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EBITDA multiples</w:t>
            </w:r>
          </w:p>
        </w:tc>
        <w:tc>
          <w:tcPr>
            <w:tcW w:w="14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w w:val="92"/>
              </w:rPr>
              <w:t>3.9x</w:t>
            </w:r>
          </w:p>
        </w:tc>
        <w:tc>
          <w:tcPr>
            <w:tcW w:w="1560" w:type="dxa"/>
            <w:vAlign w:val="bottom"/>
          </w:tcPr>
          <w:p>
            <w:pPr>
              <w:ind w:left="20"/>
              <w:spacing w:after="0"/>
              <w:rPr>
                <w:sz w:val="20"/>
                <w:szCs w:val="20"/>
                <w:color w:val="auto"/>
              </w:rPr>
            </w:pPr>
            <w:r>
              <w:rPr>
                <w:rFonts w:ascii="Arial" w:cs="Arial" w:eastAsia="Arial" w:hAnsi="Arial"/>
                <w:sz w:val="16"/>
                <w:szCs w:val="16"/>
                <w:color w:val="auto"/>
              </w:rPr>
              <w:t>- 3.9x (3.9x)</w:t>
            </w:r>
          </w:p>
        </w:tc>
      </w:tr>
      <w:tr>
        <w:trPr>
          <w:trHeight w:val="189"/>
        </w:trPr>
        <w:tc>
          <w:tcPr>
            <w:tcW w:w="2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5,123</w:t>
            </w: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Revenue multiples</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2.1x</w:t>
            </w:r>
          </w:p>
        </w:tc>
        <w:tc>
          <w:tcPr>
            <w:tcW w:w="1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- 2.1x (2.1x)</w:t>
            </w:r>
          </w:p>
        </w:tc>
      </w:tr>
      <w:tr>
        <w:trPr>
          <w:trHeight w:val="189"/>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15,172</w:t>
            </w:r>
          </w:p>
        </w:tc>
        <w:tc>
          <w:tcPr>
            <w:tcW w:w="2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Asset Coverage</w:t>
            </w:r>
          </w:p>
        </w:tc>
        <w:tc>
          <w:tcPr>
            <w:tcW w:w="14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w w:val="92"/>
              </w:rPr>
              <w:t>1.2x</w:t>
            </w:r>
          </w:p>
        </w:tc>
        <w:tc>
          <w:tcPr>
            <w:tcW w:w="1560" w:type="dxa"/>
            <w:vAlign w:val="bottom"/>
          </w:tcPr>
          <w:p>
            <w:pPr>
              <w:ind w:left="20"/>
              <w:spacing w:after="0"/>
              <w:rPr>
                <w:sz w:val="20"/>
                <w:szCs w:val="20"/>
                <w:color w:val="auto"/>
              </w:rPr>
            </w:pPr>
            <w:r>
              <w:rPr>
                <w:rFonts w:ascii="Arial" w:cs="Arial" w:eastAsia="Arial" w:hAnsi="Arial"/>
                <w:sz w:val="16"/>
                <w:szCs w:val="16"/>
                <w:color w:val="auto"/>
              </w:rPr>
              <w:t>- 1.2x (1.2x)</w:t>
            </w:r>
          </w:p>
        </w:tc>
      </w:tr>
      <w:tr>
        <w:trPr>
          <w:trHeight w:val="189"/>
        </w:trPr>
        <w:tc>
          <w:tcPr>
            <w:tcW w:w="2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16"/>
                <w:szCs w:val="16"/>
                <w:color w:val="auto"/>
              </w:rPr>
            </w:pPr>
          </w:p>
        </w:tc>
        <w:tc>
          <w:tcPr>
            <w:tcW w:w="2020" w:type="dxa"/>
            <w:vAlign w:val="bottom"/>
            <w:gridSpan w:val="3"/>
            <w:shd w:val="clear" w:color="auto" w:fill="CFF0FC"/>
          </w:tcPr>
          <w:p>
            <w:pPr>
              <w:spacing w:after="0"/>
              <w:rPr>
                <w:sz w:val="16"/>
                <w:szCs w:val="16"/>
                <w:color w:val="auto"/>
              </w:rPr>
            </w:pPr>
          </w:p>
        </w:tc>
      </w:tr>
      <w:tr>
        <w:trPr>
          <w:trHeight w:val="189"/>
        </w:trPr>
        <w:tc>
          <w:tcPr>
            <w:tcW w:w="2520" w:type="dxa"/>
            <w:vAlign w:val="bottom"/>
          </w:tcPr>
          <w:p>
            <w:pPr>
              <w:ind w:left="200"/>
              <w:spacing w:after="0"/>
              <w:rPr>
                <w:sz w:val="20"/>
                <w:szCs w:val="20"/>
                <w:color w:val="auto"/>
              </w:rPr>
            </w:pPr>
            <w:r>
              <w:rPr>
                <w:rFonts w:ascii="Arial" w:cs="Arial" w:eastAsia="Arial" w:hAnsi="Arial"/>
                <w:sz w:val="16"/>
                <w:szCs w:val="16"/>
                <w:color w:val="auto"/>
              </w:rPr>
              <w:t>Subordinated Debt</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107,911</w:t>
            </w:r>
          </w:p>
        </w:tc>
        <w:tc>
          <w:tcPr>
            <w:tcW w:w="2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Discounted cash flow</w:t>
            </w:r>
          </w:p>
        </w:tc>
        <w:tc>
          <w:tcPr>
            <w:tcW w:w="1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Weighted average cost of capital</w:t>
            </w:r>
          </w:p>
        </w:tc>
        <w:tc>
          <w:tcPr>
            <w:tcW w:w="2020" w:type="dxa"/>
            <w:vAlign w:val="bottom"/>
            <w:gridSpan w:val="3"/>
          </w:tcPr>
          <w:p>
            <w:pPr>
              <w:ind w:left="160"/>
              <w:spacing w:after="0"/>
              <w:rPr>
                <w:sz w:val="20"/>
                <w:szCs w:val="20"/>
                <w:color w:val="auto"/>
              </w:rPr>
            </w:pPr>
            <w:r>
              <w:rPr>
                <w:rFonts w:ascii="Arial" w:cs="Arial" w:eastAsia="Arial" w:hAnsi="Arial"/>
                <w:sz w:val="16"/>
                <w:szCs w:val="16"/>
                <w:color w:val="auto"/>
              </w:rPr>
              <w:t>11.5% - 12.0% (11.7%)</w:t>
            </w:r>
          </w:p>
        </w:tc>
      </w:tr>
      <w:tr>
        <w:trPr>
          <w:trHeight w:val="189"/>
        </w:trPr>
        <w:tc>
          <w:tcPr>
            <w:tcW w:w="2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Equity investments:</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2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110,568</w:t>
            </w: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EBITDA multiples</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3.9x</w:t>
            </w:r>
          </w:p>
        </w:tc>
        <w:tc>
          <w:tcPr>
            <w:tcW w:w="1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- 15.3x (8.1x)</w:t>
            </w:r>
          </w:p>
        </w:tc>
      </w:tr>
      <w:tr>
        <w:trPr>
          <w:trHeight w:val="189"/>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2,268</w:t>
            </w:r>
          </w:p>
        </w:tc>
        <w:tc>
          <w:tcPr>
            <w:tcW w:w="2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Revenue multiples</w:t>
            </w:r>
          </w:p>
        </w:tc>
        <w:tc>
          <w:tcPr>
            <w:tcW w:w="14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w w:val="92"/>
              </w:rPr>
              <w:t>2.1x</w:t>
            </w:r>
          </w:p>
        </w:tc>
        <w:tc>
          <w:tcPr>
            <w:tcW w:w="1560" w:type="dxa"/>
            <w:vAlign w:val="bottom"/>
          </w:tcPr>
          <w:p>
            <w:pPr>
              <w:ind w:left="20"/>
              <w:spacing w:after="0"/>
              <w:rPr>
                <w:sz w:val="20"/>
                <w:szCs w:val="20"/>
                <w:color w:val="auto"/>
              </w:rPr>
            </w:pPr>
            <w:r>
              <w:rPr>
                <w:rFonts w:ascii="Arial" w:cs="Arial" w:eastAsia="Arial" w:hAnsi="Arial"/>
                <w:sz w:val="16"/>
                <w:szCs w:val="16"/>
                <w:color w:val="auto"/>
              </w:rPr>
              <w:t>- 2.1x (2.1x)</w:t>
            </w:r>
          </w:p>
        </w:tc>
      </w:tr>
      <w:tr>
        <w:trPr>
          <w:trHeight w:val="189"/>
        </w:trPr>
        <w:tc>
          <w:tcPr>
            <w:tcW w:w="2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182"/>
        </w:trPr>
        <w:tc>
          <w:tcPr>
            <w:tcW w:w="2520" w:type="dxa"/>
            <w:vAlign w:val="bottom"/>
          </w:tcPr>
          <w:p>
            <w:pPr>
              <w:ind w:left="200"/>
              <w:spacing w:after="0" w:line="182" w:lineRule="exact"/>
              <w:rPr>
                <w:sz w:val="20"/>
                <w:szCs w:val="20"/>
                <w:color w:val="auto"/>
              </w:rPr>
            </w:pPr>
            <w:r>
              <w:rPr>
                <w:rFonts w:ascii="Arial" w:cs="Arial" w:eastAsia="Arial" w:hAnsi="Arial"/>
                <w:sz w:val="16"/>
                <w:szCs w:val="16"/>
                <w:color w:val="auto"/>
              </w:rPr>
              <w:t>Warrants</w:t>
            </w:r>
          </w:p>
        </w:tc>
        <w:tc>
          <w:tcPr>
            <w:tcW w:w="140" w:type="dxa"/>
            <w:vAlign w:val="bottom"/>
          </w:tcPr>
          <w:p>
            <w:pPr>
              <w:spacing w:after="0"/>
              <w:rPr>
                <w:sz w:val="15"/>
                <w:szCs w:val="15"/>
                <w:color w:val="auto"/>
              </w:rPr>
            </w:pPr>
          </w:p>
        </w:tc>
        <w:tc>
          <w:tcPr>
            <w:tcW w:w="1540" w:type="dxa"/>
            <w:vAlign w:val="bottom"/>
          </w:tcPr>
          <w:p>
            <w:pPr>
              <w:jc w:val="right"/>
              <w:spacing w:after="0" w:line="182" w:lineRule="exact"/>
              <w:rPr>
                <w:sz w:val="20"/>
                <w:szCs w:val="20"/>
                <w:color w:val="auto"/>
              </w:rPr>
            </w:pPr>
            <w:r>
              <w:rPr>
                <w:rFonts w:ascii="Arial" w:cs="Arial" w:eastAsia="Arial" w:hAnsi="Arial"/>
                <w:sz w:val="16"/>
                <w:szCs w:val="16"/>
                <w:color w:val="auto"/>
              </w:rPr>
              <w:t>2,615</w:t>
            </w:r>
          </w:p>
        </w:tc>
        <w:tc>
          <w:tcPr>
            <w:tcW w:w="200" w:type="dxa"/>
            <w:vAlign w:val="bottom"/>
          </w:tcPr>
          <w:p>
            <w:pPr>
              <w:spacing w:after="0"/>
              <w:rPr>
                <w:sz w:val="15"/>
                <w:szCs w:val="15"/>
                <w:color w:val="auto"/>
              </w:rPr>
            </w:pPr>
          </w:p>
        </w:tc>
        <w:tc>
          <w:tcPr>
            <w:tcW w:w="1880" w:type="dxa"/>
            <w:vAlign w:val="bottom"/>
          </w:tcPr>
          <w:p>
            <w:pPr>
              <w:ind w:left="20"/>
              <w:spacing w:after="0" w:line="182" w:lineRule="exact"/>
              <w:rPr>
                <w:sz w:val="20"/>
                <w:szCs w:val="20"/>
                <w:color w:val="auto"/>
              </w:rPr>
            </w:pPr>
            <w:r>
              <w:rPr>
                <w:rFonts w:ascii="Arial" w:cs="Arial" w:eastAsia="Arial" w:hAnsi="Arial"/>
                <w:sz w:val="16"/>
                <w:szCs w:val="16"/>
                <w:color w:val="auto"/>
              </w:rPr>
              <w:t>Enterprise value</w:t>
            </w:r>
          </w:p>
        </w:tc>
        <w:tc>
          <w:tcPr>
            <w:tcW w:w="160" w:type="dxa"/>
            <w:vAlign w:val="bottom"/>
          </w:tcPr>
          <w:p>
            <w:pPr>
              <w:spacing w:after="0"/>
              <w:rPr>
                <w:sz w:val="15"/>
                <w:szCs w:val="15"/>
                <w:color w:val="auto"/>
              </w:rPr>
            </w:pPr>
          </w:p>
        </w:tc>
        <w:tc>
          <w:tcPr>
            <w:tcW w:w="2780" w:type="dxa"/>
            <w:vAlign w:val="bottom"/>
          </w:tcPr>
          <w:p>
            <w:pPr>
              <w:spacing w:after="0" w:line="182" w:lineRule="exact"/>
              <w:rPr>
                <w:sz w:val="20"/>
                <w:szCs w:val="20"/>
                <w:color w:val="auto"/>
              </w:rPr>
            </w:pPr>
            <w:r>
              <w:rPr>
                <w:rFonts w:ascii="Arial" w:cs="Arial" w:eastAsia="Arial" w:hAnsi="Arial"/>
                <w:sz w:val="16"/>
                <w:szCs w:val="16"/>
                <w:color w:val="auto"/>
              </w:rPr>
              <w:t>EBITDA multiples</w:t>
            </w:r>
          </w:p>
        </w:tc>
        <w:tc>
          <w:tcPr>
            <w:tcW w:w="140" w:type="dxa"/>
            <w:vAlign w:val="bottom"/>
          </w:tcPr>
          <w:p>
            <w:pPr>
              <w:spacing w:after="0"/>
              <w:rPr>
                <w:sz w:val="15"/>
                <w:szCs w:val="15"/>
                <w:color w:val="auto"/>
              </w:rPr>
            </w:pPr>
          </w:p>
        </w:tc>
        <w:tc>
          <w:tcPr>
            <w:tcW w:w="320" w:type="dxa"/>
            <w:vAlign w:val="bottom"/>
          </w:tcPr>
          <w:p>
            <w:pPr>
              <w:ind w:left="20"/>
              <w:spacing w:after="0" w:line="182" w:lineRule="exact"/>
              <w:rPr>
                <w:sz w:val="20"/>
                <w:szCs w:val="20"/>
                <w:color w:val="auto"/>
              </w:rPr>
            </w:pPr>
            <w:r>
              <w:rPr>
                <w:rFonts w:ascii="Arial" w:cs="Arial" w:eastAsia="Arial" w:hAnsi="Arial"/>
                <w:sz w:val="16"/>
                <w:szCs w:val="16"/>
                <w:color w:val="auto"/>
                <w:w w:val="92"/>
              </w:rPr>
              <w:t>4.5x</w:t>
            </w:r>
          </w:p>
        </w:tc>
        <w:tc>
          <w:tcPr>
            <w:tcW w:w="1560" w:type="dxa"/>
            <w:vAlign w:val="bottom"/>
          </w:tcPr>
          <w:p>
            <w:pPr>
              <w:ind w:left="20"/>
              <w:spacing w:after="0" w:line="182" w:lineRule="exact"/>
              <w:rPr>
                <w:sz w:val="20"/>
                <w:szCs w:val="20"/>
                <w:color w:val="auto"/>
              </w:rPr>
            </w:pPr>
            <w:r>
              <w:rPr>
                <w:rFonts w:ascii="Arial" w:cs="Arial" w:eastAsia="Arial" w:hAnsi="Arial"/>
                <w:sz w:val="16"/>
                <w:szCs w:val="16"/>
                <w:color w:val="auto"/>
              </w:rPr>
              <w:t>- 6.5x (6.2x)</w:t>
            </w:r>
          </w:p>
        </w:tc>
      </w:tr>
    </w:tbl>
    <w:p>
      <w:pPr>
        <w:ind w:left="480" w:hanging="472"/>
        <w:spacing w:after="0"/>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Unobservable inputs were weighted by the relative fair value of the instruments.</w:t>
      </w:r>
    </w:p>
    <w:p>
      <w:pPr>
        <w:spacing w:after="0" w:line="155"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7"/>
          <w:szCs w:val="17"/>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93"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7"/>
          <w:szCs w:val="17"/>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58" w:lineRule="exact"/>
        <w:rPr>
          <w:sz w:val="20"/>
          <w:szCs w:val="20"/>
          <w:color w:val="auto"/>
        </w:rPr>
      </w:pPr>
    </w:p>
    <w:p>
      <w:pPr>
        <w:jc w:val="both"/>
        <w:ind w:firstLine="529"/>
        <w:spacing w:after="0" w:line="262" w:lineRule="auto"/>
        <w:rPr>
          <w:sz w:val="20"/>
          <w:szCs w:val="20"/>
          <w:color w:val="auto"/>
        </w:rPr>
      </w:pPr>
      <w:r>
        <w:rPr>
          <w:rFonts w:ascii="Arial" w:cs="Arial" w:eastAsia="Arial" w:hAnsi="Arial"/>
          <w:sz w:val="17"/>
          <w:szCs w:val="17"/>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Notes (as defined in Note 6) are recorded at their respective carrying values.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tables summarize the carrying value and fair value of the Company’s debt obligations as of December 31, 2021 and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 2021</w:t>
            </w:r>
            <w:r>
              <w:rPr>
                <w:rFonts w:ascii="Arial" w:cs="Arial" w:eastAsia="Arial" w:hAnsi="Arial"/>
                <w:sz w:val="24"/>
                <w:szCs w:val="24"/>
                <w:b w:val="1"/>
                <w:bCs w:val="1"/>
                <w:color w:val="auto"/>
                <w:vertAlign w:val="superscript"/>
              </w:rPr>
              <w:t>(6)</w:t>
            </w:r>
          </w:p>
        </w:tc>
        <w:tc>
          <w:tcPr>
            <w:tcW w:w="2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tcPr>
          <w:p>
            <w:pPr>
              <w:spacing w:after="0"/>
              <w:rPr>
                <w:sz w:val="23"/>
                <w:szCs w:val="23"/>
                <w:color w:val="auto"/>
              </w:rPr>
            </w:pPr>
          </w:p>
        </w:tc>
      </w:tr>
      <w:tr>
        <w:trPr>
          <w:trHeight w:val="196"/>
        </w:trPr>
        <w:tc>
          <w:tcPr>
            <w:tcW w:w="4880" w:type="dxa"/>
            <w:vAlign w:val="bottom"/>
          </w:tcPr>
          <w:p>
            <w:pPr>
              <w:spacing w:after="0"/>
              <w:rPr>
                <w:sz w:val="17"/>
                <w:szCs w:val="17"/>
                <w:color w:val="auto"/>
              </w:rPr>
            </w:pPr>
          </w:p>
        </w:tc>
        <w:tc>
          <w:tcPr>
            <w:tcW w:w="1440" w:type="dxa"/>
            <w:vAlign w:val="bottom"/>
            <w:tcBorders>
              <w:bottom w:val="single" w:sz="8" w:color="auto"/>
            </w:tcBorders>
            <w:gridSpan w:val="2"/>
          </w:tcPr>
          <w:p>
            <w:pPr>
              <w:ind w:left="40"/>
              <w:spacing w:after="0" w:line="195" w:lineRule="exact"/>
              <w:rPr>
                <w:sz w:val="20"/>
                <w:szCs w:val="20"/>
                <w:color w:val="auto"/>
              </w:rPr>
            </w:pPr>
            <w:r>
              <w:rPr>
                <w:rFonts w:ascii="Arial" w:cs="Arial" w:eastAsia="Arial" w:hAnsi="Arial"/>
                <w:sz w:val="17"/>
                <w:szCs w:val="17"/>
                <w:b w:val="1"/>
                <w:bCs w:val="1"/>
                <w:color w:val="auto"/>
                <w:w w:val="96"/>
              </w:rPr>
              <w:t xml:space="preserve">Carrying Value </w:t>
            </w:r>
            <w:r>
              <w:rPr>
                <w:rFonts w:ascii="Arial" w:cs="Arial" w:eastAsia="Arial" w:hAnsi="Arial"/>
                <w:sz w:val="22"/>
                <w:szCs w:val="22"/>
                <w:b w:val="1"/>
                <w:bCs w:val="1"/>
                <w:color w:val="auto"/>
                <w:w w:val="96"/>
                <w:vertAlign w:val="superscript"/>
              </w:rPr>
              <w:t>(1)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7"/>
                <w:szCs w:val="17"/>
                <w:color w:val="auto"/>
              </w:rPr>
            </w:pPr>
          </w:p>
        </w:tc>
        <w:tc>
          <w:tcPr>
            <w:tcW w:w="1420" w:type="dxa"/>
            <w:vAlign w:val="bottom"/>
            <w:tcBorders>
              <w:bottom w:val="single" w:sz="8" w:color="auto"/>
            </w:tcBorders>
            <w:gridSpan w:val="2"/>
          </w:tcPr>
          <w:p>
            <w:pPr>
              <w:ind w:left="20"/>
              <w:spacing w:after="0" w:line="195" w:lineRule="exact"/>
              <w:rPr>
                <w:sz w:val="20"/>
                <w:szCs w:val="20"/>
                <w:color w:val="auto"/>
              </w:rPr>
            </w:pPr>
            <w:r>
              <w:rPr>
                <w:rFonts w:ascii="Arial" w:cs="Arial" w:eastAsia="Arial" w:hAnsi="Arial"/>
                <w:sz w:val="17"/>
                <w:szCs w:val="17"/>
                <w:b w:val="1"/>
                <w:bCs w:val="1"/>
                <w:color w:val="auto"/>
                <w:w w:val="96"/>
              </w:rPr>
              <w:t xml:space="preserve">Carrying Value </w:t>
            </w:r>
            <w:r>
              <w:rPr>
                <w:rFonts w:ascii="Arial" w:cs="Arial" w:eastAsia="Arial" w:hAnsi="Arial"/>
                <w:sz w:val="22"/>
                <w:szCs w:val="22"/>
                <w:b w:val="1"/>
                <w:bCs w:val="1"/>
                <w:color w:val="auto"/>
                <w:w w:val="96"/>
                <w:vertAlign w:val="superscript"/>
              </w:rPr>
              <w:t>(1)</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17"/>
                <w:szCs w:val="17"/>
                <w:color w:val="auto"/>
              </w:rPr>
            </w:pPr>
          </w:p>
        </w:tc>
      </w:tr>
      <w:tr>
        <w:trPr>
          <w:trHeight w:val="196"/>
        </w:trPr>
        <w:tc>
          <w:tcPr>
            <w:tcW w:w="4880" w:type="dxa"/>
            <w:vAlign w:val="bottom"/>
            <w:shd w:val="clear" w:color="auto" w:fill="CCEEFF"/>
          </w:tcPr>
          <w:p>
            <w:pPr>
              <w:ind w:left="20"/>
              <w:spacing w:after="0" w:line="195" w:lineRule="exact"/>
              <w:rPr>
                <w:sz w:val="20"/>
                <w:szCs w:val="20"/>
                <w:color w:val="auto"/>
              </w:rPr>
            </w:pPr>
            <w:r>
              <w:rPr>
                <w:rFonts w:ascii="Arial" w:cs="Arial" w:eastAsia="Arial" w:hAnsi="Arial"/>
                <w:sz w:val="17"/>
                <w:szCs w:val="17"/>
                <w:color w:val="auto"/>
              </w:rPr>
              <w:t xml:space="preserve">SBA debentures </w:t>
            </w:r>
            <w:r>
              <w:rPr>
                <w:rFonts w:ascii="Arial" w:cs="Arial" w:eastAsia="Arial" w:hAnsi="Arial"/>
                <w:sz w:val="22"/>
                <w:szCs w:val="22"/>
                <w:color w:val="auto"/>
                <w:vertAlign w:val="superscript"/>
              </w:rPr>
              <w:t>(2)</w:t>
            </w:r>
          </w:p>
        </w:tc>
        <w:tc>
          <w:tcPr>
            <w:tcW w:w="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107,000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107,000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147,000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147,000</w:t>
            </w:r>
          </w:p>
        </w:tc>
        <w:tc>
          <w:tcPr>
            <w:tcW w:w="60" w:type="dxa"/>
            <w:vAlign w:val="bottom"/>
            <w:shd w:val="clear" w:color="auto" w:fill="CCEEFF"/>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Credit Facility borrowings </w:t>
            </w:r>
            <w:r>
              <w:rPr>
                <w:rFonts w:ascii="Arial" w:cs="Arial" w:eastAsia="Arial" w:hAnsi="Arial"/>
                <w:sz w:val="23"/>
                <w:szCs w:val="23"/>
                <w:color w:val="auto"/>
                <w:vertAlign w:val="superscript"/>
              </w:rPr>
              <w:t>(3)</w:t>
            </w:r>
          </w:p>
        </w:tc>
        <w:tc>
          <w:tcPr>
            <w:tcW w:w="4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7"/>
                <w:szCs w:val="17"/>
                <w:color w:val="auto"/>
              </w:rPr>
              <w:t xml:space="preserve">2023 Notes </w:t>
            </w:r>
            <w:r>
              <w:rPr>
                <w:rFonts w:ascii="Arial" w:cs="Arial" w:eastAsia="Arial" w:hAnsi="Arial"/>
                <w:sz w:val="23"/>
                <w:szCs w:val="23"/>
                <w:color w:val="auto"/>
                <w:vertAlign w:val="superscript"/>
              </w:rPr>
              <w:t>(4)</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50,620</w:t>
            </w:r>
          </w:p>
        </w:tc>
        <w:tc>
          <w:tcPr>
            <w:tcW w:w="60" w:type="dxa"/>
            <w:vAlign w:val="bottom"/>
            <w:shd w:val="clear" w:color="auto" w:fill="CCEEFF"/>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February 2024 Notes </w:t>
            </w:r>
            <w:r>
              <w:rPr>
                <w:rFonts w:ascii="Arial" w:cs="Arial" w:eastAsia="Arial" w:hAnsi="Arial"/>
                <w:sz w:val="23"/>
                <w:szCs w:val="23"/>
                <w:color w:val="auto"/>
                <w:vertAlign w:val="superscript"/>
              </w:rPr>
              <w:t>(4)</w:t>
            </w:r>
          </w:p>
        </w:tc>
        <w:tc>
          <w:tcPr>
            <w:tcW w:w="4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69,000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69,745</w:t>
            </w:r>
          </w:p>
        </w:tc>
        <w:tc>
          <w:tcPr>
            <w:tcW w:w="60" w:type="dxa"/>
            <w:vAlign w:val="bottom"/>
          </w:tcPr>
          <w:p>
            <w:pPr>
              <w:spacing w:after="0"/>
              <w:rPr>
                <w:sz w:val="17"/>
                <w:szCs w:val="17"/>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7"/>
                <w:szCs w:val="17"/>
                <w:color w:val="auto"/>
              </w:rPr>
              <w:t xml:space="preserve">November 2024 Notes </w:t>
            </w:r>
            <w:r>
              <w:rPr>
                <w:rFonts w:ascii="Arial" w:cs="Arial" w:eastAsia="Arial" w:hAnsi="Arial"/>
                <w:sz w:val="23"/>
                <w:szCs w:val="23"/>
                <w:color w:val="auto"/>
                <w:vertAlign w:val="superscript"/>
              </w:rPr>
              <w:t>(4)</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63,250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64,389</w:t>
            </w:r>
          </w:p>
        </w:tc>
        <w:tc>
          <w:tcPr>
            <w:tcW w:w="60" w:type="dxa"/>
            <w:vAlign w:val="bottom"/>
            <w:shd w:val="clear" w:color="auto" w:fill="CCEEFF"/>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January 2026 Notes </w:t>
            </w:r>
            <w:r>
              <w:rPr>
                <w:rFonts w:ascii="Arial" w:cs="Arial" w:eastAsia="Arial" w:hAnsi="Arial"/>
                <w:sz w:val="23"/>
                <w:szCs w:val="23"/>
                <w:color w:val="auto"/>
                <w:vertAlign w:val="superscript"/>
              </w:rPr>
              <w:t>(5)</w:t>
            </w:r>
          </w:p>
        </w:tc>
        <w:tc>
          <w:tcPr>
            <w:tcW w:w="4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125,000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125,258</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125,000</w:t>
            </w:r>
          </w:p>
        </w:tc>
        <w:tc>
          <w:tcPr>
            <w:tcW w:w="60" w:type="dxa"/>
            <w:vAlign w:val="bottom"/>
          </w:tcPr>
          <w:p>
            <w:pPr>
              <w:spacing w:after="0"/>
              <w:rPr>
                <w:sz w:val="17"/>
                <w:szCs w:val="17"/>
                <w:color w:val="auto"/>
              </w:rPr>
            </w:pPr>
          </w:p>
        </w:tc>
      </w:tr>
      <w:tr>
        <w:trPr>
          <w:trHeight w:val="203"/>
        </w:trPr>
        <w:tc>
          <w:tcPr>
            <w:tcW w:w="48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7"/>
                <w:szCs w:val="17"/>
                <w:color w:val="auto"/>
              </w:rPr>
              <w:t xml:space="preserve">November 2026 Notes </w:t>
            </w:r>
            <w:r>
              <w:rPr>
                <w:rFonts w:ascii="Arial" w:cs="Arial" w:eastAsia="Arial" w:hAnsi="Arial"/>
                <w:sz w:val="23"/>
                <w:szCs w:val="23"/>
                <w:color w:val="auto"/>
                <w:vertAlign w:val="superscript"/>
              </w:rPr>
              <w:t>(5)</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125,000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125,171</w:t>
            </w:r>
          </w:p>
        </w:tc>
        <w:tc>
          <w:tcPr>
            <w:tcW w:w="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488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357,000</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357,429</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454,250</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456,754</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-142240</wp:posOffset>
            </wp:positionV>
            <wp:extent cx="43180" cy="1600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-142240</wp:posOffset>
            </wp:positionV>
            <wp:extent cx="43180" cy="1600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-142240</wp:posOffset>
            </wp:positionV>
            <wp:extent cx="34290" cy="1600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16002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1600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290" cy="160020"/>
                    </a:xfrm>
                    <a:prstGeom prst="rect">
                      <a:avLst/>
                    </a:prstGeom>
                    <a:noFill/>
                  </pic:spPr>
                </pic:pic>
              </a:graphicData>
            </a:graphic>
          </wp:anchor>
        </w:drawing>
      </w:r>
    </w:p>
    <w:p>
      <w:pPr>
        <w:ind w:left="480" w:hanging="472"/>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Carrying value represents the outstanding principal balance of the debt obligation.</w:t>
      </w:r>
    </w:p>
    <w:p>
      <w:pPr>
        <w:spacing w:after="0" w:line="13" w:lineRule="exact"/>
        <w:rPr>
          <w:rFonts w:ascii="Arial" w:cs="Arial" w:eastAsia="Arial" w:hAnsi="Arial"/>
          <w:sz w:val="14"/>
          <w:szCs w:val="14"/>
          <w:color w:val="auto"/>
        </w:rPr>
      </w:pPr>
    </w:p>
    <w:p>
      <w:pPr>
        <w:ind w:left="480" w:hanging="472"/>
        <w:spacing w:after="0" w:line="241" w:lineRule="auto"/>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ind w:left="480" w:hanging="472"/>
        <w:spacing w:after="0" w:line="241" w:lineRule="auto"/>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fair value of borrowings under the Credit Facility, if valued under ASC Topic 820, are based on a market yield approach and current interest rates, which are Level 3 inputs to the market yield model.</w:t>
      </w:r>
    </w:p>
    <w:p>
      <w:pPr>
        <w:ind w:left="480" w:hanging="472"/>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Public Notes (as defined in Note 6), if valued under ASC Topic 820, are valued using available market quotes, which is a Level 1 input.</w:t>
      </w:r>
    </w:p>
    <w:p>
      <w:pPr>
        <w:spacing w:after="0" w:line="1" w:lineRule="exact"/>
        <w:rPr>
          <w:rFonts w:ascii="Arial" w:cs="Arial" w:eastAsia="Arial" w:hAnsi="Arial"/>
          <w:sz w:val="14"/>
          <w:szCs w:val="14"/>
          <w:color w:val="auto"/>
        </w:rPr>
      </w:pPr>
    </w:p>
    <w:p>
      <w:pPr>
        <w:ind w:left="480" w:hanging="472"/>
        <w:spacing w:after="0" w:line="241" w:lineRule="auto"/>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fair value of the February 2026 and November 2026 Notes are estimated by discounting the remaining payments using current market rates for similar instruments and considering such factors as the legal maturity date, which are Level 3 inputs under ASC Topic 820.</w:t>
      </w:r>
    </w:p>
    <w:p>
      <w:pPr>
        <w:ind w:left="480" w:hanging="472"/>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Totals exclude $17,637 of Secured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-929005</wp:posOffset>
            </wp:positionV>
            <wp:extent cx="400304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33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summarizes the inputs used to value the Company’s debt obligations if measured at fair value as of December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1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8"/>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ind w:right="410"/>
              <w:spacing w:after="0" w:line="177" w:lineRule="exact"/>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jc w:val="right"/>
              <w:ind w:right="390"/>
              <w:spacing w:after="0" w:line="177" w:lineRule="exact"/>
              <w:rPr>
                <w:sz w:val="20"/>
                <w:szCs w:val="20"/>
                <w:color w:val="auto"/>
              </w:rPr>
            </w:pPr>
            <w:r>
              <w:rPr>
                <w:rFonts w:ascii="Arial" w:cs="Arial" w:eastAsia="Arial" w:hAnsi="Arial"/>
                <w:sz w:val="18"/>
                <w:szCs w:val="18"/>
                <w:b w:val="1"/>
                <w:bCs w:val="1"/>
                <w:color w:val="auto"/>
                <w:w w:val="97"/>
              </w:rPr>
              <w:t>December 31,</w:t>
            </w:r>
          </w:p>
        </w:tc>
        <w:tc>
          <w:tcPr>
            <w:tcW w:w="60" w:type="dxa"/>
            <w:vAlign w:val="bottom"/>
          </w:tcPr>
          <w:p>
            <w:pPr>
              <w:spacing w:after="0"/>
              <w:rPr>
                <w:sz w:val="15"/>
                <w:szCs w:val="15"/>
                <w:color w:val="auto"/>
              </w:rPr>
            </w:pPr>
          </w:p>
        </w:tc>
      </w:tr>
      <w:tr>
        <w:trPr>
          <w:trHeight w:val="221"/>
        </w:trPr>
        <w:tc>
          <w:tcPr>
            <w:tcW w:w="688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Valuation Inputs</w:t>
            </w:r>
          </w:p>
        </w:tc>
        <w:tc>
          <w:tcPr>
            <w:tcW w:w="300" w:type="dxa"/>
            <w:vAlign w:val="bottom"/>
          </w:tcPr>
          <w:p>
            <w:pPr>
              <w:spacing w:after="0"/>
              <w:rPr>
                <w:sz w:val="19"/>
                <w:szCs w:val="19"/>
                <w:color w:val="auto"/>
              </w:rPr>
            </w:pP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r>
      <w:tr>
        <w:trPr>
          <w:trHeight w:val="196"/>
        </w:trPr>
        <w:tc>
          <w:tcPr>
            <w:tcW w:w="67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Level 1</w:t>
            </w:r>
          </w:p>
        </w:tc>
        <w:tc>
          <w:tcPr>
            <w:tcW w:w="1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184,754</w:t>
            </w:r>
          </w:p>
        </w:tc>
        <w:tc>
          <w:tcPr>
            <w:tcW w:w="60" w:type="dxa"/>
            <w:vAlign w:val="bottom"/>
            <w:shd w:val="clear" w:color="auto" w:fill="CFF0FC"/>
          </w:tcPr>
          <w:p>
            <w:pPr>
              <w:spacing w:after="0"/>
              <w:rPr>
                <w:sz w:val="17"/>
                <w:szCs w:val="17"/>
                <w:color w:val="auto"/>
              </w:rPr>
            </w:pPr>
          </w:p>
        </w:tc>
      </w:tr>
      <w:tr>
        <w:trPr>
          <w:trHeight w:val="203"/>
        </w:trPr>
        <w:tc>
          <w:tcPr>
            <w:tcW w:w="68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88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Level 3</w:t>
            </w:r>
          </w:p>
        </w:tc>
        <w:tc>
          <w:tcPr>
            <w:tcW w:w="3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357,429</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272,000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8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line="182" w:lineRule="exact"/>
              <w:rPr>
                <w:sz w:val="20"/>
                <w:szCs w:val="20"/>
                <w:color w:val="auto"/>
              </w:rPr>
            </w:pPr>
            <w:r>
              <w:rPr>
                <w:rFonts w:ascii="Arial" w:cs="Arial" w:eastAsia="Arial" w:hAnsi="Arial"/>
                <w:sz w:val="18"/>
                <w:szCs w:val="18"/>
                <w:color w:val="auto"/>
              </w:rPr>
              <w:t>357,429</w:t>
            </w:r>
          </w:p>
        </w:tc>
        <w:tc>
          <w:tcPr>
            <w:tcW w:w="620" w:type="dxa"/>
            <w:vAlign w:val="bottom"/>
            <w:gridSpan w:val="2"/>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182" w:lineRule="exact"/>
              <w:rPr>
                <w:sz w:val="20"/>
                <w:szCs w:val="20"/>
                <w:color w:val="auto"/>
              </w:rPr>
            </w:pPr>
            <w:r>
              <w:rPr>
                <w:rFonts w:ascii="Arial" w:cs="Arial" w:eastAsia="Arial" w:hAnsi="Arial"/>
                <w:sz w:val="18"/>
                <w:szCs w:val="18"/>
                <w:color w:val="auto"/>
              </w:rPr>
              <w:t>456,754</w:t>
            </w:r>
          </w:p>
        </w:tc>
        <w:tc>
          <w:tcPr>
            <w:tcW w:w="60" w:type="dxa"/>
            <w:vAlign w:val="bottom"/>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-159385</wp:posOffset>
            </wp:positionV>
            <wp:extent cx="4254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62" w:lineRule="exact"/>
        <w:rPr>
          <w:sz w:val="20"/>
          <w:szCs w:val="20"/>
          <w:color w:val="auto"/>
        </w:rPr>
      </w:pPr>
    </w:p>
    <w:p>
      <w:pPr>
        <w:jc w:val="both"/>
        <w:ind w:firstLine="478"/>
        <w:spacing w:after="0" w:line="262" w:lineRule="auto"/>
        <w:rPr>
          <w:sz w:val="20"/>
          <w:szCs w:val="20"/>
          <w:color w:val="auto"/>
        </w:rPr>
      </w:pPr>
      <w:r>
        <w:rPr>
          <w:rFonts w:ascii="Arial" w:cs="Arial" w:eastAsia="Arial" w:hAnsi="Arial"/>
          <w:sz w:val="17"/>
          <w:szCs w:val="17"/>
          <w:i w:val="1"/>
          <w:iCs w:val="1"/>
          <w:color w:val="auto"/>
        </w:rPr>
        <w:t xml:space="preserve">Investment Advisory Agreement: </w:t>
      </w:r>
      <w:r>
        <w:rPr>
          <w:rFonts w:ascii="Arial" w:cs="Arial" w:eastAsia="Arial" w:hAnsi="Arial"/>
          <w:sz w:val="17"/>
          <w:szCs w:val="17"/>
          <w:color w:val="auto"/>
        </w:rPr>
        <w:t>The Company has entered into an Investment Advisory Agreement with the Investment Advisor. On June 10,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approved the renewal of the Investment Advisory Agreement through June 20, 2022.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18"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7"/>
          <w:szCs w:val="17"/>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Board of Directors accepted a voluntary, non-contractual, and unconditional waiver from the Investment Advisor to exclude any investments recorded as secured borrowings as defined under GAAP from the base management fee payable as of December 31, 2021. The base management fee is payable quarterly in arrears. The base management fee under the Investment Advisory Agreement for the years ended December 31, 2021, 2020 and 2019 totaled $12,874, $12,932, and $12,399, respectively. The base management fee waiver was $176 for the year ended December 31, 2021. There was no base management fee waiver for the years ended December 31, 2020 and 2019. As of December 31, 2021 and 2020, the base management fee payable (net of the base management fee waiver) was $3,135 and $3,244, respectively.</w:t>
      </w:r>
    </w:p>
    <w:p>
      <w:pPr>
        <w:spacing w:after="0" w:line="127"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15"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35"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20"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8" w:name="page109"/>
    <w:bookmarkEnd w:id="108"/>
    <w:p>
      <w:pPr>
        <w:ind w:left="1060" w:hanging="526"/>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 incentive fee in any calendar quarter in which the pre-incentive fee net investment income does not exceed the hurdle rate of 2.0%;</w:t>
      </w:r>
    </w:p>
    <w:p>
      <w:pPr>
        <w:spacing w:after="0" w:line="128" w:lineRule="exact"/>
        <w:rPr>
          <w:rFonts w:ascii="Arial" w:cs="Arial" w:eastAsia="Arial" w:hAnsi="Arial"/>
          <w:sz w:val="17"/>
          <w:szCs w:val="17"/>
          <w:color w:val="auto"/>
        </w:rPr>
      </w:pPr>
    </w:p>
    <w:p>
      <w:pPr>
        <w:jc w:val="both"/>
        <w:ind w:left="1060" w:right="40" w:hanging="526"/>
        <w:spacing w:after="0" w:line="213"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2" w:lineRule="exact"/>
        <w:rPr>
          <w:rFonts w:ascii="Arial" w:cs="Arial" w:eastAsia="Arial" w:hAnsi="Arial"/>
          <w:sz w:val="18"/>
          <w:szCs w:val="18"/>
          <w:color w:val="auto"/>
        </w:rPr>
      </w:pPr>
    </w:p>
    <w:p>
      <w:pPr>
        <w:ind w:left="1060" w:hanging="526"/>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275"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for the years ended December 31, 2021, 2020 and 2019 totaled $10,266, $8,952, and $7,445, respectively. The Investment Advisor, in consultation with the Board, agreed to voluntarily waive $423 of the income incentive fee for the year ended December 31, 2020. There was no income incentive fee waiver for the years ended December 31, 2021 or 2019. As of December 31, 2021 and 2020, the income incentive fee payable (net of the income incentive fee waiver) was $2,622 and $2,610, respectively.</w:t>
      </w:r>
    </w:p>
    <w:p>
      <w:pPr>
        <w:spacing w:after="0" w:line="135" w:lineRule="exact"/>
        <w:rPr>
          <w:sz w:val="20"/>
          <w:szCs w:val="20"/>
          <w:color w:val="auto"/>
        </w:rPr>
      </w:pPr>
    </w:p>
    <w:p>
      <w:pPr>
        <w:jc w:val="both"/>
        <w:ind w:firstLine="478"/>
        <w:spacing w:after="0" w:line="252" w:lineRule="auto"/>
        <w:rPr>
          <w:sz w:val="20"/>
          <w:szCs w:val="20"/>
          <w:color w:val="auto"/>
        </w:rPr>
      </w:pPr>
      <w:r>
        <w:rPr>
          <w:rFonts w:ascii="Arial" w:cs="Arial" w:eastAsia="Arial" w:hAnsi="Arial"/>
          <w:sz w:val="17"/>
          <w:szCs w:val="17"/>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December 31, 2021 and 2020, the capital gains incentive fee payable in cash was $6,136 (as cumulative aggregate realized capital gains and losses on investments exceeded aggregate unrealized capital depreciation on investments plus realized losses on extinguishment of debt) and zero, respectively. The aggregate amount of capital gains incentive fees paid from the IPO through December 31, 2021 was $348.</w:t>
      </w:r>
    </w:p>
    <w:p>
      <w:pPr>
        <w:spacing w:after="0" w:line="126" w:lineRule="exact"/>
        <w:rPr>
          <w:sz w:val="20"/>
          <w:szCs w:val="20"/>
          <w:color w:val="auto"/>
        </w:rPr>
      </w:pPr>
    </w:p>
    <w:p>
      <w:pPr>
        <w:jc w:val="both"/>
        <w:ind w:firstLine="478"/>
        <w:spacing w:after="0" w:line="274"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plus (ii) net unrealized appreciation/(depreciation) on investments plus (iii) realized losses on extinguishment of debt. The capital gains incentive fee accrued (reversed) during the years ended December 31, 2021, 2020 and 2019 was $18,196, $(1,684), and $3,299, respectively. As of December 31, 2021 and 2020, the accrued capital gains incentive fee payable was $29,227 and $11,031, respectively.</w:t>
      </w:r>
    </w:p>
    <w:p>
      <w:pPr>
        <w:spacing w:after="0" w:line="109"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21" w:lineRule="exact"/>
        <w:rPr>
          <w:sz w:val="20"/>
          <w:szCs w:val="20"/>
          <w:color w:val="auto"/>
        </w:rPr>
      </w:pPr>
    </w:p>
    <w:p>
      <w:pPr>
        <w:jc w:val="both"/>
        <w:ind w:firstLine="478"/>
        <w:spacing w:after="0" w:line="250" w:lineRule="auto"/>
        <w:rPr>
          <w:sz w:val="20"/>
          <w:szCs w:val="20"/>
          <w:color w:val="auto"/>
        </w:rPr>
      </w:pPr>
      <w:r>
        <w:rPr>
          <w:rFonts w:ascii="Arial" w:cs="Arial" w:eastAsia="Arial" w:hAnsi="Arial"/>
          <w:sz w:val="17"/>
          <w:szCs w:val="17"/>
          <w:i w:val="1"/>
          <w:iCs w:val="1"/>
          <w:color w:val="auto"/>
        </w:rPr>
        <w:t xml:space="preserve">Administration Agreement: </w:t>
      </w:r>
      <w:r>
        <w:rPr>
          <w:rFonts w:ascii="Arial" w:cs="Arial" w:eastAsia="Arial" w:hAnsi="Arial"/>
          <w:sz w:val="17"/>
          <w:szCs w:val="17"/>
          <w:color w:val="auto"/>
        </w:rPr>
        <w:t>The Company also entered into an administration agreement (the “Administration Agreement”) with the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Advisor. On June 10, 2021, the Board approved the renewal of the Administration Agreement through June 20, 2022.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7"/>
          <w:szCs w:val="17"/>
          <w:i w:val="1"/>
          <w:iCs w:val="1"/>
          <w:color w:val="auto"/>
        </w:rPr>
        <w:t>.</w:t>
      </w:r>
      <w:r>
        <w:rPr>
          <w:rFonts w:ascii="Arial" w:cs="Arial" w:eastAsia="Arial" w:hAnsi="Arial"/>
          <w:sz w:val="17"/>
          <w:szCs w:val="17"/>
          <w:color w:val="auto"/>
        </w:rPr>
        <w:t xml:space="preserve"> Under the Administration Agreement, administrative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9" w:name="page110"/>
    <w:bookmarkEnd w:id="109"/>
    <w:p>
      <w:pPr>
        <w:jc w:val="both"/>
        <w:spacing w:after="0" w:line="261" w:lineRule="auto"/>
        <w:rPr>
          <w:sz w:val="20"/>
          <w:szCs w:val="20"/>
          <w:color w:val="auto"/>
        </w:rPr>
      </w:pPr>
      <w:r>
        <w:rPr>
          <w:rFonts w:ascii="Arial" w:cs="Arial" w:eastAsia="Arial" w:hAnsi="Arial"/>
          <w:sz w:val="18"/>
          <w:szCs w:val="18"/>
          <w:color w:val="auto"/>
        </w:rPr>
        <w:t>service expenses for the years ended December 31, 2021, 2020 and 2019 were $1,719, $1,720 and $1,583, respectively. As of December 31, 2021 and 2020, the accrued administrative service expense payable was $634 and $593, respectively.</w:t>
      </w:r>
    </w:p>
    <w:p>
      <w:pPr>
        <w:spacing w:after="0" w:line="117"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7"/>
          <w:szCs w:val="17"/>
          <w:i w:val="1"/>
          <w:iCs w:val="1"/>
          <w:color w:val="auto"/>
        </w:rPr>
        <w:t>Fidus Equity Fund I, L.P.</w:t>
      </w:r>
      <w:r>
        <w:rPr>
          <w:rFonts w:ascii="Arial" w:cs="Arial" w:eastAsia="Arial" w:hAnsi="Arial"/>
          <w:sz w:val="17"/>
          <w:szCs w:val="17"/>
          <w:color w:val="auto"/>
        </w:rPr>
        <w:t>: On February 25, 2020, the Company entered into a Limited Partnership Agreement (the “Agreement”) with Fidus Equity</w:t>
      </w:r>
      <w:r>
        <w:rPr>
          <w:rFonts w:ascii="Arial" w:cs="Arial" w:eastAsia="Arial" w:hAnsi="Arial"/>
          <w:sz w:val="17"/>
          <w:szCs w:val="17"/>
          <w:i w:val="1"/>
          <w:iCs w:val="1"/>
          <w:color w:val="auto"/>
        </w:rPr>
        <w:t xml:space="preserve"> </w:t>
      </w:r>
      <w:r>
        <w:rPr>
          <w:rFonts w:ascii="Arial" w:cs="Arial" w:eastAsia="Arial" w:hAnsi="Arial"/>
          <w:sz w:val="17"/>
          <w:szCs w:val="17"/>
          <w:color w:val="auto"/>
        </w:rPr>
        <w:t>Fund I, L.P. (“FEF I”). Pursuant to the Agreement, the Company will serve as the General Partner of FEF I. Owned by third-party investors, FEF I was formed to purchase 50% of select equity investments from the Company. On February 25, 2020, the Company sold 50% of its equity investments in 20 portfolio companies to FEF I and received net proceeds of $35,903, resulting in a realized gain, net of estimated taxes, of $20,404. The Company will not receive any fees from FEF I for any services provided in its capacity as the General Partner of FEF I.</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62"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 On June 16, 2014, FIC entered into a senior secured revolving credit agreement (the "Credit Agreement" and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revolving credit facility, the “Credit Facility”) with ING Capital 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Agreement. On June 26, 2020, the Company amended the Amended Credit Agreement, but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w:t>
      </w:r>
    </w:p>
    <w:p>
      <w:pPr>
        <w:spacing w:after="0" w:line="134" w:lineRule="exact"/>
        <w:rPr>
          <w:sz w:val="20"/>
          <w:szCs w:val="20"/>
          <w:color w:val="auto"/>
        </w:rPr>
      </w:pPr>
    </w:p>
    <w:p>
      <w:pPr>
        <w:jc w:val="both"/>
        <w:ind w:firstLine="469"/>
        <w:spacing w:after="0" w:line="252" w:lineRule="auto"/>
        <w:rPr>
          <w:sz w:val="20"/>
          <w:szCs w:val="20"/>
          <w:color w:val="auto"/>
        </w:rPr>
      </w:pPr>
      <w:r>
        <w:rPr>
          <w:rFonts w:ascii="Arial" w:cs="Arial" w:eastAsia="Arial" w:hAnsi="Arial"/>
          <w:sz w:val="17"/>
          <w:szCs w:val="17"/>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26" w:lineRule="exact"/>
        <w:rPr>
          <w:sz w:val="20"/>
          <w:szCs w:val="20"/>
          <w:color w:val="auto"/>
        </w:rPr>
      </w:pPr>
    </w:p>
    <w:p>
      <w:pPr>
        <w:jc w:val="both"/>
        <w:ind w:firstLine="478"/>
        <w:spacing w:after="0" w:line="284"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01"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2021 and 2020, the Company was in compliance in all material respect with the terms of the Credit Facility.</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15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December 31, 2021 and 2020, approved and unused SBA debenture commitments were $63,000 and $11,500,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2021 and 2020, the Company’s issued and outstanding SBA debentures mature as follows:</w:t>
      </w:r>
    </w:p>
    <w:p>
      <w:pPr>
        <w:spacing w:after="0" w:line="158"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3040" w:type="dxa"/>
            <w:vAlign w:val="bottom"/>
          </w:tcPr>
          <w:p>
            <w:pPr>
              <w:ind w:left="1240"/>
              <w:spacing w:after="0"/>
              <w:rPr>
                <w:sz w:val="20"/>
                <w:szCs w:val="20"/>
                <w:color w:val="auto"/>
              </w:rPr>
            </w:pPr>
            <w:r>
              <w:rPr>
                <w:rFonts w:ascii="Arial" w:cs="Arial" w:eastAsia="Arial" w:hAnsi="Arial"/>
                <w:sz w:val="18"/>
                <w:szCs w:val="18"/>
                <w:b w:val="1"/>
                <w:bCs w:val="1"/>
                <w:color w:val="auto"/>
              </w:rPr>
              <w:t>Pooling</w:t>
            </w: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2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Fixed</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60" w:type="dxa"/>
            <w:vAlign w:val="bottom"/>
          </w:tcPr>
          <w:p>
            <w:pPr>
              <w:spacing w:after="0"/>
              <w:rPr>
                <w:sz w:val="17"/>
                <w:szCs w:val="17"/>
                <w:color w:val="auto"/>
              </w:rPr>
            </w:pPr>
          </w:p>
        </w:tc>
      </w:tr>
      <w:tr>
        <w:trPr>
          <w:trHeight w:val="243"/>
        </w:trPr>
        <w:tc>
          <w:tcPr>
            <w:tcW w:w="3040" w:type="dxa"/>
            <w:vAlign w:val="bottom"/>
            <w:tcBorders>
              <w:bottom w:val="single" w:sz="8" w:color="auto"/>
            </w:tcBorders>
          </w:tcPr>
          <w:p>
            <w:pPr>
              <w:ind w:left="1260"/>
              <w:spacing w:after="0" w:line="243" w:lineRule="exact"/>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24"/>
                <w:szCs w:val="24"/>
                <w:b w:val="1"/>
                <w:bCs w:val="1"/>
                <w:color w:val="auto"/>
                <w:vertAlign w:val="superscript"/>
              </w:rPr>
              <w:t>(1)</w:t>
            </w:r>
          </w:p>
        </w:tc>
        <w:tc>
          <w:tcPr>
            <w:tcW w:w="28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8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1"/>
                <w:szCs w:val="21"/>
                <w:color w:val="auto"/>
              </w:rPr>
            </w:pPr>
          </w:p>
        </w:tc>
      </w:tr>
      <w:tr>
        <w:trPr>
          <w:trHeight w:val="196"/>
        </w:trPr>
        <w:tc>
          <w:tcPr>
            <w:tcW w:w="30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2"/>
              </w:rPr>
              <w:t>3/25/2015</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3/1/2025</w:t>
            </w:r>
          </w:p>
        </w:tc>
        <w:tc>
          <w:tcPr>
            <w:tcW w:w="2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3.277</w:t>
            </w:r>
          </w:p>
        </w:tc>
        <w:tc>
          <w:tcPr>
            <w:tcW w:w="56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22,500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22,500</w:t>
            </w:r>
          </w:p>
        </w:tc>
        <w:tc>
          <w:tcPr>
            <w:tcW w:w="60" w:type="dxa"/>
            <w:vAlign w:val="bottom"/>
            <w:shd w:val="clear" w:color="auto" w:fill="CFF0FC"/>
          </w:tcPr>
          <w:p>
            <w:pPr>
              <w:spacing w:after="0"/>
              <w:rPr>
                <w:sz w:val="17"/>
                <w:szCs w:val="17"/>
                <w:color w:val="auto"/>
              </w:rPr>
            </w:pPr>
          </w:p>
        </w:tc>
      </w:tr>
      <w:tr>
        <w:trPr>
          <w:trHeight w:val="203"/>
        </w:trPr>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2"/>
              </w:rPr>
              <w:t>9/23/2015</w:t>
            </w: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9/1/2025</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3.571</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16,700</w:t>
            </w:r>
          </w:p>
        </w:tc>
        <w:tc>
          <w:tcPr>
            <w:tcW w:w="60" w:type="dxa"/>
            <w:vAlign w:val="bottom"/>
          </w:tcPr>
          <w:p>
            <w:pPr>
              <w:spacing w:after="0"/>
              <w:rPr>
                <w:sz w:val="17"/>
                <w:szCs w:val="17"/>
                <w:color w:val="auto"/>
              </w:rPr>
            </w:pPr>
          </w:p>
        </w:tc>
      </w:tr>
      <w:tr>
        <w:trPr>
          <w:trHeight w:val="203"/>
        </w:trPr>
        <w:tc>
          <w:tcPr>
            <w:tcW w:w="30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3/23/2016</w:t>
            </w:r>
          </w:p>
        </w:tc>
        <w:tc>
          <w:tcPr>
            <w:tcW w:w="200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3/1/2026</w:t>
            </w:r>
          </w:p>
        </w:tc>
        <w:tc>
          <w:tcPr>
            <w:tcW w:w="1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3.267</w:t>
            </w: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60" w:type="dxa"/>
            <w:vAlign w:val="bottom"/>
            <w:shd w:val="clear" w:color="auto" w:fill="CFF0FC"/>
          </w:tcPr>
          <w:p>
            <w:pPr>
              <w:spacing w:after="0"/>
              <w:rPr>
                <w:sz w:val="17"/>
                <w:szCs w:val="17"/>
                <w:color w:val="auto"/>
              </w:rPr>
            </w:pPr>
          </w:p>
        </w:tc>
      </w:tr>
      <w:tr>
        <w:trPr>
          <w:trHeight w:val="203"/>
        </w:trPr>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2"/>
              </w:rPr>
              <w:t>3/23/2016</w:t>
            </w: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3/1/2026</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3.249</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21,800</w:t>
            </w:r>
          </w:p>
        </w:tc>
        <w:tc>
          <w:tcPr>
            <w:tcW w:w="60" w:type="dxa"/>
            <w:vAlign w:val="bottom"/>
          </w:tcPr>
          <w:p>
            <w:pPr>
              <w:spacing w:after="0"/>
              <w:rPr>
                <w:sz w:val="17"/>
                <w:szCs w:val="17"/>
                <w:color w:val="auto"/>
              </w:rPr>
            </w:pPr>
          </w:p>
        </w:tc>
      </w:tr>
      <w:tr>
        <w:trPr>
          <w:trHeight w:val="203"/>
        </w:trPr>
        <w:tc>
          <w:tcPr>
            <w:tcW w:w="30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9/21/2016</w:t>
            </w:r>
          </w:p>
        </w:tc>
        <w:tc>
          <w:tcPr>
            <w:tcW w:w="200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9/1/2026</w:t>
            </w:r>
          </w:p>
        </w:tc>
        <w:tc>
          <w:tcPr>
            <w:tcW w:w="1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2.793</w:t>
            </w: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60" w:type="dxa"/>
            <w:vAlign w:val="bottom"/>
            <w:shd w:val="clear" w:color="auto" w:fill="CFF0FC"/>
          </w:tcPr>
          <w:p>
            <w:pPr>
              <w:spacing w:after="0"/>
              <w:rPr>
                <w:sz w:val="17"/>
                <w:szCs w:val="17"/>
                <w:color w:val="auto"/>
              </w:rPr>
            </w:pPr>
          </w:p>
        </w:tc>
      </w:tr>
      <w:tr>
        <w:trPr>
          <w:trHeight w:val="203"/>
        </w:trPr>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2"/>
              </w:rPr>
              <w:t>3/29/2017</w:t>
            </w: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3/1/2027</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3.587</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60" w:type="dxa"/>
            <w:vAlign w:val="bottom"/>
          </w:tcPr>
          <w:p>
            <w:pPr>
              <w:spacing w:after="0"/>
              <w:rPr>
                <w:sz w:val="17"/>
                <w:szCs w:val="17"/>
                <w:color w:val="auto"/>
              </w:rPr>
            </w:pPr>
          </w:p>
        </w:tc>
      </w:tr>
      <w:tr>
        <w:trPr>
          <w:trHeight w:val="203"/>
        </w:trPr>
        <w:tc>
          <w:tcPr>
            <w:tcW w:w="30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9/20/2017</w:t>
            </w:r>
          </w:p>
        </w:tc>
        <w:tc>
          <w:tcPr>
            <w:tcW w:w="200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9/1/2027</w:t>
            </w:r>
          </w:p>
        </w:tc>
        <w:tc>
          <w:tcPr>
            <w:tcW w:w="1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3.260</w:t>
            </w: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7"/>
                <w:szCs w:val="17"/>
                <w:color w:val="auto"/>
              </w:rPr>
            </w:pPr>
          </w:p>
        </w:tc>
      </w:tr>
      <w:tr>
        <w:trPr>
          <w:trHeight w:val="203"/>
        </w:trPr>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2"/>
              </w:rPr>
              <w:t>9/20/2017</w:t>
            </w: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9/1/2027</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3.190</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33,000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33,000</w:t>
            </w:r>
          </w:p>
        </w:tc>
        <w:tc>
          <w:tcPr>
            <w:tcW w:w="60" w:type="dxa"/>
            <w:vAlign w:val="bottom"/>
          </w:tcPr>
          <w:p>
            <w:pPr>
              <w:spacing w:after="0"/>
              <w:rPr>
                <w:sz w:val="17"/>
                <w:szCs w:val="17"/>
                <w:color w:val="auto"/>
              </w:rPr>
            </w:pPr>
          </w:p>
        </w:tc>
      </w:tr>
      <w:tr>
        <w:trPr>
          <w:trHeight w:val="203"/>
        </w:trPr>
        <w:tc>
          <w:tcPr>
            <w:tcW w:w="30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3/21/2018</w:t>
            </w:r>
          </w:p>
        </w:tc>
        <w:tc>
          <w:tcPr>
            <w:tcW w:w="200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3/1/2028</w:t>
            </w:r>
          </w:p>
        </w:tc>
        <w:tc>
          <w:tcPr>
            <w:tcW w:w="1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3.859</w:t>
            </w: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16,000</w:t>
            </w:r>
          </w:p>
        </w:tc>
        <w:tc>
          <w:tcPr>
            <w:tcW w:w="60" w:type="dxa"/>
            <w:vAlign w:val="bottom"/>
            <w:shd w:val="clear" w:color="auto" w:fill="CFF0FC"/>
          </w:tcPr>
          <w:p>
            <w:pPr>
              <w:spacing w:after="0"/>
              <w:rPr>
                <w:sz w:val="17"/>
                <w:szCs w:val="17"/>
                <w:color w:val="auto"/>
              </w:rPr>
            </w:pPr>
          </w:p>
        </w:tc>
      </w:tr>
      <w:tr>
        <w:trPr>
          <w:trHeight w:val="203"/>
        </w:trPr>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2"/>
              </w:rPr>
              <w:t>3/21/2018</w:t>
            </w: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3/1/2028</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3.534</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9,000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10,500</w:t>
            </w:r>
          </w:p>
        </w:tc>
        <w:tc>
          <w:tcPr>
            <w:tcW w:w="60" w:type="dxa"/>
            <w:vAlign w:val="bottom"/>
          </w:tcPr>
          <w:p>
            <w:pPr>
              <w:spacing w:after="0"/>
              <w:rPr>
                <w:sz w:val="17"/>
                <w:szCs w:val="17"/>
                <w:color w:val="auto"/>
              </w:rPr>
            </w:pPr>
          </w:p>
        </w:tc>
      </w:tr>
      <w:tr>
        <w:trPr>
          <w:trHeight w:val="203"/>
        </w:trPr>
        <w:tc>
          <w:tcPr>
            <w:tcW w:w="30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9/25/2019</w:t>
            </w:r>
          </w:p>
        </w:tc>
        <w:tc>
          <w:tcPr>
            <w:tcW w:w="200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9/1/2029</w:t>
            </w:r>
          </w:p>
        </w:tc>
        <w:tc>
          <w:tcPr>
            <w:tcW w:w="1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2.377</w:t>
            </w: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60" w:type="dxa"/>
            <w:vAlign w:val="bottom"/>
            <w:shd w:val="clear" w:color="auto" w:fill="CFF0FC"/>
          </w:tcPr>
          <w:p>
            <w:pPr>
              <w:spacing w:after="0"/>
              <w:rPr>
                <w:sz w:val="17"/>
                <w:szCs w:val="17"/>
                <w:color w:val="auto"/>
              </w:rPr>
            </w:pPr>
          </w:p>
        </w:tc>
      </w:tr>
      <w:tr>
        <w:trPr>
          <w:trHeight w:val="203"/>
        </w:trPr>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2"/>
              </w:rPr>
              <w:t>3/25/2020</w:t>
            </w: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3/1/2030</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2.172</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6,000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6,000</w:t>
            </w:r>
          </w:p>
        </w:tc>
        <w:tc>
          <w:tcPr>
            <w:tcW w:w="60" w:type="dxa"/>
            <w:vAlign w:val="bottom"/>
          </w:tcPr>
          <w:p>
            <w:pPr>
              <w:spacing w:after="0"/>
              <w:rPr>
                <w:sz w:val="17"/>
                <w:szCs w:val="17"/>
                <w:color w:val="auto"/>
              </w:rPr>
            </w:pPr>
          </w:p>
        </w:tc>
      </w:tr>
      <w:tr>
        <w:trPr>
          <w:trHeight w:val="203"/>
        </w:trPr>
        <w:tc>
          <w:tcPr>
            <w:tcW w:w="30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9/22/2021</w:t>
            </w:r>
          </w:p>
        </w:tc>
        <w:tc>
          <w:tcPr>
            <w:tcW w:w="200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9/1/2031</w:t>
            </w:r>
          </w:p>
        </w:tc>
        <w:tc>
          <w:tcPr>
            <w:tcW w:w="1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1.398</w:t>
            </w: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11,500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0"/>
              </w:rPr>
              <w:t>(2)</w:t>
            </w:r>
          </w:p>
        </w:tc>
        <w:tc>
          <w:tcPr>
            <w:tcW w:w="19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0"/>
              </w:rPr>
              <w:t>(2)</w:t>
            </w:r>
          </w:p>
        </w:tc>
        <w:tc>
          <w:tcPr>
            <w:tcW w:w="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12,000</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30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outstanding SBA debentures</w:t>
            </w:r>
          </w:p>
        </w:tc>
        <w:tc>
          <w:tcPr>
            <w:tcW w:w="28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107,000</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147,000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342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342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500" w:right="40" w:hanging="479"/>
        <w:spacing w:after="0" w:line="215"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4"/>
          <w:szCs w:val="14"/>
          <w:color w:val="auto"/>
        </w:rPr>
        <w:t>The SBA has two scheduled pooling dates for debentures (in March and in September). Certain debentures funded during the reporting periods may not be pooled until the subsequent pooling date.</w:t>
      </w:r>
    </w:p>
    <w:p>
      <w:pPr>
        <w:spacing w:after="0" w:line="1" w:lineRule="exact"/>
        <w:rPr>
          <w:rFonts w:ascii="Arial" w:cs="Arial" w:eastAsia="Arial" w:hAnsi="Arial"/>
          <w:sz w:val="18"/>
          <w:szCs w:val="18"/>
          <w:color w:val="auto"/>
        </w:rPr>
      </w:pPr>
    </w:p>
    <w:p>
      <w:pPr>
        <w:ind w:left="500" w:right="40" w:hanging="479"/>
        <w:spacing w:after="0" w:line="211"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4"/>
          <w:szCs w:val="14"/>
          <w:color w:val="auto"/>
        </w:rPr>
        <w:t>(2) The Company issued $12,000 in SBA debentures which will pool in March 2022. Until the pooling date, the debentures bear interest at a fixed rate interim interest rate of 0.91%. The Company expects the current interim interest rate will reset to a higher long-term fixed rate on the pooling date.</w:t>
      </w:r>
    </w:p>
    <w:p>
      <w:pPr>
        <w:spacing w:after="0" w:line="147" w:lineRule="exact"/>
        <w:rPr>
          <w:sz w:val="20"/>
          <w:szCs w:val="20"/>
          <w:color w:val="auto"/>
        </w:rPr>
      </w:pPr>
    </w:p>
    <w:p>
      <w:pPr>
        <w:jc w:val="both"/>
        <w:ind w:firstLine="469"/>
        <w:spacing w:after="0" w:line="279" w:lineRule="auto"/>
        <w:rPr>
          <w:sz w:val="20"/>
          <w:szCs w:val="20"/>
          <w:color w:val="auto"/>
        </w:rPr>
      </w:pPr>
      <w:r>
        <w:rPr>
          <w:rFonts w:ascii="Arial" w:cs="Arial" w:eastAsia="Arial" w:hAnsi="Arial"/>
          <w:sz w:val="16"/>
          <w:szCs w:val="16"/>
          <w:i w:val="1"/>
          <w:iCs w:val="1"/>
          <w:color w:val="auto"/>
        </w:rPr>
        <w:t xml:space="preserve">Notes: </w:t>
      </w:r>
      <w:r>
        <w:rPr>
          <w:rFonts w:ascii="Arial" w:cs="Arial" w:eastAsia="Arial" w:hAnsi="Arial"/>
          <w:sz w:val="16"/>
          <w:szCs w:val="16"/>
          <w:color w:val="auto"/>
        </w:rPr>
        <w:t>On February 2, 2018, the Company closed the public offering of approximately $43,478 in aggregate principal amount of its 5.875% notes</w:t>
      </w:r>
      <w:r>
        <w:rPr>
          <w:rFonts w:ascii="Arial" w:cs="Arial" w:eastAsia="Arial" w:hAnsi="Arial"/>
          <w:sz w:val="16"/>
          <w:szCs w:val="16"/>
          <w:i w:val="1"/>
          <w:iCs w:val="1"/>
          <w:color w:val="auto"/>
        </w:rPr>
        <w:t xml:space="preserve"> </w:t>
      </w:r>
      <w:r>
        <w:rPr>
          <w:rFonts w:ascii="Arial" w:cs="Arial" w:eastAsia="Arial" w:hAnsi="Arial"/>
          <w:sz w:val="16"/>
          <w:szCs w:val="16"/>
          <w:color w:val="auto"/>
        </w:rPr>
        <w:t>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 On January 19, 2021, the Company redeemed $50,000 in aggregate principal amount of the issued and outstanding 2023 Notes, resulting in a realized loss on extinguishment of debt of approximately $794.</w:t>
      </w:r>
    </w:p>
    <w:p>
      <w:pPr>
        <w:spacing w:after="0" w:line="10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 On February 16, 2021, the Company redeemed $50,000 of the $69,000 aggregate principal amount on the February 2024 Notes, resulting in a realized loss on extinguishment of debt of approximately $1,081. On November 2, 2021, we fully redeemed the remaining $19,000 in aggregate principal amount on the issued and outstanding February 2024 Notes, resulting in a realized loss on extinguishment of debt of approximately $313.</w:t>
      </w:r>
    </w:p>
    <w:p>
      <w:pPr>
        <w:spacing w:after="0" w:line="12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On October 16, 2019, the Company closed the public offering of approximately $55,000 in aggregate principal amount of its 5.375% notes due 2024, or the “November 2024 Notes” (and collectively with the 2023 Notes and February 2024 Notes, the “Public Notes” and collectively with the February 2024 Notes, the "2024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$300, were approximately $61,053. On November 2, 2021, we fully redeemed $63,250 in aggregate principal amount on the issued and outstanding November 2024 Notes, resulting in a realized loss on extinguishment of debt of approximately $1,311.</w:t>
      </w:r>
    </w:p>
    <w:p>
      <w:pPr>
        <w:spacing w:after="0" w:line="137" w:lineRule="exact"/>
        <w:rPr>
          <w:sz w:val="20"/>
          <w:szCs w:val="20"/>
          <w:color w:val="auto"/>
        </w:rPr>
      </w:pPr>
    </w:p>
    <w:p>
      <w:pPr>
        <w:jc w:val="both"/>
        <w:ind w:firstLine="469"/>
        <w:spacing w:after="0" w:line="239" w:lineRule="auto"/>
        <w:rPr>
          <w:sz w:val="20"/>
          <w:szCs w:val="20"/>
          <w:color w:val="auto"/>
        </w:rPr>
      </w:pPr>
      <w:r>
        <w:rPr>
          <w:rFonts w:ascii="Arial" w:cs="Arial" w:eastAsia="Arial" w:hAnsi="Arial"/>
          <w:sz w:val="18"/>
          <w:szCs w:val="18"/>
          <w:color w:val="auto"/>
        </w:rPr>
        <w:t>On December 23, 2020, the Company closed the offering of approximately $125,000 in aggregate principal amount of its 4.75% notes due 2026, or the “January 2026 Notes”. The total net proceeds to the Company from the January 2026 Notes after deducting underwriting discounts of approximately $2,500 and estimated offering expenses of $400, were approximately $122,100.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 beginning July 31, 2021. The Company does not intend to list the January 2026 Notes on any securities exchange or automated dealer quotation system.</w:t>
      </w:r>
    </w:p>
    <w:p>
      <w:pPr>
        <w:spacing w:after="0" w:line="137" w:lineRule="exact"/>
        <w:rPr>
          <w:sz w:val="20"/>
          <w:szCs w:val="20"/>
          <w:color w:val="auto"/>
        </w:rPr>
      </w:pPr>
    </w:p>
    <w:p>
      <w:pPr>
        <w:jc w:val="both"/>
        <w:ind w:firstLine="469"/>
        <w:spacing w:after="0" w:line="238" w:lineRule="auto"/>
        <w:rPr>
          <w:sz w:val="20"/>
          <w:szCs w:val="20"/>
          <w:color w:val="auto"/>
        </w:rPr>
      </w:pPr>
      <w:r>
        <w:rPr>
          <w:rFonts w:ascii="Arial" w:cs="Arial" w:eastAsia="Arial" w:hAnsi="Arial"/>
          <w:sz w:val="18"/>
          <w:szCs w:val="18"/>
          <w:color w:val="auto"/>
        </w:rPr>
        <w:t>On October 8, 2021, the Company closed the offering of approximately $125,000 in aggregate principal amount of its 3.50% notes due 2026, or the “November 2026 Notes” (collectively with the Public Notes and the January 2026 Notes, the “Notes”). The total net proceeds to the Company from the November 2026 Notes, based on a public offering price of 99.996% of par, after deducting underwriting discounts of approximately $2,505 and estimated offering expenses of $400, were approximately $122,095. The November 2026 Notes will mature on November 15, 2026 and bear interest at a rate of 3.50%. The November 2026 Notes may be redeemed in</w:t>
      </w:r>
    </w:p>
    <w:p>
      <w:pPr>
        <w:spacing w:after="0" w:line="2"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11" w:name="page112"/>
    <w:bookmarkEnd w:id="111"/>
    <w:p>
      <w:pPr>
        <w:jc w:val="both"/>
        <w:spacing w:after="0" w:line="248" w:lineRule="auto"/>
        <w:rPr>
          <w:sz w:val="20"/>
          <w:szCs w:val="20"/>
          <w:color w:val="auto"/>
        </w:rPr>
      </w:pPr>
      <w:r>
        <w:rPr>
          <w:rFonts w:ascii="Arial" w:cs="Arial" w:eastAsia="Arial" w:hAnsi="Arial"/>
          <w:sz w:val="18"/>
          <w:szCs w:val="18"/>
          <w:color w:val="auto"/>
        </w:rPr>
        <w:t>whole or in part at any time or from time to time at our option subject to a make whole provision if redeemed more than three months prior to maturity and at par thereafter. Interest on the November 2026 Notes is payable on May 15 and November 15 of each year, beginning May 15, 2022. The Company does not intend to list the November 2026 Notes on any securities exchange or automated dealer quotation system.</w:t>
      </w:r>
    </w:p>
    <w:p>
      <w:pPr>
        <w:spacing w:after="0" w:line="128" w:lineRule="exact"/>
        <w:rPr>
          <w:sz w:val="20"/>
          <w:szCs w:val="20"/>
          <w:color w:val="auto"/>
        </w:rPr>
      </w:pPr>
    </w:p>
    <w:p>
      <w:pPr>
        <w:jc w:val="both"/>
        <w:ind w:firstLine="469"/>
        <w:spacing w:after="0" w:line="243" w:lineRule="auto"/>
        <w:rPr>
          <w:sz w:val="20"/>
          <w:szCs w:val="20"/>
          <w:color w:val="auto"/>
        </w:rPr>
      </w:pPr>
      <w:r>
        <w:rPr>
          <w:rFonts w:ascii="Arial" w:cs="Arial" w:eastAsia="Arial" w:hAnsi="Arial"/>
          <w:sz w:val="18"/>
          <w:szCs w:val="18"/>
          <w:color w:val="auto"/>
        </w:rPr>
        <w:t>Each of the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Borrowing</w:t>
      </w:r>
    </w:p>
    <w:p>
      <w:pPr>
        <w:spacing w:after="0" w:line="158" w:lineRule="exact"/>
        <w:rPr>
          <w:sz w:val="20"/>
          <w:szCs w:val="20"/>
          <w:color w:val="auto"/>
        </w:rPr>
      </w:pPr>
    </w:p>
    <w:p>
      <w:pPr>
        <w:jc w:val="both"/>
        <w:ind w:left="20" w:firstLine="461"/>
        <w:spacing w:after="0" w:line="241" w:lineRule="auto"/>
        <w:rPr>
          <w:sz w:val="20"/>
          <w:szCs w:val="20"/>
          <w:color w:val="auto"/>
        </w:rPr>
      </w:pPr>
      <w:r>
        <w:rPr>
          <w:rFonts w:ascii="Arial" w:cs="Arial" w:eastAsia="Arial" w:hAnsi="Arial"/>
          <w:sz w:val="18"/>
          <w:szCs w:val="18"/>
          <w:color w:val="auto"/>
        </w:rPr>
        <w:t>As of December 31, 2021, the carrying value of secured borrowings totaled $17,637 and the fair value of the associated loans included in investments was $17,522. As of December 31, 2020, there were no secured borrowings outstanding.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4.4% as of December 31, 2021.</w:t>
      </w:r>
    </w:p>
    <w:p>
      <w:pPr>
        <w:spacing w:after="0" w:line="135"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7"/>
          <w:szCs w:val="17"/>
          <w:color w:val="auto"/>
        </w:rPr>
        <w:t>As of December 31, 2021, and December 31, 2020, the aggregate amount outstanding of the senior securities (including secured borrowings) issued by the Company was $267,637 and $307,250, respectively, for which our asset coverage was 282.2% and 233.7% respectively. The SBA-guaranteed debentures are not subject to the asset coverage requirements of the 1940 Act as a result of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Financing Expenses</w:t>
      </w:r>
    </w:p>
    <w:p>
      <w:pPr>
        <w:spacing w:after="0" w:line="158"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Interest and fees related to the Company’s debt for the years ended December 31, 2021, 2020 and 2019 which are included in interest and financing expenses on the consolidated statements of operations,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20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8"/>
          </w:tcPr>
          <w:p>
            <w:pPr>
              <w:jc w:val="right"/>
              <w:ind w:right="64"/>
              <w:spacing w:after="0"/>
              <w:rPr>
                <w:sz w:val="20"/>
                <w:szCs w:val="20"/>
                <w:color w:val="auto"/>
              </w:rPr>
            </w:pPr>
            <w:r>
              <w:rPr>
                <w:rFonts w:ascii="Arial" w:cs="Arial" w:eastAsia="Arial" w:hAnsi="Arial"/>
                <w:sz w:val="7"/>
                <w:szCs w:val="7"/>
                <w:b w:val="1"/>
                <w:bCs w:val="1"/>
                <w:color w:val="auto"/>
              </w:rPr>
              <w:t>Year Ended December 31, 2021</w:t>
            </w: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7"/>
          </w:tcPr>
          <w:p>
            <w:pPr>
              <w:ind w:left="260"/>
              <w:spacing w:after="0"/>
              <w:rPr>
                <w:sz w:val="20"/>
                <w:szCs w:val="20"/>
                <w:color w:val="auto"/>
              </w:rPr>
            </w:pPr>
            <w:r>
              <w:rPr>
                <w:rFonts w:ascii="Arial" w:cs="Arial" w:eastAsia="Arial" w:hAnsi="Arial"/>
                <w:sz w:val="7"/>
                <w:szCs w:val="7"/>
                <w:b w:val="1"/>
                <w:bCs w:val="1"/>
                <w:color w:val="auto"/>
                <w:w w:val="98"/>
              </w:rPr>
              <w:t>Year Ended December 31, 2020</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9"/>
          </w:tcPr>
          <w:p>
            <w:pPr>
              <w:jc w:val="right"/>
              <w:ind w:right="325"/>
              <w:spacing w:after="0"/>
              <w:rPr>
                <w:sz w:val="20"/>
                <w:szCs w:val="20"/>
                <w:color w:val="auto"/>
              </w:rPr>
            </w:pPr>
            <w:r>
              <w:rPr>
                <w:rFonts w:ascii="Arial" w:cs="Arial" w:eastAsia="Arial" w:hAnsi="Arial"/>
                <w:sz w:val="7"/>
                <w:szCs w:val="7"/>
                <w:b w:val="1"/>
                <w:bCs w:val="1"/>
                <w:color w:val="auto"/>
              </w:rPr>
              <w:t>Year Ended December 31, 2019</w:t>
            </w: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jc w:val="right"/>
              <w:ind w:right="145"/>
              <w:spacing w:after="0" w:line="65" w:lineRule="exact"/>
              <w:rPr>
                <w:sz w:val="20"/>
                <w:szCs w:val="20"/>
                <w:color w:val="auto"/>
              </w:rPr>
            </w:pPr>
            <w:r>
              <w:rPr>
                <w:rFonts w:ascii="Arial" w:cs="Arial" w:eastAsia="Arial" w:hAnsi="Arial"/>
                <w:sz w:val="7"/>
                <w:szCs w:val="7"/>
                <w:b w:val="1"/>
                <w:bCs w:val="1"/>
                <w:color w:val="auto"/>
              </w:rPr>
              <w:t>SBA</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jc w:val="right"/>
              <w:ind w:right="105"/>
              <w:spacing w:after="0" w:line="65" w:lineRule="exact"/>
              <w:rPr>
                <w:sz w:val="20"/>
                <w:szCs w:val="20"/>
                <w:color w:val="auto"/>
              </w:rPr>
            </w:pPr>
            <w:r>
              <w:rPr>
                <w:rFonts w:ascii="Arial" w:cs="Arial" w:eastAsia="Arial" w:hAnsi="Arial"/>
                <w:sz w:val="7"/>
                <w:szCs w:val="7"/>
                <w:b w:val="1"/>
                <w:bCs w:val="1"/>
                <w:color w:val="auto"/>
                <w:w w:val="98"/>
              </w:rPr>
              <w:t>Credit</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jc w:val="right"/>
              <w:ind w:right="105"/>
              <w:spacing w:after="0" w:line="65" w:lineRule="exact"/>
              <w:rPr>
                <w:sz w:val="20"/>
                <w:szCs w:val="20"/>
                <w:color w:val="auto"/>
              </w:rPr>
            </w:pPr>
            <w:r>
              <w:rPr>
                <w:rFonts w:ascii="Arial" w:cs="Arial" w:eastAsia="Arial" w:hAnsi="Arial"/>
                <w:sz w:val="7"/>
                <w:szCs w:val="7"/>
                <w:b w:val="1"/>
                <w:bCs w:val="1"/>
                <w:color w:val="auto"/>
              </w:rPr>
              <w:t>Secured</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jc w:val="right"/>
              <w:ind w:right="105"/>
              <w:spacing w:after="0"/>
              <w:rPr>
                <w:sz w:val="20"/>
                <w:szCs w:val="20"/>
                <w:color w:val="auto"/>
              </w:rPr>
            </w:pPr>
            <w:r>
              <w:rPr>
                <w:rFonts w:ascii="Arial" w:cs="Arial" w:eastAsia="Arial" w:hAnsi="Arial"/>
                <w:sz w:val="7"/>
                <w:szCs w:val="7"/>
                <w:b w:val="1"/>
                <w:bCs w:val="1"/>
                <w:color w:val="auto"/>
                <w:w w:val="92"/>
              </w:rPr>
              <w:t>Notes</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jc w:val="right"/>
              <w:ind w:right="105"/>
              <w:spacing w:after="0"/>
              <w:rPr>
                <w:sz w:val="20"/>
                <w:szCs w:val="20"/>
                <w:color w:val="auto"/>
              </w:rPr>
            </w:pPr>
            <w:r>
              <w:rPr>
                <w:rFonts w:ascii="Arial" w:cs="Arial" w:eastAsia="Arial" w:hAnsi="Arial"/>
                <w:sz w:val="7"/>
                <w:szCs w:val="7"/>
                <w:b w:val="1"/>
                <w:bCs w:val="1"/>
                <w:color w:val="auto"/>
              </w:rPr>
              <w:t>Total</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ind w:right="165"/>
              <w:spacing w:after="0" w:line="65" w:lineRule="exact"/>
              <w:rPr>
                <w:sz w:val="20"/>
                <w:szCs w:val="20"/>
                <w:color w:val="auto"/>
              </w:rPr>
            </w:pPr>
            <w:r>
              <w:rPr>
                <w:rFonts w:ascii="Arial" w:cs="Arial" w:eastAsia="Arial" w:hAnsi="Arial"/>
                <w:sz w:val="7"/>
                <w:szCs w:val="7"/>
                <w:b w:val="1"/>
                <w:bCs w:val="1"/>
                <w:color w:val="auto"/>
              </w:rPr>
              <w:t>SBA</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tcPr>
          <w:p>
            <w:pPr>
              <w:jc w:val="right"/>
              <w:ind w:right="220"/>
              <w:spacing w:after="0" w:line="65" w:lineRule="exact"/>
              <w:rPr>
                <w:sz w:val="20"/>
                <w:szCs w:val="20"/>
                <w:color w:val="auto"/>
              </w:rPr>
            </w:pPr>
            <w:r>
              <w:rPr>
                <w:rFonts w:ascii="Arial" w:cs="Arial" w:eastAsia="Arial" w:hAnsi="Arial"/>
                <w:sz w:val="7"/>
                <w:szCs w:val="7"/>
                <w:b w:val="1"/>
                <w:bCs w:val="1"/>
                <w:color w:val="auto"/>
              </w:rPr>
              <w:t>Credit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tcPr>
          <w:p>
            <w:pPr>
              <w:jc w:val="center"/>
              <w:ind w:right="200"/>
              <w:spacing w:after="0" w:line="65" w:lineRule="exact"/>
              <w:rPr>
                <w:sz w:val="20"/>
                <w:szCs w:val="20"/>
                <w:color w:val="auto"/>
              </w:rPr>
            </w:pPr>
            <w:r>
              <w:rPr>
                <w:rFonts w:ascii="Arial" w:cs="Arial" w:eastAsia="Arial" w:hAnsi="Arial"/>
                <w:sz w:val="7"/>
                <w:szCs w:val="7"/>
                <w:b w:val="1"/>
                <w:bCs w:val="1"/>
                <w:color w:val="auto"/>
                <w:w w:val="86"/>
              </w:rPr>
              <w:t>Secured</w:t>
            </w:r>
          </w:p>
        </w:tc>
        <w:tc>
          <w:tcPr>
            <w:tcW w:w="80" w:type="dxa"/>
            <w:vAlign w:val="bottom"/>
          </w:tcPr>
          <w:p>
            <w:pPr>
              <w:spacing w:after="0"/>
              <w:rPr>
                <w:sz w:val="5"/>
                <w:szCs w:val="5"/>
                <w:color w:val="auto"/>
              </w:rPr>
            </w:pPr>
          </w:p>
        </w:tc>
        <w:tc>
          <w:tcPr>
            <w:tcW w:w="320" w:type="dxa"/>
            <w:vAlign w:val="bottom"/>
            <w:vMerge w:val="restart"/>
          </w:tcPr>
          <w:p>
            <w:pPr>
              <w:jc w:val="right"/>
              <w:ind w:right="85"/>
              <w:spacing w:after="0"/>
              <w:rPr>
                <w:sz w:val="20"/>
                <w:szCs w:val="20"/>
                <w:color w:val="auto"/>
              </w:rPr>
            </w:pPr>
            <w:r>
              <w:rPr>
                <w:rFonts w:ascii="Arial" w:cs="Arial" w:eastAsia="Arial" w:hAnsi="Arial"/>
                <w:sz w:val="7"/>
                <w:szCs w:val="7"/>
                <w:b w:val="1"/>
                <w:bCs w:val="1"/>
                <w:color w:val="auto"/>
                <w:w w:val="92"/>
              </w:rPr>
              <w:t>Notes</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vMerge w:val="restart"/>
          </w:tcPr>
          <w:p>
            <w:pPr>
              <w:jc w:val="right"/>
              <w:ind w:right="85"/>
              <w:spacing w:after="0"/>
              <w:rPr>
                <w:sz w:val="20"/>
                <w:szCs w:val="20"/>
                <w:color w:val="auto"/>
              </w:rPr>
            </w:pPr>
            <w:r>
              <w:rPr>
                <w:rFonts w:ascii="Arial" w:cs="Arial" w:eastAsia="Arial" w:hAnsi="Arial"/>
                <w:sz w:val="7"/>
                <w:szCs w:val="7"/>
                <w:b w:val="1"/>
                <w:bCs w:val="1"/>
                <w:color w:val="auto"/>
              </w:rPr>
              <w:t>Total</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jc w:val="right"/>
              <w:ind w:right="105"/>
              <w:spacing w:after="0" w:line="65" w:lineRule="exact"/>
              <w:rPr>
                <w:sz w:val="20"/>
                <w:szCs w:val="20"/>
                <w:color w:val="auto"/>
              </w:rPr>
            </w:pPr>
            <w:r>
              <w:rPr>
                <w:rFonts w:ascii="Arial" w:cs="Arial" w:eastAsia="Arial" w:hAnsi="Arial"/>
                <w:sz w:val="7"/>
                <w:szCs w:val="7"/>
                <w:b w:val="1"/>
                <w:bCs w:val="1"/>
                <w:color w:val="auto"/>
              </w:rPr>
              <w:t>SBA</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jc w:val="right"/>
              <w:ind w:right="85"/>
              <w:spacing w:after="0" w:line="65" w:lineRule="exact"/>
              <w:rPr>
                <w:sz w:val="20"/>
                <w:szCs w:val="20"/>
                <w:color w:val="auto"/>
              </w:rPr>
            </w:pPr>
            <w:r>
              <w:rPr>
                <w:rFonts w:ascii="Arial" w:cs="Arial" w:eastAsia="Arial" w:hAnsi="Arial"/>
                <w:sz w:val="7"/>
                <w:szCs w:val="7"/>
                <w:b w:val="1"/>
                <w:bCs w:val="1"/>
                <w:color w:val="auto"/>
                <w:w w:val="98"/>
              </w:rPr>
              <w:t>Credit</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vMerge w:val="restart"/>
          </w:tcPr>
          <w:p>
            <w:pPr>
              <w:jc w:val="right"/>
              <w:ind w:right="25"/>
              <w:spacing w:after="0"/>
              <w:rPr>
                <w:sz w:val="20"/>
                <w:szCs w:val="20"/>
                <w:color w:val="auto"/>
              </w:rPr>
            </w:pPr>
            <w:r>
              <w:rPr>
                <w:rFonts w:ascii="Arial" w:cs="Arial" w:eastAsia="Arial" w:hAnsi="Arial"/>
                <w:sz w:val="7"/>
                <w:szCs w:val="7"/>
                <w:b w:val="1"/>
                <w:bCs w:val="1"/>
                <w:color w:val="auto"/>
                <w:w w:val="82"/>
              </w:rPr>
              <w:t>Notes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jc w:val="right"/>
              <w:ind w:right="105"/>
              <w:spacing w:after="0" w:line="65" w:lineRule="exact"/>
              <w:rPr>
                <w:sz w:val="20"/>
                <w:szCs w:val="20"/>
                <w:color w:val="auto"/>
              </w:rPr>
            </w:pPr>
            <w:r>
              <w:rPr>
                <w:rFonts w:ascii="Arial" w:cs="Arial" w:eastAsia="Arial" w:hAnsi="Arial"/>
                <w:sz w:val="7"/>
                <w:szCs w:val="7"/>
                <w:b w:val="1"/>
                <w:bCs w:val="1"/>
                <w:color w:val="auto"/>
              </w:rPr>
              <w:t>Secured</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vMerge w:val="restart"/>
          </w:tcPr>
          <w:p>
            <w:pPr>
              <w:jc w:val="right"/>
              <w:ind w:right="65"/>
              <w:spacing w:after="0"/>
              <w:rPr>
                <w:sz w:val="20"/>
                <w:szCs w:val="20"/>
                <w:color w:val="auto"/>
              </w:rPr>
            </w:pPr>
            <w:r>
              <w:rPr>
                <w:rFonts w:ascii="Arial" w:cs="Arial" w:eastAsia="Arial" w:hAnsi="Arial"/>
                <w:sz w:val="7"/>
                <w:szCs w:val="7"/>
                <w:b w:val="1"/>
                <w:bCs w:val="1"/>
                <w:color w:val="auto"/>
                <w:w w:val="95"/>
              </w:rPr>
              <w:t>Total</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vMerge w:val="restart"/>
          </w:tcPr>
          <w:p>
            <w:pPr>
              <w:jc w:val="right"/>
              <w:ind w:right="45"/>
              <w:spacing w:after="0"/>
              <w:rPr>
                <w:sz w:val="20"/>
                <w:szCs w:val="20"/>
                <w:color w:val="auto"/>
              </w:rPr>
            </w:pPr>
            <w:r>
              <w:rPr>
                <w:rFonts w:ascii="Arial" w:cs="Arial" w:eastAsia="Arial" w:hAnsi="Arial"/>
                <w:sz w:val="7"/>
                <w:szCs w:val="7"/>
                <w:b w:val="1"/>
                <w:bCs w:val="1"/>
                <w:color w:val="auto"/>
                <w:w w:val="84"/>
              </w:rPr>
              <w:t>debentures</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vMerge w:val="restart"/>
          </w:tcPr>
          <w:p>
            <w:pPr>
              <w:jc w:val="right"/>
              <w:ind w:right="65"/>
              <w:spacing w:after="0"/>
              <w:rPr>
                <w:sz w:val="20"/>
                <w:szCs w:val="20"/>
                <w:color w:val="auto"/>
              </w:rPr>
            </w:pPr>
            <w:r>
              <w:rPr>
                <w:rFonts w:ascii="Arial" w:cs="Arial" w:eastAsia="Arial" w:hAnsi="Arial"/>
                <w:sz w:val="7"/>
                <w:szCs w:val="7"/>
                <w:b w:val="1"/>
                <w:bCs w:val="1"/>
                <w:color w:val="auto"/>
                <w:w w:val="99"/>
              </w:rPr>
              <w:t>Facility</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restart"/>
          </w:tcPr>
          <w:p>
            <w:pPr>
              <w:jc w:val="right"/>
              <w:ind w:right="25"/>
              <w:spacing w:after="0"/>
              <w:rPr>
                <w:sz w:val="20"/>
                <w:szCs w:val="20"/>
                <w:color w:val="auto"/>
              </w:rPr>
            </w:pPr>
            <w:r>
              <w:rPr>
                <w:rFonts w:ascii="Arial" w:cs="Arial" w:eastAsia="Arial" w:hAnsi="Arial"/>
                <w:sz w:val="7"/>
                <w:szCs w:val="7"/>
                <w:b w:val="1"/>
                <w:bCs w:val="1"/>
                <w:color w:val="auto"/>
                <w:w w:val="92"/>
              </w:rPr>
              <w:t>Borrowings</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vMerge w:val="restart"/>
          </w:tcPr>
          <w:p>
            <w:pPr>
              <w:jc w:val="right"/>
              <w:ind w:right="45"/>
              <w:spacing w:after="0"/>
              <w:rPr>
                <w:sz w:val="20"/>
                <w:szCs w:val="20"/>
                <w:color w:val="auto"/>
              </w:rPr>
            </w:pPr>
            <w:r>
              <w:rPr>
                <w:rFonts w:ascii="Arial" w:cs="Arial" w:eastAsia="Arial" w:hAnsi="Arial"/>
                <w:sz w:val="7"/>
                <w:szCs w:val="7"/>
                <w:b w:val="1"/>
                <w:bCs w:val="1"/>
                <w:color w:val="auto"/>
                <w:w w:val="89"/>
              </w:rPr>
              <w:t>debentures</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7"/>
                <w:szCs w:val="7"/>
                <w:b w:val="1"/>
                <w:bCs w:val="1"/>
                <w:color w:val="auto"/>
                <w:w w:val="99"/>
              </w:rPr>
              <w:t>Facility</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3"/>
            <w:vMerge w:val="restart"/>
          </w:tcPr>
          <w:p>
            <w:pPr>
              <w:jc w:val="center"/>
              <w:ind w:right="200"/>
              <w:spacing w:after="0"/>
              <w:rPr>
                <w:sz w:val="20"/>
                <w:szCs w:val="20"/>
                <w:color w:val="auto"/>
              </w:rPr>
            </w:pPr>
            <w:r>
              <w:rPr>
                <w:rFonts w:ascii="Arial" w:cs="Arial" w:eastAsia="Arial" w:hAnsi="Arial"/>
                <w:sz w:val="7"/>
                <w:szCs w:val="7"/>
                <w:b w:val="1"/>
                <w:bCs w:val="1"/>
                <w:color w:val="auto"/>
                <w:w w:val="92"/>
              </w:rPr>
              <w:t>Borrowings</w:t>
            </w:r>
          </w:p>
        </w:tc>
        <w:tc>
          <w:tcPr>
            <w:tcW w:w="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gridSpan w:val="2"/>
            <w:vMerge w:val="restart"/>
          </w:tcPr>
          <w:p>
            <w:pPr>
              <w:jc w:val="right"/>
              <w:ind w:right="5"/>
              <w:spacing w:after="0"/>
              <w:rPr>
                <w:sz w:val="20"/>
                <w:szCs w:val="20"/>
                <w:color w:val="auto"/>
              </w:rPr>
            </w:pPr>
            <w:r>
              <w:rPr>
                <w:rFonts w:ascii="Arial" w:cs="Arial" w:eastAsia="Arial" w:hAnsi="Arial"/>
                <w:sz w:val="7"/>
                <w:szCs w:val="7"/>
                <w:b w:val="1"/>
                <w:bCs w:val="1"/>
                <w:color w:val="auto"/>
                <w:w w:val="95"/>
              </w:rPr>
              <w:t>debentures</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vMerge w:val="restart"/>
          </w:tcPr>
          <w:p>
            <w:pPr>
              <w:jc w:val="right"/>
              <w:ind w:right="65"/>
              <w:spacing w:after="0"/>
              <w:rPr>
                <w:sz w:val="20"/>
                <w:szCs w:val="20"/>
                <w:color w:val="auto"/>
              </w:rPr>
            </w:pPr>
            <w:r>
              <w:rPr>
                <w:rFonts w:ascii="Arial" w:cs="Arial" w:eastAsia="Arial" w:hAnsi="Arial"/>
                <w:sz w:val="7"/>
                <w:szCs w:val="7"/>
                <w:b w:val="1"/>
                <w:bCs w:val="1"/>
                <w:color w:val="auto"/>
                <w:w w:val="90"/>
              </w:rPr>
              <w:t>Facility</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vMerge w:val="restart"/>
          </w:tcPr>
          <w:p>
            <w:pPr>
              <w:jc w:val="right"/>
              <w:ind w:right="45"/>
              <w:spacing w:after="0"/>
              <w:rPr>
                <w:sz w:val="20"/>
                <w:szCs w:val="20"/>
                <w:color w:val="auto"/>
              </w:rPr>
            </w:pPr>
            <w:r>
              <w:rPr>
                <w:rFonts w:ascii="Arial" w:cs="Arial" w:eastAsia="Arial" w:hAnsi="Arial"/>
                <w:sz w:val="7"/>
                <w:szCs w:val="7"/>
                <w:b w:val="1"/>
                <w:bCs w:val="1"/>
                <w:color w:val="auto"/>
                <w:w w:val="92"/>
              </w:rPr>
              <w:t>Borrowings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20" w:type="dxa"/>
            <w:vAlign w:val="bottom"/>
            <w:shd w:val="clear" w:color="auto" w:fill="CCEEFF"/>
          </w:tcPr>
          <w:p>
            <w:pPr>
              <w:ind w:left="20"/>
              <w:spacing w:after="0"/>
              <w:rPr>
                <w:sz w:val="20"/>
                <w:szCs w:val="20"/>
                <w:color w:val="auto"/>
              </w:rPr>
            </w:pPr>
            <w:r>
              <w:rPr>
                <w:rFonts w:ascii="Arial" w:cs="Arial" w:eastAsia="Arial" w:hAnsi="Arial"/>
                <w:sz w:val="7"/>
                <w:szCs w:val="7"/>
                <w:color w:val="auto"/>
              </w:rPr>
              <w:t>Stated interest expense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3,810</w:t>
            </w:r>
          </w:p>
        </w:tc>
        <w:tc>
          <w:tcPr>
            <w:tcW w:w="180" w:type="dxa"/>
            <w:vAlign w:val="bottom"/>
            <w:gridSpan w:val="2"/>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1,467</w:t>
            </w:r>
          </w:p>
        </w:tc>
        <w:tc>
          <w:tcPr>
            <w:tcW w:w="240" w:type="dxa"/>
            <w:vAlign w:val="bottom"/>
            <w:gridSpan w:val="2"/>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427</w:t>
            </w:r>
          </w:p>
        </w:tc>
        <w:tc>
          <w:tcPr>
            <w:tcW w:w="180" w:type="dxa"/>
            <w:vAlign w:val="bottom"/>
            <w:gridSpan w:val="2"/>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11,245</w:t>
            </w:r>
          </w:p>
        </w:tc>
        <w:tc>
          <w:tcPr>
            <w:tcW w:w="180" w:type="dxa"/>
            <w:vAlign w:val="bottom"/>
            <w:gridSpan w:val="2"/>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16,949</w:t>
            </w:r>
          </w:p>
        </w:tc>
        <w:tc>
          <w:tcPr>
            <w:tcW w:w="18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5,140</w:t>
            </w:r>
          </w:p>
        </w:tc>
        <w:tc>
          <w:tcPr>
            <w:tcW w:w="180" w:type="dxa"/>
            <w:vAlign w:val="bottom"/>
            <w:gridSpan w:val="2"/>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1,642</w:t>
            </w:r>
          </w:p>
        </w:tc>
        <w:tc>
          <w:tcPr>
            <w:tcW w:w="220" w:type="dxa"/>
            <w:vAlign w:val="bottom"/>
            <w:gridSpan w:val="2"/>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100" w:type="dxa"/>
            <w:vAlign w:val="bottom"/>
            <w:gridSpan w:val="2"/>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10,625</w:t>
            </w:r>
          </w:p>
        </w:tc>
        <w:tc>
          <w:tcPr>
            <w:tcW w:w="160" w:type="dxa"/>
            <w:vAlign w:val="bottom"/>
            <w:gridSpan w:val="2"/>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17,407</w:t>
            </w:r>
          </w:p>
        </w:tc>
        <w:tc>
          <w:tcPr>
            <w:tcW w:w="160" w:type="dxa"/>
            <w:vAlign w:val="bottom"/>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5,746</w:t>
            </w:r>
          </w:p>
        </w:tc>
        <w:tc>
          <w:tcPr>
            <w:tcW w:w="160" w:type="dxa"/>
            <w:vAlign w:val="bottom"/>
            <w:gridSpan w:val="2"/>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2,144</w:t>
            </w:r>
          </w:p>
        </w:tc>
        <w:tc>
          <w:tcPr>
            <w:tcW w:w="160" w:type="dxa"/>
            <w:vAlign w:val="bottom"/>
            <w:gridSpan w:val="2"/>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7,330</w:t>
            </w:r>
          </w:p>
        </w:tc>
        <w:tc>
          <w:tcPr>
            <w:tcW w:w="200" w:type="dxa"/>
            <w:vAlign w:val="bottom"/>
            <w:gridSpan w:val="2"/>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120" w:type="dxa"/>
            <w:vAlign w:val="bottom"/>
            <w:gridSpan w:val="2"/>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15,220</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80" w:type="dxa"/>
            <w:vAlign w:val="bottom"/>
            <w:gridSpan w:val="2"/>
          </w:tcPr>
          <w:p>
            <w:pPr>
              <w:ind w:left="20"/>
              <w:spacing w:after="0"/>
              <w:rPr>
                <w:sz w:val="20"/>
                <w:szCs w:val="20"/>
                <w:color w:val="auto"/>
              </w:rPr>
            </w:pPr>
            <w:r>
              <w:rPr>
                <w:rFonts w:ascii="Arial" w:cs="Arial" w:eastAsia="Arial" w:hAnsi="Arial"/>
                <w:sz w:val="7"/>
                <w:szCs w:val="7"/>
                <w:color w:val="auto"/>
              </w:rPr>
              <w:t>Amortization of deferred financing costs</w:t>
            </w:r>
          </w:p>
        </w:tc>
        <w:tc>
          <w:tcPr>
            <w:tcW w:w="680" w:type="dxa"/>
            <w:vAlign w:val="bottom"/>
            <w:gridSpan w:val="4"/>
          </w:tcPr>
          <w:p>
            <w:pPr>
              <w:jc w:val="right"/>
              <w:ind w:right="244"/>
              <w:spacing w:after="0"/>
              <w:rPr>
                <w:sz w:val="20"/>
                <w:szCs w:val="20"/>
                <w:color w:val="auto"/>
              </w:rPr>
            </w:pPr>
            <w:r>
              <w:rPr>
                <w:rFonts w:ascii="Arial" w:cs="Arial" w:eastAsia="Arial" w:hAnsi="Arial"/>
                <w:sz w:val="7"/>
                <w:szCs w:val="7"/>
                <w:color w:val="auto"/>
              </w:rPr>
              <w:t>532</w:t>
            </w:r>
          </w:p>
        </w:tc>
        <w:tc>
          <w:tcPr>
            <w:tcW w:w="660" w:type="dxa"/>
            <w:vAlign w:val="bottom"/>
            <w:gridSpan w:val="4"/>
          </w:tcPr>
          <w:p>
            <w:pPr>
              <w:jc w:val="right"/>
              <w:ind w:right="284"/>
              <w:spacing w:after="0"/>
              <w:rPr>
                <w:sz w:val="20"/>
                <w:szCs w:val="20"/>
                <w:color w:val="auto"/>
              </w:rPr>
            </w:pPr>
            <w:r>
              <w:rPr>
                <w:rFonts w:ascii="Arial" w:cs="Arial" w:eastAsia="Arial" w:hAnsi="Arial"/>
                <w:sz w:val="7"/>
                <w:szCs w:val="7"/>
                <w:color w:val="auto"/>
              </w:rPr>
              <w:t>453</w:t>
            </w:r>
          </w:p>
        </w:tc>
        <w:tc>
          <w:tcPr>
            <w:tcW w:w="720" w:type="dxa"/>
            <w:vAlign w:val="bottom"/>
            <w:gridSpan w:val="4"/>
          </w:tcPr>
          <w:p>
            <w:pPr>
              <w:jc w:val="right"/>
              <w:ind w:right="264"/>
              <w:spacing w:after="0"/>
              <w:rPr>
                <w:sz w:val="20"/>
                <w:szCs w:val="20"/>
                <w:color w:val="auto"/>
              </w:rPr>
            </w:pPr>
            <w:r>
              <w:rPr>
                <w:rFonts w:ascii="Arial" w:cs="Arial" w:eastAsia="Arial" w:hAnsi="Arial"/>
                <w:sz w:val="7"/>
                <w:szCs w:val="7"/>
                <w:color w:val="auto"/>
              </w:rPr>
              <w:t>-</w:t>
            </w:r>
          </w:p>
        </w:tc>
        <w:tc>
          <w:tcPr>
            <w:tcW w:w="620" w:type="dxa"/>
            <w:vAlign w:val="bottom"/>
            <w:gridSpan w:val="4"/>
          </w:tcPr>
          <w:p>
            <w:pPr>
              <w:jc w:val="right"/>
              <w:ind w:right="264"/>
              <w:spacing w:after="0"/>
              <w:rPr>
                <w:sz w:val="20"/>
                <w:szCs w:val="20"/>
                <w:color w:val="auto"/>
              </w:rPr>
            </w:pPr>
            <w:r>
              <w:rPr>
                <w:rFonts w:ascii="Arial" w:cs="Arial" w:eastAsia="Arial" w:hAnsi="Arial"/>
                <w:sz w:val="7"/>
                <w:szCs w:val="7"/>
                <w:color w:val="auto"/>
              </w:rPr>
              <w:t>1,230</w:t>
            </w:r>
          </w:p>
        </w:tc>
        <w:tc>
          <w:tcPr>
            <w:tcW w:w="600" w:type="dxa"/>
            <w:vAlign w:val="bottom"/>
            <w:gridSpan w:val="3"/>
          </w:tcPr>
          <w:p>
            <w:pPr>
              <w:jc w:val="right"/>
              <w:ind w:right="244"/>
              <w:spacing w:after="0"/>
              <w:rPr>
                <w:sz w:val="20"/>
                <w:szCs w:val="20"/>
                <w:color w:val="auto"/>
              </w:rPr>
            </w:pPr>
            <w:r>
              <w:rPr>
                <w:rFonts w:ascii="Arial" w:cs="Arial" w:eastAsia="Arial" w:hAnsi="Arial"/>
                <w:sz w:val="7"/>
                <w:szCs w:val="7"/>
                <w:color w:val="auto"/>
              </w:rPr>
              <w:t>2,215</w:t>
            </w:r>
          </w:p>
        </w:tc>
        <w:tc>
          <w:tcPr>
            <w:tcW w:w="700" w:type="dxa"/>
            <w:vAlign w:val="bottom"/>
            <w:gridSpan w:val="4"/>
          </w:tcPr>
          <w:p>
            <w:pPr>
              <w:jc w:val="right"/>
              <w:ind w:right="244"/>
              <w:spacing w:after="0"/>
              <w:rPr>
                <w:sz w:val="20"/>
                <w:szCs w:val="20"/>
                <w:color w:val="auto"/>
              </w:rPr>
            </w:pPr>
            <w:r>
              <w:rPr>
                <w:rFonts w:ascii="Arial" w:cs="Arial" w:eastAsia="Arial" w:hAnsi="Arial"/>
                <w:sz w:val="7"/>
                <w:szCs w:val="7"/>
                <w:color w:val="auto"/>
              </w:rPr>
              <w:t>549</w:t>
            </w:r>
          </w:p>
        </w:tc>
        <w:tc>
          <w:tcPr>
            <w:tcW w:w="660" w:type="dxa"/>
            <w:vAlign w:val="bottom"/>
            <w:gridSpan w:val="4"/>
          </w:tcPr>
          <w:p>
            <w:pPr>
              <w:jc w:val="right"/>
              <w:ind w:right="296"/>
              <w:spacing w:after="0"/>
              <w:rPr>
                <w:sz w:val="20"/>
                <w:szCs w:val="20"/>
                <w:color w:val="auto"/>
              </w:rPr>
            </w:pPr>
            <w:r>
              <w:rPr>
                <w:rFonts w:ascii="Arial" w:cs="Arial" w:eastAsia="Arial" w:hAnsi="Arial"/>
                <w:sz w:val="7"/>
                <w:szCs w:val="7"/>
                <w:color w:val="auto"/>
              </w:rPr>
              <w:t>397</w:t>
            </w:r>
          </w:p>
        </w:tc>
        <w:tc>
          <w:tcPr>
            <w:tcW w:w="720" w:type="dxa"/>
            <w:vAlign w:val="bottom"/>
            <w:gridSpan w:val="4"/>
          </w:tcPr>
          <w:p>
            <w:pPr>
              <w:jc w:val="right"/>
              <w:ind w:right="176"/>
              <w:spacing w:after="0"/>
              <w:rPr>
                <w:sz w:val="20"/>
                <w:szCs w:val="20"/>
                <w:color w:val="auto"/>
              </w:rPr>
            </w:pPr>
            <w:r>
              <w:rPr>
                <w:rFonts w:ascii="Arial" w:cs="Arial" w:eastAsia="Arial" w:hAnsi="Arial"/>
                <w:sz w:val="7"/>
                <w:szCs w:val="7"/>
                <w:color w:val="auto"/>
              </w:rPr>
              <w:t>-</w:t>
            </w:r>
          </w:p>
        </w:tc>
        <w:tc>
          <w:tcPr>
            <w:tcW w:w="560" w:type="dxa"/>
            <w:vAlign w:val="bottom"/>
            <w:gridSpan w:val="4"/>
          </w:tcPr>
          <w:p>
            <w:pPr>
              <w:jc w:val="right"/>
              <w:ind w:right="236"/>
              <w:spacing w:after="0"/>
              <w:rPr>
                <w:sz w:val="20"/>
                <w:szCs w:val="20"/>
                <w:color w:val="auto"/>
              </w:rPr>
            </w:pPr>
            <w:r>
              <w:rPr>
                <w:rFonts w:ascii="Arial" w:cs="Arial" w:eastAsia="Arial" w:hAnsi="Arial"/>
                <w:sz w:val="7"/>
                <w:szCs w:val="7"/>
                <w:color w:val="auto"/>
              </w:rPr>
              <w:t>1,325</w:t>
            </w:r>
          </w:p>
        </w:tc>
        <w:tc>
          <w:tcPr>
            <w:tcW w:w="580" w:type="dxa"/>
            <w:vAlign w:val="bottom"/>
            <w:gridSpan w:val="3"/>
          </w:tcPr>
          <w:p>
            <w:pPr>
              <w:jc w:val="right"/>
              <w:ind w:right="224"/>
              <w:spacing w:after="0"/>
              <w:rPr>
                <w:sz w:val="20"/>
                <w:szCs w:val="20"/>
                <w:color w:val="auto"/>
              </w:rPr>
            </w:pPr>
            <w:r>
              <w:rPr>
                <w:rFonts w:ascii="Arial" w:cs="Arial" w:eastAsia="Arial" w:hAnsi="Arial"/>
                <w:sz w:val="7"/>
                <w:szCs w:val="7"/>
                <w:color w:val="auto"/>
              </w:rPr>
              <w:t>2,271</w:t>
            </w:r>
          </w:p>
        </w:tc>
        <w:tc>
          <w:tcPr>
            <w:tcW w:w="560" w:type="dxa"/>
            <w:vAlign w:val="bottom"/>
            <w:gridSpan w:val="4"/>
          </w:tcPr>
          <w:p>
            <w:pPr>
              <w:jc w:val="right"/>
              <w:ind w:right="204"/>
              <w:spacing w:after="0"/>
              <w:rPr>
                <w:sz w:val="20"/>
                <w:szCs w:val="20"/>
                <w:color w:val="auto"/>
              </w:rPr>
            </w:pPr>
            <w:r>
              <w:rPr>
                <w:rFonts w:ascii="Arial" w:cs="Arial" w:eastAsia="Arial" w:hAnsi="Arial"/>
                <w:sz w:val="7"/>
                <w:szCs w:val="7"/>
                <w:color w:val="auto"/>
              </w:rPr>
              <w:t>601</w:t>
            </w:r>
          </w:p>
        </w:tc>
        <w:tc>
          <w:tcPr>
            <w:tcW w:w="560" w:type="dxa"/>
            <w:vAlign w:val="bottom"/>
            <w:gridSpan w:val="4"/>
          </w:tcPr>
          <w:p>
            <w:pPr>
              <w:jc w:val="right"/>
              <w:ind w:right="216"/>
              <w:spacing w:after="0"/>
              <w:rPr>
                <w:sz w:val="20"/>
                <w:szCs w:val="20"/>
                <w:color w:val="auto"/>
              </w:rPr>
            </w:pPr>
            <w:r>
              <w:rPr>
                <w:rFonts w:ascii="Arial" w:cs="Arial" w:eastAsia="Arial" w:hAnsi="Arial"/>
                <w:sz w:val="7"/>
                <w:szCs w:val="7"/>
                <w:color w:val="auto"/>
              </w:rPr>
              <w:t>334</w:t>
            </w:r>
          </w:p>
        </w:tc>
        <w:tc>
          <w:tcPr>
            <w:tcW w:w="500" w:type="dxa"/>
            <w:vAlign w:val="bottom"/>
            <w:gridSpan w:val="4"/>
          </w:tcPr>
          <w:p>
            <w:pPr>
              <w:jc w:val="right"/>
              <w:ind w:right="236"/>
              <w:spacing w:after="0"/>
              <w:rPr>
                <w:sz w:val="20"/>
                <w:szCs w:val="20"/>
                <w:color w:val="auto"/>
              </w:rPr>
            </w:pPr>
            <w:r>
              <w:rPr>
                <w:rFonts w:ascii="Arial" w:cs="Arial" w:eastAsia="Arial" w:hAnsi="Arial"/>
                <w:sz w:val="7"/>
                <w:szCs w:val="7"/>
                <w:color w:val="auto"/>
              </w:rPr>
              <w:t>917</w:t>
            </w:r>
          </w:p>
        </w:tc>
        <w:tc>
          <w:tcPr>
            <w:tcW w:w="660" w:type="dxa"/>
            <w:vAlign w:val="bottom"/>
            <w:gridSpan w:val="4"/>
          </w:tcPr>
          <w:p>
            <w:pPr>
              <w:jc w:val="right"/>
              <w:ind w:right="184"/>
              <w:spacing w:after="0"/>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7"/>
                <w:szCs w:val="7"/>
                <w:color w:val="auto"/>
              </w:rPr>
              <w:t>1,852</w:t>
            </w:r>
          </w:p>
        </w:tc>
        <w:tc>
          <w:tcPr>
            <w:tcW w:w="0" w:type="dxa"/>
            <w:vAlign w:val="bottom"/>
          </w:tcPr>
          <w:p>
            <w:pPr>
              <w:spacing w:after="0"/>
              <w:rPr>
                <w:sz w:val="1"/>
                <w:szCs w:val="1"/>
                <w:color w:val="auto"/>
              </w:rPr>
            </w:pPr>
          </w:p>
        </w:tc>
      </w:tr>
      <w:tr>
        <w:trPr>
          <w:trHeight w:val="70"/>
        </w:trPr>
        <w:tc>
          <w:tcPr>
            <w:tcW w:w="2080" w:type="dxa"/>
            <w:vAlign w:val="bottom"/>
            <w:gridSpan w:val="2"/>
            <w:shd w:val="clear" w:color="auto" w:fill="CCEEFF"/>
          </w:tcPr>
          <w:p>
            <w:pPr>
              <w:ind w:left="20"/>
              <w:spacing w:after="0" w:line="70" w:lineRule="exact"/>
              <w:rPr>
                <w:sz w:val="20"/>
                <w:szCs w:val="20"/>
                <w:color w:val="auto"/>
              </w:rPr>
            </w:pPr>
            <w:r>
              <w:rPr>
                <w:rFonts w:ascii="Arial" w:cs="Arial" w:eastAsia="Arial" w:hAnsi="Arial"/>
                <w:sz w:val="7"/>
                <w:szCs w:val="7"/>
                <w:color w:val="auto"/>
              </w:rPr>
              <w:t>Acceleration  of  unamortized  deferred  financing  costs  on</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60" w:type="dxa"/>
            <w:vAlign w:val="bottom"/>
            <w:gridSpan w:val="3"/>
            <w:shd w:val="clear" w:color="auto" w:fill="CCEEFF"/>
          </w:tcPr>
          <w:p>
            <w:pPr>
              <w:spacing w:after="0"/>
              <w:rPr>
                <w:sz w:val="6"/>
                <w:szCs w:val="6"/>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300" w:type="dxa"/>
            <w:vAlign w:val="bottom"/>
            <w:gridSpan w:val="3"/>
            <w:shd w:val="clear" w:color="auto" w:fill="CCEEFF"/>
          </w:tcPr>
          <w:p>
            <w:pPr>
              <w:spacing w:after="0"/>
              <w:rPr>
                <w:sz w:val="6"/>
                <w:szCs w:val="6"/>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gridSpan w:val="3"/>
            <w:shd w:val="clear" w:color="auto" w:fill="CCEEFF"/>
          </w:tcPr>
          <w:p>
            <w:pPr>
              <w:spacing w:after="0"/>
              <w:rPr>
                <w:sz w:val="6"/>
                <w:szCs w:val="6"/>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gridSpan w:val="3"/>
            <w:shd w:val="clear" w:color="auto" w:fill="CCEEFF"/>
          </w:tcPr>
          <w:p>
            <w:pPr>
              <w:spacing w:after="0"/>
              <w:rPr>
                <w:sz w:val="6"/>
                <w:szCs w:val="6"/>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60" w:type="dxa"/>
            <w:vAlign w:val="bottom"/>
            <w:gridSpan w:val="2"/>
            <w:shd w:val="clear" w:color="auto" w:fill="CCEEFF"/>
          </w:tcPr>
          <w:p>
            <w:pPr>
              <w:spacing w:after="0"/>
              <w:rPr>
                <w:sz w:val="6"/>
                <w:szCs w:val="6"/>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60" w:type="dxa"/>
            <w:vAlign w:val="bottom"/>
            <w:gridSpan w:val="3"/>
            <w:shd w:val="clear" w:color="auto" w:fill="CCEEFF"/>
          </w:tcPr>
          <w:p>
            <w:pPr>
              <w:spacing w:after="0"/>
              <w:rPr>
                <w:sz w:val="6"/>
                <w:szCs w:val="6"/>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300" w:type="dxa"/>
            <w:vAlign w:val="bottom"/>
            <w:gridSpan w:val="3"/>
            <w:shd w:val="clear" w:color="auto" w:fill="CCEEFF"/>
          </w:tcPr>
          <w:p>
            <w:pPr>
              <w:spacing w:after="0"/>
              <w:rPr>
                <w:sz w:val="6"/>
                <w:szCs w:val="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180" w:type="dxa"/>
            <w:vAlign w:val="bottom"/>
            <w:gridSpan w:val="3"/>
            <w:shd w:val="clear" w:color="auto" w:fill="CCEEFF"/>
          </w:tcPr>
          <w:p>
            <w:pPr>
              <w:spacing w:after="0"/>
              <w:rPr>
                <w:sz w:val="6"/>
                <w:szCs w:val="6"/>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40" w:type="dxa"/>
            <w:vAlign w:val="bottom"/>
            <w:gridSpan w:val="3"/>
            <w:shd w:val="clear" w:color="auto" w:fill="CCEEFF"/>
          </w:tcPr>
          <w:p>
            <w:pPr>
              <w:spacing w:after="0"/>
              <w:rPr>
                <w:sz w:val="6"/>
                <w:szCs w:val="6"/>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60" w:type="dxa"/>
            <w:vAlign w:val="bottom"/>
            <w:gridSpan w:val="2"/>
            <w:shd w:val="clear" w:color="auto" w:fill="CCEEFF"/>
          </w:tcPr>
          <w:p>
            <w:pPr>
              <w:spacing w:after="0"/>
              <w:rPr>
                <w:sz w:val="6"/>
                <w:szCs w:val="6"/>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40" w:type="dxa"/>
            <w:vAlign w:val="bottom"/>
            <w:gridSpan w:val="3"/>
            <w:shd w:val="clear" w:color="auto" w:fill="CCEEFF"/>
          </w:tcPr>
          <w:p>
            <w:pPr>
              <w:spacing w:after="0"/>
              <w:rPr>
                <w:sz w:val="6"/>
                <w:szCs w:val="6"/>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20" w:type="dxa"/>
            <w:vAlign w:val="bottom"/>
            <w:gridSpan w:val="3"/>
            <w:shd w:val="clear" w:color="auto" w:fill="CCEEFF"/>
          </w:tcPr>
          <w:p>
            <w:pPr>
              <w:spacing w:after="0"/>
              <w:rPr>
                <w:sz w:val="6"/>
                <w:szCs w:val="6"/>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60" w:type="dxa"/>
            <w:vAlign w:val="bottom"/>
            <w:gridSpan w:val="3"/>
            <w:shd w:val="clear" w:color="auto" w:fill="CCEEFF"/>
          </w:tcPr>
          <w:p>
            <w:pPr>
              <w:spacing w:after="0"/>
              <w:rPr>
                <w:sz w:val="6"/>
                <w:szCs w:val="6"/>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gridSpan w:val="3"/>
            <w:shd w:val="clear" w:color="auto" w:fill="CCEEFF"/>
          </w:tcPr>
          <w:p>
            <w:pPr>
              <w:spacing w:after="0"/>
              <w:rPr>
                <w:sz w:val="6"/>
                <w:szCs w:val="6"/>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7"/>
                <w:szCs w:val="7"/>
                <w:color w:val="auto"/>
              </w:rPr>
              <w:t>extinguishment of debt</w:t>
            </w:r>
          </w:p>
        </w:tc>
        <w:tc>
          <w:tcPr>
            <w:tcW w:w="6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gridSpan w:val="2"/>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auto"/>
            </w:tcBorders>
            <w:gridSpan w:val="2"/>
            <w:shd w:val="clear" w:color="auto" w:fill="CCEEFF"/>
          </w:tcPr>
          <w:p>
            <w:pPr>
              <w:spacing w:after="0"/>
              <w:rPr>
                <w:sz w:val="7"/>
                <w:szCs w:val="7"/>
                <w:color w:val="auto"/>
              </w:rPr>
            </w:pPr>
          </w:p>
        </w:tc>
        <w:tc>
          <w:tcPr>
            <w:tcW w:w="4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auto"/>
            </w:tcBorders>
            <w:gridSpan w:val="2"/>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auto"/>
            </w:tcBorders>
            <w:gridSpan w:val="2"/>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gridSpan w:val="2"/>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auto"/>
            </w:tcBorders>
            <w:gridSpan w:val="2"/>
            <w:shd w:val="clear" w:color="auto" w:fill="CCEEFF"/>
          </w:tcPr>
          <w:p>
            <w:pPr>
              <w:spacing w:after="0"/>
              <w:rPr>
                <w:sz w:val="7"/>
                <w:szCs w:val="7"/>
                <w:color w:val="auto"/>
              </w:rPr>
            </w:pPr>
          </w:p>
        </w:tc>
        <w:tc>
          <w:tcPr>
            <w:tcW w:w="540" w:type="dxa"/>
            <w:vAlign w:val="bottom"/>
            <w:tcBorders>
              <w:bottom w:val="single" w:sz="8" w:color="auto"/>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gridSpan w:val="2"/>
            <w:shd w:val="clear" w:color="auto" w:fill="CCEEFF"/>
          </w:tcPr>
          <w:p>
            <w:pPr>
              <w:spacing w:after="0"/>
              <w:rPr>
                <w:sz w:val="7"/>
                <w:szCs w:val="7"/>
                <w:color w:val="auto"/>
              </w:rPr>
            </w:pPr>
          </w:p>
        </w:tc>
        <w:tc>
          <w:tcPr>
            <w:tcW w:w="32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gridSpan w:val="2"/>
            <w:shd w:val="clear" w:color="auto" w:fill="CCEEFF"/>
          </w:tcPr>
          <w:p>
            <w:pPr>
              <w:spacing w:after="0"/>
              <w:rPr>
                <w:sz w:val="7"/>
                <w:szCs w:val="7"/>
                <w:color w:val="auto"/>
              </w:rPr>
            </w:pPr>
          </w:p>
        </w:tc>
        <w:tc>
          <w:tcPr>
            <w:tcW w:w="320" w:type="dxa"/>
            <w:vAlign w:val="bottom"/>
            <w:tcBorders>
              <w:bottom w:val="single" w:sz="8" w:color="auto"/>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gridSpan w:val="2"/>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gridSpan w:val="2"/>
            <w:shd w:val="clear" w:color="auto" w:fill="CCEEFF"/>
          </w:tcPr>
          <w:p>
            <w:pPr>
              <w:spacing w:after="0"/>
              <w:rPr>
                <w:sz w:val="7"/>
                <w:szCs w:val="7"/>
                <w:color w:val="auto"/>
              </w:rPr>
            </w:pPr>
          </w:p>
        </w:tc>
        <w:tc>
          <w:tcPr>
            <w:tcW w:w="2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gridSpan w:val="2"/>
            <w:shd w:val="clear" w:color="auto" w:fill="CCEEFF"/>
          </w:tcPr>
          <w:p>
            <w:pPr>
              <w:spacing w:after="0"/>
              <w:rPr>
                <w:sz w:val="7"/>
                <w:szCs w:val="7"/>
                <w:color w:val="auto"/>
              </w:rPr>
            </w:pPr>
          </w:p>
        </w:tc>
        <w:tc>
          <w:tcPr>
            <w:tcW w:w="460" w:type="dxa"/>
            <w:vAlign w:val="bottom"/>
            <w:tcBorders>
              <w:bottom w:val="single" w:sz="8" w:color="auto"/>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auto"/>
            </w:tcBorders>
            <w:gridSpan w:val="2"/>
            <w:shd w:val="clear" w:color="auto" w:fill="CCEEFF"/>
          </w:tcPr>
          <w:p>
            <w:pPr>
              <w:spacing w:after="0"/>
              <w:rPr>
                <w:sz w:val="7"/>
                <w:szCs w:val="7"/>
                <w:color w:val="auto"/>
              </w:rPr>
            </w:pPr>
          </w:p>
        </w:tc>
        <w:tc>
          <w:tcPr>
            <w:tcW w:w="2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20" w:type="dxa"/>
            <w:vAlign w:val="bottom"/>
          </w:tcPr>
          <w:p>
            <w:pPr>
              <w:ind w:left="20"/>
              <w:spacing w:after="0"/>
              <w:rPr>
                <w:sz w:val="20"/>
                <w:szCs w:val="20"/>
                <w:color w:val="auto"/>
              </w:rPr>
            </w:pPr>
            <w:r>
              <w:rPr>
                <w:rFonts w:ascii="Arial" w:cs="Arial" w:eastAsia="Arial" w:hAnsi="Arial"/>
                <w:sz w:val="7"/>
                <w:szCs w:val="7"/>
                <w:color w:val="auto"/>
              </w:rPr>
              <w:t>Total interest and financing expenses</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4,342</w:t>
            </w: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1,920</w:t>
            </w: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427</w:t>
            </w:r>
          </w:p>
        </w:tc>
        <w:tc>
          <w:tcPr>
            <w:tcW w:w="100" w:type="dxa"/>
            <w:vAlign w:val="bottom"/>
          </w:tcPr>
          <w:p>
            <w:pPr>
              <w:spacing w:after="0"/>
              <w:rPr>
                <w:sz w:val="7"/>
                <w:szCs w:val="7"/>
                <w:color w:val="auto"/>
              </w:rPr>
            </w:pPr>
          </w:p>
        </w:tc>
        <w:tc>
          <w:tcPr>
            <w:tcW w:w="1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7"/>
                <w:szCs w:val="7"/>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12,475</w:t>
            </w: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19,164</w:t>
            </w:r>
          </w:p>
        </w:tc>
        <w:tc>
          <w:tcPr>
            <w:tcW w:w="180" w:type="dxa"/>
            <w:vAlign w:val="bottom"/>
          </w:tcPr>
          <w:p>
            <w:pPr>
              <w:spacing w:after="0"/>
              <w:rPr>
                <w:sz w:val="7"/>
                <w:szCs w:val="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5,689</w:t>
            </w: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2,039</w:t>
            </w:r>
          </w:p>
        </w:tc>
        <w:tc>
          <w:tcPr>
            <w:tcW w:w="100" w:type="dxa"/>
            <w:vAlign w:val="bottom"/>
          </w:tcPr>
          <w:p>
            <w:pPr>
              <w:spacing w:after="0"/>
              <w:rPr>
                <w:sz w:val="7"/>
                <w:szCs w:val="7"/>
                <w:color w:val="auto"/>
              </w:rPr>
            </w:pPr>
          </w:p>
        </w:tc>
        <w:tc>
          <w:tcPr>
            <w:tcW w:w="2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11,950</w:t>
            </w: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19,678</w:t>
            </w:r>
          </w:p>
        </w:tc>
        <w:tc>
          <w:tcPr>
            <w:tcW w:w="160" w:type="dxa"/>
            <w:vAlign w:val="bottom"/>
          </w:tcPr>
          <w:p>
            <w:pPr>
              <w:spacing w:after="0"/>
              <w:rPr>
                <w:sz w:val="7"/>
                <w:szCs w:val="7"/>
                <w:color w:val="auto"/>
              </w:rPr>
            </w:pPr>
          </w:p>
        </w:tc>
        <w:tc>
          <w:tcPr>
            <w:tcW w:w="1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6,347</w:t>
            </w: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2,478</w:t>
            </w: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8,247</w:t>
            </w:r>
          </w:p>
        </w:tc>
        <w:tc>
          <w:tcPr>
            <w:tcW w:w="100" w:type="dxa"/>
            <w:vAlign w:val="bottom"/>
          </w:tcPr>
          <w:p>
            <w:pPr>
              <w:spacing w:after="0"/>
              <w:rPr>
                <w:sz w:val="7"/>
                <w:szCs w:val="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7"/>
                <w:szCs w:val="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7"/>
                <w:szCs w:val="7"/>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17,072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20" w:type="dxa"/>
            <w:vAlign w:val="bottom"/>
            <w:tcBorders>
              <w:bottom w:val="single" w:sz="8" w:color="CCEEFF"/>
            </w:tcBorders>
            <w:shd w:val="clear" w:color="auto" w:fill="CCEEFF"/>
          </w:tcPr>
          <w:p>
            <w:pPr>
              <w:ind w:left="20"/>
              <w:spacing w:after="0" w:line="55" w:lineRule="exact"/>
              <w:rPr>
                <w:sz w:val="20"/>
                <w:szCs w:val="20"/>
                <w:color w:val="auto"/>
              </w:rPr>
            </w:pPr>
            <w:r>
              <w:rPr>
                <w:rFonts w:ascii="Arial" w:cs="Arial" w:eastAsia="Arial" w:hAnsi="Arial"/>
                <w:sz w:val="6"/>
                <w:szCs w:val="6"/>
                <w:color w:val="auto"/>
              </w:rPr>
              <w:t>Weighted average stated interest rate, period end</w:t>
            </w:r>
          </w:p>
        </w:tc>
        <w:tc>
          <w:tcPr>
            <w:tcW w:w="60" w:type="dxa"/>
            <w:vAlign w:val="bottom"/>
            <w:tcBorders>
              <w:bottom w:val="single" w:sz="8" w:color="CCEEFF"/>
            </w:tcBorders>
            <w:shd w:val="clear" w:color="auto" w:fill="CCEEFF"/>
          </w:tcPr>
          <w:p>
            <w:pPr>
              <w:spacing w:after="0"/>
              <w:rPr>
                <w:sz w:val="4"/>
                <w:szCs w:val="4"/>
                <w:color w:val="auto"/>
              </w:rPr>
            </w:pPr>
          </w:p>
        </w:tc>
        <w:tc>
          <w:tcPr>
            <w:tcW w:w="42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2.676</w:t>
            </w:r>
          </w:p>
        </w:tc>
        <w:tc>
          <w:tcPr>
            <w:tcW w:w="100" w:type="dxa"/>
            <w:vAlign w:val="bottom"/>
            <w:tcBorders>
              <w:bottom w:val="single" w:sz="8" w:color="CCEEFF"/>
            </w:tcBorders>
            <w:shd w:val="clear" w:color="auto" w:fill="CCEEFF"/>
          </w:tcPr>
          <w:p>
            <w:pPr>
              <w:jc w:val="right"/>
              <w:ind w:right="10"/>
              <w:spacing w:after="0" w:line="55" w:lineRule="exact"/>
              <w:rPr>
                <w:sz w:val="20"/>
                <w:szCs w:val="20"/>
                <w:color w:val="auto"/>
              </w:rPr>
            </w:pPr>
            <w:r>
              <w:rPr>
                <w:rFonts w:ascii="Arial" w:cs="Arial" w:eastAsia="Arial" w:hAnsi="Arial"/>
                <w:sz w:val="6"/>
                <w:szCs w:val="6"/>
                <w:color w:val="auto"/>
                <w:w w:val="74"/>
              </w:rPr>
              <w:t>%</w:t>
            </w: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N/A</w:t>
            </w: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jc w:val="right"/>
              <w:ind w:right="42"/>
              <w:spacing w:after="0" w:line="42" w:lineRule="exact"/>
              <w:rPr>
                <w:sz w:val="20"/>
                <w:szCs w:val="20"/>
                <w:color w:val="auto"/>
              </w:rPr>
            </w:pPr>
            <w:r>
              <w:rPr>
                <w:rFonts w:ascii="Arial" w:cs="Arial" w:eastAsia="Arial" w:hAnsi="Arial"/>
                <w:sz w:val="4"/>
                <w:szCs w:val="4"/>
                <w:color w:val="auto"/>
              </w:rPr>
              <w:t>(1)</w:t>
            </w:r>
          </w:p>
        </w:tc>
        <w:tc>
          <w:tcPr>
            <w:tcW w:w="6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4.392</w:t>
            </w:r>
          </w:p>
        </w:tc>
        <w:tc>
          <w:tcPr>
            <w:tcW w:w="100" w:type="dxa"/>
            <w:vAlign w:val="bottom"/>
            <w:tcBorders>
              <w:bottom w:val="single" w:sz="8" w:color="CCEEFF"/>
            </w:tcBorders>
            <w:shd w:val="clear" w:color="auto" w:fill="CCEEFF"/>
          </w:tcPr>
          <w:p>
            <w:pPr>
              <w:jc w:val="right"/>
              <w:ind w:right="10"/>
              <w:spacing w:after="0" w:line="55" w:lineRule="exact"/>
              <w:rPr>
                <w:sz w:val="20"/>
                <w:szCs w:val="20"/>
                <w:color w:val="auto"/>
              </w:rPr>
            </w:pPr>
            <w:r>
              <w:rPr>
                <w:rFonts w:ascii="Arial" w:cs="Arial" w:eastAsia="Arial" w:hAnsi="Arial"/>
                <w:sz w:val="6"/>
                <w:szCs w:val="6"/>
                <w:color w:val="auto"/>
                <w:w w:val="74"/>
              </w:rPr>
              <w:t>%</w:t>
            </w: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4.125</w:t>
            </w:r>
          </w:p>
        </w:tc>
        <w:tc>
          <w:tcPr>
            <w:tcW w:w="10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3.724</w:t>
            </w:r>
          </w:p>
        </w:tc>
        <w:tc>
          <w:tcPr>
            <w:tcW w:w="180" w:type="dxa"/>
            <w:vAlign w:val="bottom"/>
            <w:tcBorders>
              <w:bottom w:val="single" w:sz="8" w:color="CCEEFF"/>
            </w:tcBorders>
            <w:shd w:val="clear" w:color="auto" w:fill="CCEEFF"/>
          </w:tcPr>
          <w:p>
            <w:pPr>
              <w:jc w:val="right"/>
              <w:ind w:right="70"/>
              <w:spacing w:after="0" w:line="55"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3.297</w:t>
            </w:r>
          </w:p>
        </w:tc>
        <w:tc>
          <w:tcPr>
            <w:tcW w:w="10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gridSpan w:val="2"/>
            <w:shd w:val="clear" w:color="auto" w:fill="CCEEFF"/>
          </w:tcPr>
          <w:p>
            <w:pPr>
              <w:jc w:val="right"/>
              <w:ind w:right="120"/>
              <w:spacing w:after="0" w:line="55" w:lineRule="exact"/>
              <w:rPr>
                <w:sz w:val="20"/>
                <w:szCs w:val="20"/>
                <w:color w:val="auto"/>
              </w:rPr>
            </w:pPr>
            <w:r>
              <w:rPr>
                <w:rFonts w:ascii="Arial" w:cs="Arial" w:eastAsia="Arial" w:hAnsi="Arial"/>
                <w:sz w:val="6"/>
                <w:szCs w:val="6"/>
                <w:color w:val="auto"/>
              </w:rPr>
              <w:t>N/A</w:t>
            </w:r>
          </w:p>
        </w:tc>
        <w:tc>
          <w:tcPr>
            <w:tcW w:w="120" w:type="dxa"/>
            <w:vAlign w:val="bottom"/>
            <w:tcBorders>
              <w:bottom w:val="single" w:sz="8" w:color="CCEEFF"/>
            </w:tcBorders>
            <w:shd w:val="clear" w:color="auto" w:fill="CCEEFF"/>
          </w:tcPr>
          <w:p>
            <w:pPr>
              <w:jc w:val="right"/>
              <w:ind w:right="14"/>
              <w:spacing w:after="0" w:line="42" w:lineRule="exact"/>
              <w:rPr>
                <w:sz w:val="20"/>
                <w:szCs w:val="20"/>
                <w:color w:val="auto"/>
              </w:rPr>
            </w:pPr>
            <w:r>
              <w:rPr>
                <w:rFonts w:ascii="Arial" w:cs="Arial" w:eastAsia="Arial" w:hAnsi="Arial"/>
                <w:sz w:val="4"/>
                <w:szCs w:val="4"/>
                <w:color w:val="auto"/>
              </w:rPr>
              <w:t>(1)</w:t>
            </w:r>
          </w:p>
        </w:tc>
        <w:tc>
          <w:tcPr>
            <w:tcW w:w="8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gridSpan w:val="3"/>
            <w:shd w:val="clear" w:color="auto" w:fill="CCEEFF"/>
          </w:tcPr>
          <w:p>
            <w:pPr>
              <w:jc w:val="right"/>
              <w:ind w:right="120"/>
              <w:spacing w:after="0" w:line="55" w:lineRule="exact"/>
              <w:rPr>
                <w:sz w:val="20"/>
                <w:szCs w:val="20"/>
                <w:color w:val="auto"/>
              </w:rPr>
            </w:pPr>
            <w:r>
              <w:rPr>
                <w:rFonts w:ascii="Arial" w:cs="Arial" w:eastAsia="Arial" w:hAnsi="Arial"/>
                <w:sz w:val="6"/>
                <w:szCs w:val="6"/>
                <w:color w:val="auto"/>
              </w:rPr>
              <w:t>N/A</w:t>
            </w:r>
          </w:p>
        </w:tc>
        <w:tc>
          <w:tcPr>
            <w:tcW w:w="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5.342</w:t>
            </w:r>
          </w:p>
        </w:tc>
        <w:tc>
          <w:tcPr>
            <w:tcW w:w="10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4.680</w:t>
            </w:r>
          </w:p>
        </w:tc>
        <w:tc>
          <w:tcPr>
            <w:tcW w:w="160" w:type="dxa"/>
            <w:vAlign w:val="bottom"/>
            <w:tcBorders>
              <w:bottom w:val="single" w:sz="8" w:color="CCEEFF"/>
            </w:tcBorders>
            <w:shd w:val="clear" w:color="auto" w:fill="CCEEFF"/>
          </w:tcPr>
          <w:p>
            <w:pPr>
              <w:jc w:val="right"/>
              <w:ind w:right="50"/>
              <w:spacing w:after="0" w:line="55" w:lineRule="exact"/>
              <w:rPr>
                <w:sz w:val="20"/>
                <w:szCs w:val="20"/>
                <w:color w:val="auto"/>
              </w:rPr>
            </w:pPr>
            <w:r>
              <w:rPr>
                <w:rFonts w:ascii="Arial" w:cs="Arial" w:eastAsia="Arial" w:hAnsi="Arial"/>
                <w:sz w:val="6"/>
                <w:szCs w:val="6"/>
                <w:color w:val="auto"/>
              </w:rPr>
              <w:t>%</w:t>
            </w:r>
          </w:p>
        </w:tc>
        <w:tc>
          <w:tcPr>
            <w:tcW w:w="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3.392</w:t>
            </w:r>
          </w:p>
        </w:tc>
        <w:tc>
          <w:tcPr>
            <w:tcW w:w="10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4.788</w:t>
            </w:r>
          </w:p>
        </w:tc>
        <w:tc>
          <w:tcPr>
            <w:tcW w:w="8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w w:val="74"/>
              </w:rPr>
              <w:t>%</w:t>
            </w:r>
          </w:p>
        </w:tc>
        <w:tc>
          <w:tcPr>
            <w:tcW w:w="8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5.749</w:t>
            </w:r>
          </w:p>
        </w:tc>
        <w:tc>
          <w:tcPr>
            <w:tcW w:w="10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1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N/A</w:t>
            </w:r>
          </w:p>
        </w:tc>
        <w:tc>
          <w:tcPr>
            <w:tcW w:w="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4.665</w:t>
            </w:r>
          </w:p>
        </w:tc>
        <w:tc>
          <w:tcPr>
            <w:tcW w:w="100" w:type="dxa"/>
            <w:vAlign w:val="bottom"/>
            <w:tcBorders>
              <w:bottom w:val="single" w:sz="8" w:color="CCEEFF"/>
            </w:tcBorders>
            <w:shd w:val="clear" w:color="auto" w:fill="CCEEFF"/>
          </w:tcPr>
          <w:p>
            <w:pPr>
              <w:jc w:val="right"/>
              <w:spacing w:after="0" w:line="55"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88"/>
        </w:trPr>
        <w:tc>
          <w:tcPr>
            <w:tcW w:w="2020" w:type="dxa"/>
            <w:vAlign w:val="bottom"/>
          </w:tcPr>
          <w:p>
            <w:pPr>
              <w:ind w:left="20"/>
              <w:spacing w:after="0"/>
              <w:rPr>
                <w:sz w:val="20"/>
                <w:szCs w:val="20"/>
                <w:color w:val="auto"/>
              </w:rPr>
            </w:pPr>
            <w:r>
              <w:rPr>
                <w:rFonts w:ascii="Arial" w:cs="Arial" w:eastAsia="Arial" w:hAnsi="Arial"/>
                <w:sz w:val="7"/>
                <w:szCs w:val="7"/>
                <w:color w:val="auto"/>
              </w:rPr>
              <w:t>Unused commitment fee rate, period end</w:t>
            </w:r>
          </w:p>
        </w:tc>
        <w:tc>
          <w:tcPr>
            <w:tcW w:w="6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3"/>
          </w:tcPr>
          <w:p>
            <w:pPr>
              <w:jc w:val="right"/>
              <w:ind w:right="42"/>
              <w:spacing w:after="0" w:line="88" w:lineRule="exact"/>
              <w:rPr>
                <w:sz w:val="20"/>
                <w:szCs w:val="20"/>
                <w:color w:val="auto"/>
              </w:rPr>
            </w:pPr>
            <w:r>
              <w:rPr>
                <w:rFonts w:ascii="Arial" w:cs="Arial" w:eastAsia="Arial" w:hAnsi="Arial"/>
                <w:sz w:val="7"/>
                <w:szCs w:val="7"/>
                <w:color w:val="auto"/>
              </w:rPr>
              <w:t xml:space="preserve">1.375 %  </w:t>
            </w:r>
            <w:r>
              <w:rPr>
                <w:rFonts w:ascii="Arial" w:cs="Arial" w:eastAsia="Arial" w:hAnsi="Arial"/>
                <w:sz w:val="9"/>
                <w:szCs w:val="9"/>
                <w:color w:val="auto"/>
                <w:vertAlign w:val="superscript"/>
              </w:rPr>
              <w:t>(1)</w:t>
            </w:r>
          </w:p>
        </w:tc>
        <w:tc>
          <w:tcPr>
            <w:tcW w:w="6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2"/>
          </w:tcPr>
          <w:p>
            <w:pPr>
              <w:jc w:val="right"/>
              <w:ind w:right="70"/>
              <w:spacing w:after="0"/>
              <w:rPr>
                <w:sz w:val="20"/>
                <w:szCs w:val="20"/>
                <w:color w:val="auto"/>
              </w:rPr>
            </w:pPr>
            <w:r>
              <w:rPr>
                <w:rFonts w:ascii="Arial" w:cs="Arial" w:eastAsia="Arial" w:hAnsi="Arial"/>
                <w:sz w:val="7"/>
                <w:szCs w:val="7"/>
                <w:color w:val="auto"/>
              </w:rPr>
              <w:t>1.375 %</w:t>
            </w:r>
          </w:p>
        </w:tc>
        <w:tc>
          <w:tcPr>
            <w:tcW w:w="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7"/>
                <w:szCs w:val="7"/>
                <w:color w:val="auto"/>
              </w:rPr>
              <w:t>1.375 %</w:t>
            </w:r>
          </w:p>
        </w:tc>
        <w:tc>
          <w:tcPr>
            <w:tcW w:w="120" w:type="dxa"/>
            <w:vAlign w:val="bottom"/>
          </w:tcPr>
          <w:p>
            <w:pPr>
              <w:jc w:val="right"/>
              <w:ind w:right="14"/>
              <w:spacing w:after="0"/>
              <w:rPr>
                <w:sz w:val="20"/>
                <w:szCs w:val="20"/>
                <w:color w:val="auto"/>
              </w:rPr>
            </w:pPr>
            <w:r>
              <w:rPr>
                <w:rFonts w:ascii="Arial" w:cs="Arial" w:eastAsia="Arial" w:hAnsi="Arial"/>
                <w:sz w:val="5"/>
                <w:szCs w:val="5"/>
                <w:color w:val="auto"/>
                <w:w w:val="97"/>
              </w:rPr>
              <w:t>(1)</w:t>
            </w:r>
          </w:p>
        </w:tc>
        <w:tc>
          <w:tcPr>
            <w:tcW w:w="80" w:type="dxa"/>
            <w:vAlign w:val="bottom"/>
          </w:tcPr>
          <w:p>
            <w:pPr>
              <w:spacing w:after="0"/>
              <w:rPr>
                <w:sz w:val="7"/>
                <w:szCs w:val="7"/>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7"/>
                <w:szCs w:val="7"/>
                <w:color w:val="auto"/>
              </w:rPr>
              <w:t>N/A</w:t>
            </w:r>
          </w:p>
        </w:tc>
        <w:tc>
          <w:tcPr>
            <w:tcW w:w="80" w:type="dxa"/>
            <w:vAlign w:val="bottom"/>
          </w:tcPr>
          <w:p>
            <w:pPr>
              <w:spacing w:after="0"/>
              <w:rPr>
                <w:sz w:val="7"/>
                <w:szCs w:val="7"/>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50"/>
              <w:spacing w:after="0"/>
              <w:rPr>
                <w:sz w:val="20"/>
                <w:szCs w:val="20"/>
                <w:color w:val="auto"/>
              </w:rPr>
            </w:pPr>
            <w:r>
              <w:rPr>
                <w:rFonts w:ascii="Arial" w:cs="Arial" w:eastAsia="Arial" w:hAnsi="Arial"/>
                <w:sz w:val="7"/>
                <w:szCs w:val="7"/>
                <w:color w:val="auto"/>
              </w:rPr>
              <w:t>1.375 %</w:t>
            </w:r>
          </w:p>
        </w:tc>
        <w:tc>
          <w:tcPr>
            <w:tcW w:w="100" w:type="dxa"/>
            <w:vAlign w:val="bottom"/>
          </w:tcPr>
          <w:p>
            <w:pPr>
              <w:spacing w:after="0"/>
              <w:rPr>
                <w:sz w:val="7"/>
                <w:szCs w:val="7"/>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spacing w:after="0"/>
              <w:rPr>
                <w:sz w:val="20"/>
                <w:szCs w:val="20"/>
                <w:color w:val="auto"/>
              </w:rPr>
            </w:pPr>
            <w:r>
              <w:rPr>
                <w:rFonts w:ascii="Arial" w:cs="Arial" w:eastAsia="Arial" w:hAnsi="Arial"/>
                <w:sz w:val="7"/>
                <w:szCs w:val="7"/>
                <w:color w:val="auto"/>
              </w:rPr>
              <w:t>0.833 %</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jc w:val="right"/>
              <w:spacing w:after="0"/>
              <w:rPr>
                <w:sz w:val="20"/>
                <w:szCs w:val="20"/>
                <w:color w:val="auto"/>
              </w:rPr>
            </w:pPr>
            <w:r>
              <w:rPr>
                <w:rFonts w:ascii="Arial" w:cs="Arial" w:eastAsia="Arial" w:hAnsi="Arial"/>
                <w:sz w:val="7"/>
                <w:szCs w:val="7"/>
                <w:color w:val="auto"/>
              </w:rPr>
              <w:t>N/A</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Arial" w:cs="Arial" w:eastAsia="Arial" w:hAnsi="Arial"/>
                <w:sz w:val="7"/>
                <w:szCs w:val="7"/>
                <w:color w:val="auto"/>
              </w:rPr>
              <w:t>N/A</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tcPr>
          <w:p>
            <w:pPr>
              <w:jc w:val="right"/>
              <w:spacing w:after="0"/>
              <w:rPr>
                <w:sz w:val="20"/>
                <w:szCs w:val="20"/>
                <w:color w:val="auto"/>
              </w:rPr>
            </w:pPr>
            <w:r>
              <w:rPr>
                <w:rFonts w:ascii="Arial" w:cs="Arial" w:eastAsia="Arial" w:hAnsi="Arial"/>
                <w:sz w:val="7"/>
                <w:szCs w:val="7"/>
                <w:color w:val="auto"/>
              </w:rPr>
              <w:t>0.833 %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-206375</wp:posOffset>
            </wp:positionV>
            <wp:extent cx="68580" cy="914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9144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-206375</wp:posOffset>
            </wp:positionV>
            <wp:extent cx="68580" cy="914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9144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-206375</wp:posOffset>
            </wp:positionV>
            <wp:extent cx="68580" cy="914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9144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-206375</wp:posOffset>
            </wp:positionV>
            <wp:extent cx="68580" cy="914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914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-206375</wp:posOffset>
            </wp:positionV>
            <wp:extent cx="68580" cy="914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9144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-206375</wp:posOffset>
            </wp:positionV>
            <wp:extent cx="68580" cy="914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9144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-206375</wp:posOffset>
            </wp:positionV>
            <wp:extent cx="68580" cy="914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9144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-206375</wp:posOffset>
            </wp:positionV>
            <wp:extent cx="17145" cy="914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7145" cy="9144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-206375</wp:posOffset>
            </wp:positionV>
            <wp:extent cx="60325" cy="914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0325" cy="9144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-206375</wp:posOffset>
            </wp:positionV>
            <wp:extent cx="60325" cy="914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0325" cy="9144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-206375</wp:posOffset>
            </wp:positionV>
            <wp:extent cx="60325" cy="914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325" cy="9144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-206375</wp:posOffset>
            </wp:positionV>
            <wp:extent cx="60325" cy="914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0325" cy="9144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-206375</wp:posOffset>
            </wp:positionV>
            <wp:extent cx="59690" cy="914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9690" cy="9144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-206375</wp:posOffset>
            </wp:positionV>
            <wp:extent cx="17145" cy="914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7145" cy="9144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-206375</wp:posOffset>
            </wp:positionV>
            <wp:extent cx="59690" cy="914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9690" cy="91440"/>
                    </a:xfrm>
                    <a:prstGeom prst="rect">
                      <a:avLst/>
                    </a:prstGeom>
                    <a:noFill/>
                  </pic:spPr>
                </pic:pic>
              </a:graphicData>
            </a:graphic>
          </wp:anchor>
        </w:drawing>
      </w:r>
    </w:p>
    <w:p>
      <w:pPr>
        <w:ind w:left="480" w:hanging="472"/>
        <w:spacing w:after="0"/>
        <w:tabs>
          <w:tab w:leader="none" w:pos="480" w:val="left"/>
        </w:tabs>
        <w:numPr>
          <w:ilvl w:val="0"/>
          <w:numId w:val="67"/>
        </w:numPr>
        <w:rPr>
          <w:rFonts w:ascii="Arial" w:cs="Arial" w:eastAsia="Arial" w:hAnsi="Arial"/>
          <w:sz w:val="13"/>
          <w:szCs w:val="13"/>
          <w:color w:val="auto"/>
        </w:rPr>
      </w:pPr>
      <w:r>
        <w:rPr>
          <w:rFonts w:ascii="Arial" w:cs="Arial" w:eastAsia="Arial" w:hAnsi="Arial"/>
          <w:sz w:val="14"/>
          <w:szCs w:val="14"/>
          <w:color w:val="auto"/>
        </w:rPr>
        <w:t>Reflects the effective rate as of 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58"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7"/>
          <w:szCs w:val="17"/>
          <w:color w:val="auto"/>
        </w:rPr>
        <w:t>During the years ended December 31, 2021, 2020, and 2019 the Company prepaid $63,500, $16,500, and $41,000 of SBA debentures, respectively, which were scheduled to mature on dates ranging from 2025 to 2028, 2024 to 2028, and 2021 and 2025, respectively. During the year ended December 31, 2021 the Company redeemed $50,000 and $132,250 of 2023 and 2024 Notes, respectively. As a result of the prepayments, the Company recognized realized losses on extinguishment of debt of $4,263, $299, and $399 respectively, equal to the write-off of the related unamortized deferred financing costs, during the years ended December 31, 2021, 2020, and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58"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Credit Facility, and Notes as of December 31, 2021 and 2020 were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1"/>
                <w:szCs w:val="11"/>
                <w:b w:val="1"/>
                <w:bCs w:val="1"/>
                <w:color w:val="auto"/>
              </w:rPr>
              <w:t>December 31, 2021</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1"/>
                <w:szCs w:val="11"/>
                <w:b w:val="1"/>
                <w:bCs w:val="1"/>
                <w:color w:val="auto"/>
              </w:rPr>
              <w:t>December 31, 2020</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19"/>
        </w:trPr>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520"/>
              <w:spacing w:after="0" w:line="119" w:lineRule="exact"/>
              <w:rPr>
                <w:sz w:val="20"/>
                <w:szCs w:val="20"/>
                <w:color w:val="auto"/>
              </w:rPr>
            </w:pPr>
            <w:r>
              <w:rPr>
                <w:rFonts w:ascii="Arial" w:cs="Arial" w:eastAsia="Arial" w:hAnsi="Arial"/>
                <w:sz w:val="11"/>
                <w:szCs w:val="11"/>
                <w:b w:val="1"/>
                <w:bCs w:val="1"/>
                <w:color w:val="auto"/>
              </w:rPr>
              <w:t>SBA</w:t>
            </w:r>
          </w:p>
        </w:tc>
        <w:tc>
          <w:tcPr>
            <w:tcW w:w="140" w:type="dxa"/>
            <w:vAlign w:val="bottom"/>
          </w:tcPr>
          <w:p>
            <w:pPr>
              <w:spacing w:after="0"/>
              <w:rPr>
                <w:sz w:val="10"/>
                <w:szCs w:val="10"/>
                <w:color w:val="auto"/>
              </w:rPr>
            </w:pPr>
          </w:p>
        </w:tc>
        <w:tc>
          <w:tcPr>
            <w:tcW w:w="900" w:type="dxa"/>
            <w:vAlign w:val="bottom"/>
            <w:gridSpan w:val="2"/>
          </w:tcPr>
          <w:p>
            <w:pPr>
              <w:jc w:val="right"/>
              <w:ind w:right="520"/>
              <w:spacing w:after="0" w:line="119" w:lineRule="exact"/>
              <w:rPr>
                <w:sz w:val="20"/>
                <w:szCs w:val="20"/>
                <w:color w:val="auto"/>
              </w:rPr>
            </w:pPr>
            <w:r>
              <w:rPr>
                <w:rFonts w:ascii="Arial" w:cs="Arial" w:eastAsia="Arial" w:hAnsi="Arial"/>
                <w:sz w:val="11"/>
                <w:szCs w:val="11"/>
                <w:b w:val="1"/>
                <w:bCs w:val="1"/>
                <w:color w:val="auto"/>
              </w:rPr>
              <w:t>Credit</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460"/>
              <w:spacing w:after="0" w:line="119" w:lineRule="exact"/>
              <w:rPr>
                <w:sz w:val="20"/>
                <w:szCs w:val="20"/>
                <w:color w:val="auto"/>
              </w:rPr>
            </w:pPr>
            <w:r>
              <w:rPr>
                <w:rFonts w:ascii="Arial" w:cs="Arial" w:eastAsia="Arial" w:hAnsi="Arial"/>
                <w:sz w:val="11"/>
                <w:szCs w:val="11"/>
                <w:b w:val="1"/>
                <w:bCs w:val="1"/>
                <w:color w:val="auto"/>
              </w:rPr>
              <w:t>SBA</w:t>
            </w:r>
          </w:p>
        </w:tc>
        <w:tc>
          <w:tcPr>
            <w:tcW w:w="160" w:type="dxa"/>
            <w:vAlign w:val="bottom"/>
          </w:tcPr>
          <w:p>
            <w:pPr>
              <w:spacing w:after="0"/>
              <w:rPr>
                <w:sz w:val="10"/>
                <w:szCs w:val="10"/>
                <w:color w:val="auto"/>
              </w:rPr>
            </w:pPr>
          </w:p>
        </w:tc>
        <w:tc>
          <w:tcPr>
            <w:tcW w:w="880" w:type="dxa"/>
            <w:vAlign w:val="bottom"/>
            <w:gridSpan w:val="2"/>
          </w:tcPr>
          <w:p>
            <w:pPr>
              <w:jc w:val="right"/>
              <w:ind w:right="460"/>
              <w:spacing w:after="0" w:line="119" w:lineRule="exact"/>
              <w:rPr>
                <w:sz w:val="20"/>
                <w:szCs w:val="20"/>
                <w:color w:val="auto"/>
              </w:rPr>
            </w:pPr>
            <w:r>
              <w:rPr>
                <w:rFonts w:ascii="Arial" w:cs="Arial" w:eastAsia="Arial" w:hAnsi="Arial"/>
                <w:sz w:val="11"/>
                <w:szCs w:val="11"/>
                <w:b w:val="1"/>
                <w:bCs w:val="1"/>
                <w:color w:val="auto"/>
              </w:rPr>
              <w:t>Credit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4"/>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0"/>
              </w:rPr>
              <w:t>debentures</w:t>
            </w:r>
          </w:p>
        </w:tc>
        <w:tc>
          <w:tcPr>
            <w:tcW w:w="140" w:type="dxa"/>
            <w:vAlign w:val="bottom"/>
          </w:tcPr>
          <w:p>
            <w:pPr>
              <w:spacing w:after="0"/>
              <w:rPr>
                <w:sz w:val="12"/>
                <w:szCs w:val="12"/>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Facility</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Notes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84"/>
              </w:rPr>
              <w:t>debentures</w:t>
            </w:r>
          </w:p>
        </w:tc>
        <w:tc>
          <w:tcPr>
            <w:tcW w:w="160" w:type="dxa"/>
            <w:vAlign w:val="bottom"/>
          </w:tcPr>
          <w:p>
            <w:pPr>
              <w:spacing w:after="0"/>
              <w:rPr>
                <w:sz w:val="12"/>
                <w:szCs w:val="12"/>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Facility</w:t>
            </w:r>
          </w:p>
        </w:tc>
        <w:tc>
          <w:tcPr>
            <w:tcW w:w="140" w:type="dxa"/>
            <w:vAlign w:val="bottom"/>
          </w:tcPr>
          <w:p>
            <w:pPr>
              <w:spacing w:after="0"/>
              <w:rPr>
                <w:sz w:val="12"/>
                <w:szCs w:val="12"/>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Notes</w:t>
            </w:r>
          </w:p>
        </w:tc>
        <w:tc>
          <w:tcPr>
            <w:tcW w:w="200" w:type="dxa"/>
            <w:vAlign w:val="bottom"/>
          </w:tcPr>
          <w:p>
            <w:pPr>
              <w:spacing w:after="0"/>
              <w:rPr>
                <w:sz w:val="12"/>
                <w:szCs w:val="12"/>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Total</w:t>
            </w:r>
          </w:p>
        </w:tc>
      </w:tr>
      <w:tr>
        <w:trPr>
          <w:trHeight w:val="133"/>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SBA debenture commitment fees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1,750</w:t>
            </w:r>
          </w:p>
        </w:tc>
        <w:tc>
          <w:tcPr>
            <w:tcW w:w="2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1,750</w:t>
            </w:r>
          </w:p>
        </w:tc>
        <w:tc>
          <w:tcPr>
            <w:tcW w:w="180" w:type="dxa"/>
            <w:vAlign w:val="bottom"/>
            <w:shd w:val="clear" w:color="auto" w:fill="CCEEFF"/>
          </w:tcPr>
          <w:p>
            <w:pPr>
              <w:spacing w:after="0"/>
              <w:rPr>
                <w:sz w:val="11"/>
                <w:szCs w:val="11"/>
                <w:color w:val="auto"/>
              </w:rPr>
            </w:pPr>
          </w:p>
        </w:tc>
      </w:tr>
      <w:tr>
        <w:trPr>
          <w:trHeight w:val="135"/>
        </w:trPr>
        <w:tc>
          <w:tcPr>
            <w:tcW w:w="3200" w:type="dxa"/>
            <w:vAlign w:val="bottom"/>
          </w:tcPr>
          <w:p>
            <w:pPr>
              <w:ind w:left="20"/>
              <w:spacing w:after="0"/>
              <w:rPr>
                <w:sz w:val="20"/>
                <w:szCs w:val="20"/>
                <w:color w:val="auto"/>
              </w:rPr>
            </w:pPr>
            <w:r>
              <w:rPr>
                <w:rFonts w:ascii="Arial" w:cs="Arial" w:eastAsia="Arial" w:hAnsi="Arial"/>
                <w:sz w:val="11"/>
                <w:szCs w:val="11"/>
                <w:color w:val="auto"/>
              </w:rPr>
              <w:t>SBA debenture leverage fees</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4,538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4,538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3,966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3,966</w:t>
            </w:r>
          </w:p>
        </w:tc>
        <w:tc>
          <w:tcPr>
            <w:tcW w:w="180" w:type="dxa"/>
            <w:vAlign w:val="bottom"/>
          </w:tcPr>
          <w:p>
            <w:pPr>
              <w:spacing w:after="0"/>
              <w:rPr>
                <w:sz w:val="11"/>
                <w:szCs w:val="11"/>
                <w:color w:val="auto"/>
              </w:rPr>
            </w:pPr>
          </w:p>
        </w:tc>
      </w:tr>
      <w:tr>
        <w:trPr>
          <w:trHeight w:val="135"/>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Credit Facility upfront fees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3,238</w:t>
            </w: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3,238</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3,238</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3,238</w:t>
            </w:r>
          </w:p>
        </w:tc>
        <w:tc>
          <w:tcPr>
            <w:tcW w:w="180" w:type="dxa"/>
            <w:vAlign w:val="bottom"/>
            <w:shd w:val="clear" w:color="auto" w:fill="CCEEFF"/>
          </w:tcPr>
          <w:p>
            <w:pPr>
              <w:spacing w:after="0"/>
              <w:rPr>
                <w:sz w:val="11"/>
                <w:szCs w:val="11"/>
                <w:color w:val="auto"/>
              </w:rPr>
            </w:pPr>
          </w:p>
        </w:tc>
      </w:tr>
      <w:tr>
        <w:trPr>
          <w:trHeight w:val="135"/>
        </w:trPr>
        <w:tc>
          <w:tcPr>
            <w:tcW w:w="3200" w:type="dxa"/>
            <w:vAlign w:val="bottom"/>
          </w:tcPr>
          <w:p>
            <w:pPr>
              <w:ind w:left="20"/>
              <w:spacing w:after="0"/>
              <w:rPr>
                <w:sz w:val="20"/>
                <w:szCs w:val="20"/>
                <w:color w:val="auto"/>
              </w:rPr>
            </w:pPr>
            <w:r>
              <w:rPr>
                <w:rFonts w:ascii="Arial" w:cs="Arial" w:eastAsia="Arial" w:hAnsi="Arial"/>
                <w:sz w:val="11"/>
                <w:szCs w:val="11"/>
                <w:color w:val="auto"/>
              </w:rPr>
              <w:t>Notes underwriting discounts</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w w:val="87"/>
              </w:rPr>
              <w:t>5,005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7,968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7,968</w:t>
            </w:r>
          </w:p>
        </w:tc>
        <w:tc>
          <w:tcPr>
            <w:tcW w:w="180" w:type="dxa"/>
            <w:vAlign w:val="bottom"/>
          </w:tcPr>
          <w:p>
            <w:pPr>
              <w:spacing w:after="0"/>
              <w:rPr>
                <w:sz w:val="11"/>
                <w:szCs w:val="11"/>
                <w:color w:val="auto"/>
              </w:rPr>
            </w:pPr>
          </w:p>
        </w:tc>
      </w:tr>
      <w:tr>
        <w:trPr>
          <w:trHeight w:val="135"/>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Notes debt issue costs</w:t>
            </w: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685</w:t>
            </w: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685</w:t>
            </w: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1,579</w:t>
            </w:r>
          </w:p>
        </w:tc>
        <w:tc>
          <w:tcPr>
            <w:tcW w:w="1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1,579</w:t>
            </w:r>
          </w:p>
        </w:tc>
        <w:tc>
          <w:tcPr>
            <w:tcW w:w="180" w:type="dxa"/>
            <w:vAlign w:val="bottom"/>
            <w:tcBorders>
              <w:bottom w:val="single" w:sz="8" w:color="CCEEFF"/>
            </w:tcBorders>
            <w:shd w:val="clear" w:color="auto" w:fill="CCEEFF"/>
          </w:tcPr>
          <w:p>
            <w:pPr>
              <w:spacing w:after="0"/>
              <w:rPr>
                <w:sz w:val="11"/>
                <w:szCs w:val="11"/>
                <w:color w:val="auto"/>
              </w:rPr>
            </w:pPr>
          </w:p>
        </w:tc>
      </w:tr>
      <w:tr>
        <w:trPr>
          <w:trHeight w:val="129"/>
        </w:trPr>
        <w:tc>
          <w:tcPr>
            <w:tcW w:w="3200" w:type="dxa"/>
            <w:vAlign w:val="bottom"/>
          </w:tcPr>
          <w:p>
            <w:pPr>
              <w:ind w:left="20"/>
              <w:spacing w:after="0"/>
              <w:rPr>
                <w:sz w:val="20"/>
                <w:szCs w:val="20"/>
                <w:color w:val="auto"/>
              </w:rPr>
            </w:pPr>
            <w:r>
              <w:rPr>
                <w:rFonts w:ascii="Arial" w:cs="Arial" w:eastAsia="Arial" w:hAnsi="Arial"/>
                <w:sz w:val="11"/>
                <w:szCs w:val="11"/>
                <w:color w:val="auto"/>
              </w:rPr>
              <w:t>Total deferred financing costs</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7,038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3,238</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w w:val="87"/>
              </w:rPr>
              <w:t>5,690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15,966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5,716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3,238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9,547</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18,501</w:t>
            </w:r>
          </w:p>
        </w:tc>
        <w:tc>
          <w:tcPr>
            <w:tcW w:w="180" w:type="dxa"/>
            <w:vAlign w:val="bottom"/>
          </w:tcPr>
          <w:p>
            <w:pPr>
              <w:spacing w:after="0"/>
              <w:rPr>
                <w:sz w:val="11"/>
                <w:szCs w:val="11"/>
                <w:color w:val="auto"/>
              </w:rPr>
            </w:pPr>
          </w:p>
        </w:tc>
      </w:tr>
      <w:tr>
        <w:trPr>
          <w:trHeight w:val="135"/>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accumulated amortization</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(4,016 )</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(2,643 )</w:t>
            </w:r>
          </w:p>
        </w:tc>
        <w:tc>
          <w:tcPr>
            <w:tcW w:w="5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(706 )</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(7,365 )</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(2,720 )</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(2,190 )</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(2,591 )</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(7,501 )</w:t>
            </w:r>
          </w:p>
        </w:tc>
      </w:tr>
      <w:tr>
        <w:trPr>
          <w:trHeight w:val="129"/>
        </w:trPr>
        <w:tc>
          <w:tcPr>
            <w:tcW w:w="320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Unamortized deferred financing costs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3,022</w:t>
            </w: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595</w:t>
            </w:r>
          </w:p>
        </w:tc>
        <w:tc>
          <w:tcPr>
            <w:tcW w:w="300" w:type="dxa"/>
            <w:vAlign w:val="bottom"/>
            <w:tcBorders>
              <w:top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7"/>
              </w:rPr>
              <w:t>4,984</w:t>
            </w:r>
          </w:p>
        </w:tc>
        <w:tc>
          <w:tcPr>
            <w:tcW w:w="220" w:type="dxa"/>
            <w:vAlign w:val="bottom"/>
            <w:tcBorders>
              <w:top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8,601</w:t>
            </w: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2,996</w:t>
            </w:r>
          </w:p>
        </w:tc>
        <w:tc>
          <w:tcPr>
            <w:tcW w:w="200" w:type="dxa"/>
            <w:vAlign w:val="bottom"/>
            <w:tcBorders>
              <w:top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1,048</w:t>
            </w:r>
          </w:p>
        </w:tc>
        <w:tc>
          <w:tcPr>
            <w:tcW w:w="200" w:type="dxa"/>
            <w:vAlign w:val="bottom"/>
            <w:tcBorders>
              <w:top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6,956</w:t>
            </w:r>
          </w:p>
        </w:tc>
        <w:tc>
          <w:tcPr>
            <w:tcW w:w="180" w:type="dxa"/>
            <w:vAlign w:val="bottom"/>
            <w:tcBorders>
              <w:top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11,000</w:t>
            </w:r>
          </w:p>
        </w:tc>
        <w:tc>
          <w:tcPr>
            <w:tcW w:w="180" w:type="dxa"/>
            <w:vAlign w:val="bottom"/>
            <w:tcBorders>
              <w:top w:val="single" w:sz="8" w:color="CCEEFF"/>
            </w:tcBorders>
          </w:tcPr>
          <w:p>
            <w:pPr>
              <w:spacing w:after="0"/>
              <w:rPr>
                <w:sz w:val="11"/>
                <w:szCs w:val="1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-296545</wp:posOffset>
            </wp:positionV>
            <wp:extent cx="51435" cy="914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-296545</wp:posOffset>
            </wp:positionV>
            <wp:extent cx="51435" cy="914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-296545</wp:posOffset>
            </wp:positionV>
            <wp:extent cx="51435" cy="914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-296545</wp:posOffset>
            </wp:positionV>
            <wp:extent cx="51435" cy="914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-296545</wp:posOffset>
            </wp:positionV>
            <wp:extent cx="51435" cy="914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1435" cy="9144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-296545</wp:posOffset>
            </wp:positionV>
            <wp:extent cx="43180" cy="914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3180" cy="9144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-296545</wp:posOffset>
            </wp:positionV>
            <wp:extent cx="43180" cy="914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3180" cy="9144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-296545</wp:posOffset>
            </wp:positionV>
            <wp:extent cx="43180" cy="914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3180" cy="9144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-116205</wp:posOffset>
            </wp:positionV>
            <wp:extent cx="51435" cy="1168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-116205</wp:posOffset>
            </wp:positionV>
            <wp:extent cx="51435" cy="1168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-116205</wp:posOffset>
            </wp:positionV>
            <wp:extent cx="51435" cy="1168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-116205</wp:posOffset>
            </wp:positionV>
            <wp:extent cx="51435" cy="1168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-116205</wp:posOffset>
            </wp:positionV>
            <wp:extent cx="51435" cy="1168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1435" cy="11684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-116205</wp:posOffset>
            </wp:positionV>
            <wp:extent cx="43180" cy="1168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3180" cy="11684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-116205</wp:posOffset>
            </wp:positionV>
            <wp:extent cx="43180" cy="1168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3180" cy="11684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-116205</wp:posOffset>
            </wp:positionV>
            <wp:extent cx="43180" cy="1168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3180" cy="11684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2" w:name="page113"/>
    <w:bookmarkEnd w:id="112"/>
    <w:p>
      <w:pPr>
        <w:jc w:val="both"/>
        <w:ind w:right="20" w:firstLine="478"/>
        <w:spacing w:after="0" w:line="248"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Notes liabilities on the consolidated statements of assets and liabilities. The following table summarizes the outstanding debt net of unamortized deferred financing costs as of December 31, 2021 and 2020:</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1"/>
                <w:szCs w:val="11"/>
                <w:b w:val="1"/>
                <w:bCs w:val="1"/>
                <w:color w:val="auto"/>
              </w:rPr>
              <w:t>December 31, 2021</w:t>
            </w:r>
            <w:r>
              <w:rPr>
                <w:rFonts w:ascii="Arial" w:cs="Arial" w:eastAsia="Arial" w:hAnsi="Arial"/>
                <w:sz w:val="14"/>
                <w:szCs w:val="14"/>
                <w:b w:val="1"/>
                <w:bCs w:val="1"/>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1"/>
                <w:szCs w:val="11"/>
                <w:b w:val="1"/>
                <w:bCs w:val="1"/>
                <w:color w:val="auto"/>
              </w:rPr>
              <w:t>December 31, 2020</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15"/>
        </w:trPr>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right"/>
              <w:ind w:right="520"/>
              <w:spacing w:after="0" w:line="115" w:lineRule="exact"/>
              <w:rPr>
                <w:sz w:val="20"/>
                <w:szCs w:val="20"/>
                <w:color w:val="auto"/>
              </w:rPr>
            </w:pPr>
            <w:r>
              <w:rPr>
                <w:rFonts w:ascii="Arial" w:cs="Arial" w:eastAsia="Arial" w:hAnsi="Arial"/>
                <w:sz w:val="11"/>
                <w:szCs w:val="11"/>
                <w:b w:val="1"/>
                <w:bCs w:val="1"/>
                <w:color w:val="auto"/>
              </w:rPr>
              <w:t>SBA</w:t>
            </w:r>
          </w:p>
        </w:tc>
        <w:tc>
          <w:tcPr>
            <w:tcW w:w="140" w:type="dxa"/>
            <w:vAlign w:val="bottom"/>
          </w:tcPr>
          <w:p>
            <w:pPr>
              <w:spacing w:after="0"/>
              <w:rPr>
                <w:sz w:val="9"/>
                <w:szCs w:val="9"/>
                <w:color w:val="auto"/>
              </w:rPr>
            </w:pPr>
          </w:p>
        </w:tc>
        <w:tc>
          <w:tcPr>
            <w:tcW w:w="920" w:type="dxa"/>
            <w:vAlign w:val="bottom"/>
            <w:gridSpan w:val="2"/>
          </w:tcPr>
          <w:p>
            <w:pPr>
              <w:jc w:val="right"/>
              <w:ind w:right="466"/>
              <w:spacing w:after="0" w:line="115" w:lineRule="exact"/>
              <w:rPr>
                <w:sz w:val="20"/>
                <w:szCs w:val="20"/>
                <w:color w:val="auto"/>
              </w:rPr>
            </w:pPr>
            <w:r>
              <w:rPr>
                <w:rFonts w:ascii="Arial" w:cs="Arial" w:eastAsia="Arial" w:hAnsi="Arial"/>
                <w:sz w:val="11"/>
                <w:szCs w:val="11"/>
                <w:b w:val="1"/>
                <w:bCs w:val="1"/>
                <w:color w:val="auto"/>
              </w:rPr>
              <w:t>Credit</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SBA</w:t>
            </w:r>
          </w:p>
        </w:tc>
        <w:tc>
          <w:tcPr>
            <w:tcW w:w="160" w:type="dxa"/>
            <w:vAlign w:val="bottom"/>
          </w:tcPr>
          <w:p>
            <w:pPr>
              <w:spacing w:after="0"/>
              <w:rPr>
                <w:sz w:val="9"/>
                <w:szCs w:val="9"/>
                <w:color w:val="auto"/>
              </w:rPr>
            </w:pPr>
          </w:p>
        </w:tc>
        <w:tc>
          <w:tcPr>
            <w:tcW w:w="880" w:type="dxa"/>
            <w:vAlign w:val="bottom"/>
            <w:gridSpan w:val="2"/>
          </w:tcPr>
          <w:p>
            <w:pPr>
              <w:jc w:val="right"/>
              <w:ind w:right="422"/>
              <w:spacing w:after="0" w:line="115" w:lineRule="exact"/>
              <w:rPr>
                <w:sz w:val="20"/>
                <w:szCs w:val="20"/>
                <w:color w:val="auto"/>
              </w:rPr>
            </w:pPr>
            <w:r>
              <w:rPr>
                <w:rFonts w:ascii="Arial" w:cs="Arial" w:eastAsia="Arial" w:hAnsi="Arial"/>
                <w:sz w:val="11"/>
                <w:szCs w:val="11"/>
                <w:b w:val="1"/>
                <w:bCs w:val="1"/>
                <w:color w:val="auto"/>
              </w:rPr>
              <w:t>Credit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44"/>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0"/>
              </w:rPr>
              <w:t>debentures</w:t>
            </w:r>
          </w:p>
        </w:tc>
        <w:tc>
          <w:tcPr>
            <w:tcW w:w="140" w:type="dxa"/>
            <w:vAlign w:val="bottom"/>
          </w:tcPr>
          <w:p>
            <w:pPr>
              <w:spacing w:after="0"/>
              <w:rPr>
                <w:sz w:val="12"/>
                <w:szCs w:val="12"/>
                <w:color w:val="auto"/>
              </w:rPr>
            </w:pPr>
          </w:p>
        </w:tc>
        <w:tc>
          <w:tcPr>
            <w:tcW w:w="920" w:type="dxa"/>
            <w:vAlign w:val="bottom"/>
            <w:gridSpan w:val="2"/>
          </w:tcPr>
          <w:p>
            <w:pPr>
              <w:jc w:val="right"/>
              <w:ind w:right="446"/>
              <w:spacing w:after="0"/>
              <w:rPr>
                <w:sz w:val="20"/>
                <w:szCs w:val="20"/>
                <w:color w:val="auto"/>
              </w:rPr>
            </w:pPr>
            <w:r>
              <w:rPr>
                <w:rFonts w:ascii="Arial" w:cs="Arial" w:eastAsia="Arial" w:hAnsi="Arial"/>
                <w:sz w:val="11"/>
                <w:szCs w:val="11"/>
                <w:b w:val="1"/>
                <w:bCs w:val="1"/>
                <w:color w:val="auto"/>
              </w:rPr>
              <w:t>Facility</w:t>
            </w:r>
          </w:p>
        </w:tc>
        <w:tc>
          <w:tcPr>
            <w:tcW w:w="180" w:type="dxa"/>
            <w:vAlign w:val="bottom"/>
          </w:tcPr>
          <w:p>
            <w:pPr>
              <w:spacing w:after="0"/>
              <w:rPr>
                <w:sz w:val="12"/>
                <w:szCs w:val="12"/>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Notes</w:t>
            </w:r>
          </w:p>
        </w:tc>
        <w:tc>
          <w:tcPr>
            <w:tcW w:w="160" w:type="dxa"/>
            <w:vAlign w:val="bottom"/>
          </w:tcPr>
          <w:p>
            <w:pPr>
              <w:spacing w:after="0"/>
              <w:rPr>
                <w:sz w:val="12"/>
                <w:szCs w:val="12"/>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84"/>
              </w:rPr>
              <w:t>debentures</w:t>
            </w:r>
          </w:p>
        </w:tc>
        <w:tc>
          <w:tcPr>
            <w:tcW w:w="160" w:type="dxa"/>
            <w:vAlign w:val="bottom"/>
          </w:tcPr>
          <w:p>
            <w:pPr>
              <w:spacing w:after="0"/>
              <w:rPr>
                <w:sz w:val="12"/>
                <w:szCs w:val="12"/>
                <w:color w:val="auto"/>
              </w:rPr>
            </w:pPr>
          </w:p>
        </w:tc>
        <w:tc>
          <w:tcPr>
            <w:tcW w:w="880" w:type="dxa"/>
            <w:vAlign w:val="bottom"/>
            <w:gridSpan w:val="2"/>
          </w:tcPr>
          <w:p>
            <w:pPr>
              <w:jc w:val="right"/>
              <w:ind w:right="402"/>
              <w:spacing w:after="0"/>
              <w:rPr>
                <w:sz w:val="20"/>
                <w:szCs w:val="20"/>
                <w:color w:val="auto"/>
              </w:rPr>
            </w:pPr>
            <w:r>
              <w:rPr>
                <w:rFonts w:ascii="Arial" w:cs="Arial" w:eastAsia="Arial" w:hAnsi="Arial"/>
                <w:sz w:val="11"/>
                <w:szCs w:val="11"/>
                <w:b w:val="1"/>
                <w:bCs w:val="1"/>
                <w:color w:val="auto"/>
              </w:rPr>
              <w:t>Facility</w:t>
            </w:r>
          </w:p>
        </w:tc>
        <w:tc>
          <w:tcPr>
            <w:tcW w:w="160" w:type="dxa"/>
            <w:vAlign w:val="bottom"/>
          </w:tcPr>
          <w:p>
            <w:pPr>
              <w:spacing w:after="0"/>
              <w:rPr>
                <w:sz w:val="12"/>
                <w:szCs w:val="12"/>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Notes</w:t>
            </w:r>
          </w:p>
        </w:tc>
        <w:tc>
          <w:tcPr>
            <w:tcW w:w="220" w:type="dxa"/>
            <w:vAlign w:val="bottom"/>
          </w:tcPr>
          <w:p>
            <w:pPr>
              <w:spacing w:after="0"/>
              <w:rPr>
                <w:sz w:val="12"/>
                <w:szCs w:val="12"/>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Total</w:t>
            </w:r>
          </w:p>
        </w:tc>
      </w:tr>
      <w:tr>
        <w:trPr>
          <w:trHeight w:val="133"/>
        </w:trPr>
        <w:tc>
          <w:tcPr>
            <w:tcW w:w="3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Outstanding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107,000</w:t>
            </w:r>
          </w:p>
        </w:tc>
        <w:tc>
          <w:tcPr>
            <w:tcW w:w="2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250,000</w:t>
            </w:r>
          </w:p>
        </w:tc>
        <w:tc>
          <w:tcPr>
            <w:tcW w:w="2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357,000</w:t>
            </w: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147,000</w:t>
            </w: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307,250</w:t>
            </w:r>
          </w:p>
        </w:tc>
        <w:tc>
          <w:tcPr>
            <w:tcW w:w="18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454,250</w:t>
            </w:r>
          </w:p>
        </w:tc>
        <w:tc>
          <w:tcPr>
            <w:tcW w:w="180" w:type="dxa"/>
            <w:vAlign w:val="bottom"/>
            <w:shd w:val="clear" w:color="auto" w:fill="CCEEFF"/>
          </w:tcPr>
          <w:p>
            <w:pPr>
              <w:spacing w:after="0"/>
              <w:rPr>
                <w:sz w:val="11"/>
                <w:szCs w:val="11"/>
                <w:color w:val="auto"/>
              </w:rPr>
            </w:pPr>
          </w:p>
        </w:tc>
      </w:tr>
      <w:tr>
        <w:trPr>
          <w:trHeight w:val="135"/>
        </w:trPr>
        <w:tc>
          <w:tcPr>
            <w:tcW w:w="3160" w:type="dxa"/>
            <w:vAlign w:val="bottom"/>
          </w:tcPr>
          <w:p>
            <w:pPr>
              <w:ind w:left="20"/>
              <w:spacing w:after="0"/>
              <w:rPr>
                <w:sz w:val="20"/>
                <w:szCs w:val="20"/>
                <w:color w:val="auto"/>
              </w:rPr>
            </w:pPr>
            <w:r>
              <w:rPr>
                <w:rFonts w:ascii="Arial" w:cs="Arial" w:eastAsia="Arial" w:hAnsi="Arial"/>
                <w:sz w:val="11"/>
                <w:szCs w:val="11"/>
                <w:color w:val="auto"/>
              </w:rPr>
              <w:t>Less: unamortized deferred financing costs</w:t>
            </w:r>
          </w:p>
        </w:tc>
        <w:tc>
          <w:tcPr>
            <w:tcW w:w="12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(3,022 )</w:t>
            </w:r>
          </w:p>
        </w:tc>
        <w:tc>
          <w:tcPr>
            <w:tcW w:w="140" w:type="dxa"/>
            <w:vAlign w:val="bottom"/>
          </w:tcPr>
          <w:p>
            <w:pPr>
              <w:spacing w:after="0"/>
              <w:rPr>
                <w:sz w:val="11"/>
                <w:szCs w:val="11"/>
                <w:color w:val="auto"/>
              </w:rPr>
            </w:pPr>
          </w:p>
        </w:tc>
        <w:tc>
          <w:tcPr>
            <w:tcW w:w="920" w:type="dxa"/>
            <w:vAlign w:val="bottom"/>
            <w:gridSpan w:val="2"/>
          </w:tcPr>
          <w:p>
            <w:pPr>
              <w:jc w:val="right"/>
              <w:ind w:right="186"/>
              <w:spacing w:after="0"/>
              <w:rPr>
                <w:sz w:val="20"/>
                <w:szCs w:val="20"/>
                <w:color w:val="auto"/>
              </w:rPr>
            </w:pPr>
            <w:r>
              <w:rPr>
                <w:rFonts w:ascii="Arial" w:cs="Arial" w:eastAsia="Arial" w:hAnsi="Arial"/>
                <w:sz w:val="11"/>
                <w:szCs w:val="11"/>
                <w:color w:val="auto"/>
              </w:rPr>
              <w:t>(595 )</w:t>
            </w:r>
          </w:p>
        </w:tc>
        <w:tc>
          <w:tcPr>
            <w:tcW w:w="18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(4,984 )</w:t>
            </w:r>
          </w:p>
        </w:tc>
        <w:tc>
          <w:tcPr>
            <w:tcW w:w="1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(8,601 )</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(2,996 )</w:t>
            </w:r>
          </w:p>
        </w:tc>
        <w:tc>
          <w:tcPr>
            <w:tcW w:w="160" w:type="dxa"/>
            <w:vAlign w:val="bottom"/>
          </w:tcPr>
          <w:p>
            <w:pPr>
              <w:spacing w:after="0"/>
              <w:rPr>
                <w:sz w:val="11"/>
                <w:szCs w:val="11"/>
                <w:color w:val="auto"/>
              </w:rPr>
            </w:pPr>
          </w:p>
        </w:tc>
        <w:tc>
          <w:tcPr>
            <w:tcW w:w="880" w:type="dxa"/>
            <w:vAlign w:val="bottom"/>
            <w:gridSpan w:val="2"/>
          </w:tcPr>
          <w:p>
            <w:pPr>
              <w:jc w:val="right"/>
              <w:ind w:right="102"/>
              <w:spacing w:after="0"/>
              <w:rPr>
                <w:sz w:val="20"/>
                <w:szCs w:val="20"/>
                <w:color w:val="auto"/>
              </w:rPr>
            </w:pPr>
            <w:r>
              <w:rPr>
                <w:rFonts w:ascii="Arial" w:cs="Arial" w:eastAsia="Arial" w:hAnsi="Arial"/>
                <w:sz w:val="11"/>
                <w:szCs w:val="11"/>
                <w:color w:val="auto"/>
              </w:rPr>
              <w:t>(1,048 )</w:t>
            </w:r>
          </w:p>
        </w:tc>
        <w:tc>
          <w:tcPr>
            <w:tcW w:w="16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(6,956 )</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(11,000 )</w:t>
            </w:r>
          </w:p>
        </w:tc>
      </w:tr>
      <w:tr>
        <w:trPr>
          <w:trHeight w:val="16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Debt, net of deferred financing costs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103,978</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(595</w:t>
            </w:r>
          </w:p>
        </w:tc>
        <w:tc>
          <w:tcPr>
            <w:tcW w:w="30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245,016</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348,399</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144,004</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(1,048</w:t>
            </w:r>
          </w:p>
        </w:tc>
        <w:tc>
          <w:tcPr>
            <w:tcW w:w="1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300,294</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443,250</w:t>
            </w:r>
          </w:p>
        </w:tc>
        <w:tc>
          <w:tcPr>
            <w:tcW w:w="180" w:type="dxa"/>
            <w:vAlign w:val="bottom"/>
            <w:tcBorders>
              <w:bottom w:val="single" w:sz="8" w:color="CCEEFF"/>
            </w:tcBorders>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-25400</wp:posOffset>
            </wp:positionV>
            <wp:extent cx="596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596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-25400</wp:posOffset>
            </wp:positionV>
            <wp:extent cx="603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03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6032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03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-25400</wp:posOffset>
            </wp:positionV>
            <wp:extent cx="514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514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514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514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5143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514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514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514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514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3" w:lineRule="exact"/>
        <w:rPr>
          <w:sz w:val="20"/>
          <w:szCs w:val="20"/>
          <w:color w:val="auto"/>
        </w:rPr>
      </w:pPr>
    </w:p>
    <w:p>
      <w:pPr>
        <w:ind w:left="360" w:hanging="339"/>
        <w:spacing w:after="0"/>
        <w:tabs>
          <w:tab w:leader="none" w:pos="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Total excludes $17,637 of Secured Borrowings</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As of December 31, 2021, the Company’s debt liabilities are scheduled to mature as follows </w:t>
      </w:r>
      <w:r>
        <w:rPr>
          <w:rFonts w:ascii="Arial" w:cs="Arial" w:eastAsia="Arial" w:hAnsi="Arial"/>
          <w:sz w:val="24"/>
          <w:szCs w:val="24"/>
          <w:color w:val="auto"/>
          <w:vertAlign w:val="superscript"/>
        </w:rPr>
        <w:t>(1)</w:t>
      </w:r>
      <w:r>
        <w:rPr>
          <w:rFonts w:ascii="Arial" w:cs="Arial" w:eastAsia="Arial" w:hAnsi="Arial"/>
          <w:sz w:val="18"/>
          <w:szCs w:val="18"/>
          <w:color w:val="auto"/>
        </w:rPr>
        <w: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SBA</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ind w:left="300"/>
              <w:spacing w:after="0"/>
              <w:rPr>
                <w:sz w:val="20"/>
                <w:szCs w:val="20"/>
                <w:color w:val="auto"/>
              </w:rPr>
            </w:pPr>
            <w:r>
              <w:rPr>
                <w:rFonts w:ascii="Arial" w:cs="Arial" w:eastAsia="Arial" w:hAnsi="Arial"/>
                <w:sz w:val="18"/>
                <w:szCs w:val="18"/>
                <w:b w:val="1"/>
                <w:bCs w:val="1"/>
                <w:color w:val="auto"/>
              </w:rPr>
              <w:t>Credit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Secured</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debentures</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160"/>
              <w:spacing w:after="0" w:line="243" w:lineRule="exact"/>
              <w:rPr>
                <w:sz w:val="20"/>
                <w:szCs w:val="20"/>
                <w:color w:val="auto"/>
              </w:rPr>
            </w:pPr>
            <w:r>
              <w:rPr>
                <w:rFonts w:ascii="Arial" w:cs="Arial" w:eastAsia="Arial" w:hAnsi="Arial"/>
                <w:sz w:val="18"/>
                <w:szCs w:val="18"/>
                <w:b w:val="1"/>
                <w:bCs w:val="1"/>
                <w:color w:val="auto"/>
              </w:rPr>
              <w:t xml:space="preserve">Facility </w:t>
            </w:r>
            <w:r>
              <w:rPr>
                <w:rFonts w:ascii="Arial" w:cs="Arial" w:eastAsia="Arial" w:hAnsi="Arial"/>
                <w:sz w:val="24"/>
                <w:szCs w:val="24"/>
                <w:b w:val="1"/>
                <w:bCs w:val="1"/>
                <w:color w:val="auto"/>
                <w:vertAlign w:val="superscript"/>
              </w:rPr>
              <w:t>(2)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Borrowings</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Notes</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1"/>
                <w:szCs w:val="21"/>
                <w:color w:val="auto"/>
              </w:rPr>
            </w:pPr>
          </w:p>
        </w:tc>
      </w:tr>
      <w:tr>
        <w:trPr>
          <w:trHeight w:val="196"/>
        </w:trPr>
        <w:tc>
          <w:tcPr>
            <w:tcW w:w="1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16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7"/>
                <w:szCs w:val="17"/>
                <w:color w:val="auto"/>
              </w:rPr>
            </w:pPr>
          </w:p>
        </w:tc>
      </w:tr>
      <w:tr>
        <w:trPr>
          <w:trHeight w:val="203"/>
        </w:trPr>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89"/>
              </w:rPr>
              <w:t>2023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ind w:left="116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1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2024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ind w:left="116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89"/>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22,500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ind w:left="116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22,500</w:t>
            </w:r>
          </w:p>
        </w:tc>
        <w:tc>
          <w:tcPr>
            <w:tcW w:w="60" w:type="dxa"/>
            <w:vAlign w:val="bottom"/>
          </w:tcPr>
          <w:p>
            <w:pPr>
              <w:spacing w:after="0"/>
              <w:rPr>
                <w:sz w:val="17"/>
                <w:szCs w:val="17"/>
                <w:color w:val="auto"/>
              </w:rPr>
            </w:pPr>
          </w:p>
        </w:tc>
      </w:tr>
      <w:tr>
        <w:trPr>
          <w:trHeight w:val="203"/>
        </w:trPr>
        <w:tc>
          <w:tcPr>
            <w:tcW w:w="1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2026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ind w:left="116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17,307</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271,807</w:t>
            </w:r>
          </w:p>
        </w:tc>
        <w:tc>
          <w:tcPr>
            <w:tcW w:w="60" w:type="dxa"/>
            <w:vAlign w:val="bottom"/>
            <w:shd w:val="clear" w:color="auto" w:fill="CCEEFF"/>
          </w:tcPr>
          <w:p>
            <w:pPr>
              <w:spacing w:after="0"/>
              <w:rPr>
                <w:sz w:val="17"/>
                <w:szCs w:val="17"/>
                <w:color w:val="auto"/>
              </w:rPr>
            </w:pPr>
          </w:p>
        </w:tc>
      </w:tr>
      <w:tr>
        <w:trPr>
          <w:trHeight w:val="203"/>
        </w:trPr>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89"/>
              </w:rPr>
              <w:t>Thereafter</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80,000</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16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80,000</w:t>
            </w:r>
          </w:p>
        </w:tc>
        <w:tc>
          <w:tcPr>
            <w:tcW w:w="60" w:type="dxa"/>
            <w:vAlign w:val="bottom"/>
          </w:tcPr>
          <w:p>
            <w:pPr>
              <w:spacing w:after="0"/>
              <w:rPr>
                <w:sz w:val="17"/>
                <w:szCs w:val="17"/>
                <w:color w:val="auto"/>
              </w:rPr>
            </w:pPr>
          </w:p>
        </w:tc>
      </w:tr>
      <w:tr>
        <w:trPr>
          <w:trHeight w:val="236"/>
        </w:trPr>
        <w:tc>
          <w:tcPr>
            <w:tcW w:w="168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107,000</w:t>
            </w: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6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17,637</w:t>
            </w:r>
          </w:p>
        </w:tc>
        <w:tc>
          <w:tcPr>
            <w:tcW w:w="2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250,000</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374,637</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-24765</wp:posOffset>
            </wp:positionV>
            <wp:extent cx="431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-7620</wp:posOffset>
            </wp:positionV>
            <wp:extent cx="431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431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431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431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431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 w:lineRule="exact"/>
        <w:rPr>
          <w:sz w:val="20"/>
          <w:szCs w:val="20"/>
          <w:color w:val="auto"/>
        </w:rPr>
      </w:pPr>
    </w:p>
    <w:p>
      <w:pPr>
        <w:jc w:val="both"/>
        <w:ind w:left="860" w:hanging="374"/>
        <w:spacing w:after="0" w:line="229" w:lineRule="auto"/>
        <w:tabs>
          <w:tab w:leader="none" w:pos="860" w:val="left"/>
        </w:tabs>
        <w:numPr>
          <w:ilvl w:val="0"/>
          <w:numId w:val="69"/>
        </w:numPr>
        <w:rPr>
          <w:rFonts w:ascii="Arial" w:cs="Arial" w:eastAsia="Arial" w:hAnsi="Arial"/>
          <w:sz w:val="18"/>
          <w:szCs w:val="18"/>
          <w:color w:val="auto"/>
        </w:rPr>
      </w:pPr>
      <w:r>
        <w:rPr>
          <w:rFonts w:ascii="Arial" w:cs="Arial" w:eastAsia="Arial" w:hAnsi="Arial"/>
          <w:sz w:val="14"/>
          <w:szCs w:val="14"/>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1" w:lineRule="exact"/>
        <w:rPr>
          <w:rFonts w:ascii="Arial" w:cs="Arial" w:eastAsia="Arial" w:hAnsi="Arial"/>
          <w:sz w:val="18"/>
          <w:szCs w:val="18"/>
          <w:color w:val="auto"/>
        </w:rPr>
      </w:pPr>
    </w:p>
    <w:p>
      <w:pPr>
        <w:ind w:left="860" w:hanging="374"/>
        <w:spacing w:after="0" w:line="234" w:lineRule="auto"/>
        <w:tabs>
          <w:tab w:leader="none" w:pos="860" w:val="left"/>
        </w:tabs>
        <w:numPr>
          <w:ilvl w:val="0"/>
          <w:numId w:val="69"/>
        </w:numPr>
        <w:rPr>
          <w:rFonts w:ascii="Arial" w:cs="Arial" w:eastAsia="Arial" w:hAnsi="Arial"/>
          <w:sz w:val="18"/>
          <w:szCs w:val="18"/>
          <w:color w:val="auto"/>
        </w:rPr>
      </w:pPr>
      <w:r>
        <w:rPr>
          <w:rFonts w:ascii="Arial" w:cs="Arial" w:eastAsia="Arial" w:hAnsi="Arial"/>
          <w:sz w:val="14"/>
          <w:szCs w:val="14"/>
          <w:color w:val="auto"/>
        </w:rPr>
        <w:t>The Company’s Credit Facility matures on April 24, 2023. As of December 31, 2021, there were no outstanding borrowings under the Credit Facility.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3" w:name="page114"/>
    <w:bookmarkEnd w:id="113"/>
    <w:p>
      <w:pPr>
        <w:ind w:left="480"/>
        <w:spacing w:after="0"/>
        <w:rPr>
          <w:sz w:val="20"/>
          <w:szCs w:val="20"/>
          <w:color w:val="auto"/>
        </w:rPr>
      </w:pPr>
      <w:r>
        <w:rPr>
          <w:rFonts w:ascii="Arial" w:cs="Arial" w:eastAsia="Arial" w:hAnsi="Arial"/>
          <w:sz w:val="18"/>
          <w:szCs w:val="18"/>
          <w:color w:val="auto"/>
        </w:rPr>
        <w:t>Information about our senior securities is shown in the following table for the years indicated in the table, unless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Total Amount</w:t>
            </w: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4"/>
              </w:rPr>
              <w:t>Involuntary</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0"/>
              </w:rPr>
              <w:t>Outstanding</w:t>
            </w: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Exclusive of</w:t>
            </w:r>
          </w:p>
        </w:tc>
        <w:tc>
          <w:tcPr>
            <w:tcW w:w="400" w:type="dxa"/>
            <w:vAlign w:val="bottom"/>
          </w:tcPr>
          <w:p>
            <w:pPr>
              <w:spacing w:after="0"/>
              <w:rPr>
                <w:sz w:val="15"/>
                <w:szCs w:val="15"/>
                <w:color w:val="auto"/>
              </w:rPr>
            </w:pPr>
          </w:p>
        </w:tc>
        <w:tc>
          <w:tcPr>
            <w:tcW w:w="15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2"/>
              </w:rPr>
              <w:t>Asset Coverage</w:t>
            </w:r>
          </w:p>
        </w:tc>
        <w:tc>
          <w:tcPr>
            <w:tcW w:w="420" w:type="dxa"/>
            <w:vAlign w:val="bottom"/>
          </w:tcPr>
          <w:p>
            <w:pPr>
              <w:spacing w:after="0"/>
              <w:rPr>
                <w:sz w:val="15"/>
                <w:szCs w:val="15"/>
                <w:color w:val="auto"/>
              </w:rPr>
            </w:pPr>
          </w:p>
        </w:tc>
        <w:tc>
          <w:tcPr>
            <w:tcW w:w="15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2"/>
              </w:rPr>
              <w:t>Liquidation</w:t>
            </w:r>
          </w:p>
        </w:tc>
        <w:tc>
          <w:tcPr>
            <w:tcW w:w="320" w:type="dxa"/>
            <w:vAlign w:val="bottom"/>
          </w:tcPr>
          <w:p>
            <w:pPr>
              <w:spacing w:after="0"/>
              <w:rPr>
                <w:sz w:val="15"/>
                <w:szCs w:val="15"/>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5"/>
              </w:rPr>
              <w:t>Average Market</w:t>
            </w:r>
          </w:p>
        </w:tc>
        <w:tc>
          <w:tcPr>
            <w:tcW w:w="0" w:type="dxa"/>
            <w:vAlign w:val="bottom"/>
          </w:tcPr>
          <w:p>
            <w:pPr>
              <w:spacing w:after="0"/>
              <w:rPr>
                <w:sz w:val="1"/>
                <w:szCs w:val="1"/>
                <w:color w:val="auto"/>
              </w:rPr>
            </w:pPr>
          </w:p>
        </w:tc>
      </w:tr>
      <w:tr>
        <w:trPr>
          <w:trHeight w:val="176"/>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Class and Year</w:t>
            </w:r>
          </w:p>
        </w:tc>
        <w:tc>
          <w:tcPr>
            <w:tcW w:w="1180" w:type="dxa"/>
            <w:vAlign w:val="bottom"/>
          </w:tcPr>
          <w:p>
            <w:pPr>
              <w:spacing w:after="0"/>
              <w:rPr>
                <w:sz w:val="15"/>
                <w:szCs w:val="15"/>
                <w:color w:val="auto"/>
              </w:rPr>
            </w:pPr>
          </w:p>
        </w:tc>
        <w:tc>
          <w:tcPr>
            <w:tcW w:w="15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9"/>
              </w:rPr>
              <w:t>Treasury</w:t>
            </w:r>
          </w:p>
        </w:tc>
        <w:tc>
          <w:tcPr>
            <w:tcW w:w="4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0"/>
              </w:rPr>
              <w:t>Preference per</w:t>
            </w:r>
          </w:p>
        </w:tc>
        <w:tc>
          <w:tcPr>
            <w:tcW w:w="3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jc w:val="center"/>
              <w:ind w:right="130"/>
              <w:spacing w:after="0" w:line="201" w:lineRule="exact"/>
              <w:rPr>
                <w:sz w:val="20"/>
                <w:szCs w:val="20"/>
                <w:color w:val="auto"/>
              </w:rPr>
            </w:pPr>
            <w:r>
              <w:rPr>
                <w:rFonts w:ascii="Arial" w:cs="Arial" w:eastAsia="Arial" w:hAnsi="Arial"/>
                <w:sz w:val="17"/>
                <w:szCs w:val="17"/>
                <w:b w:val="1"/>
                <w:bCs w:val="1"/>
                <w:color w:val="auto"/>
                <w:w w:val="87"/>
              </w:rPr>
              <w:t xml:space="preserve">Securities </w:t>
            </w:r>
            <w:r>
              <w:rPr>
                <w:rFonts w:ascii="Arial" w:cs="Arial" w:eastAsia="Arial" w:hAnsi="Arial"/>
                <w:sz w:val="23"/>
                <w:szCs w:val="23"/>
                <w:b w:val="1"/>
                <w:bCs w:val="1"/>
                <w:color w:val="auto"/>
                <w:w w:val="87"/>
                <w:vertAlign w:val="superscript"/>
              </w:rPr>
              <w:t>(1)</w:t>
            </w:r>
          </w:p>
        </w:tc>
        <w:tc>
          <w:tcPr>
            <w:tcW w:w="400" w:type="dxa"/>
            <w:vAlign w:val="bottom"/>
          </w:tcPr>
          <w:p>
            <w:pPr>
              <w:spacing w:after="0"/>
              <w:rPr>
                <w:sz w:val="17"/>
                <w:szCs w:val="17"/>
                <w:color w:val="auto"/>
              </w:rPr>
            </w:pPr>
          </w:p>
        </w:tc>
        <w:tc>
          <w:tcPr>
            <w:tcW w:w="1560" w:type="dxa"/>
            <w:vAlign w:val="bottom"/>
          </w:tcPr>
          <w:p>
            <w:pPr>
              <w:jc w:val="right"/>
              <w:ind w:right="290"/>
              <w:spacing w:after="0" w:line="201" w:lineRule="exact"/>
              <w:rPr>
                <w:sz w:val="20"/>
                <w:szCs w:val="20"/>
                <w:color w:val="auto"/>
              </w:rPr>
            </w:pPr>
            <w:r>
              <w:rPr>
                <w:rFonts w:ascii="Arial" w:cs="Arial" w:eastAsia="Arial" w:hAnsi="Arial"/>
                <w:sz w:val="17"/>
                <w:szCs w:val="17"/>
                <w:b w:val="1"/>
                <w:bCs w:val="1"/>
                <w:color w:val="auto"/>
              </w:rPr>
              <w:t xml:space="preserve">per Unit </w:t>
            </w:r>
            <w:r>
              <w:rPr>
                <w:rFonts w:ascii="Arial" w:cs="Arial" w:eastAsia="Arial" w:hAnsi="Arial"/>
                <w:sz w:val="23"/>
                <w:szCs w:val="23"/>
                <w:b w:val="1"/>
                <w:bCs w:val="1"/>
                <w:color w:val="auto"/>
                <w:vertAlign w:val="superscript"/>
              </w:rPr>
              <w:t>(2)(5)</w:t>
            </w:r>
          </w:p>
        </w:tc>
        <w:tc>
          <w:tcPr>
            <w:tcW w:w="420" w:type="dxa"/>
            <w:vAlign w:val="bottom"/>
          </w:tcPr>
          <w:p>
            <w:pPr>
              <w:spacing w:after="0"/>
              <w:rPr>
                <w:sz w:val="17"/>
                <w:szCs w:val="17"/>
                <w:color w:val="auto"/>
              </w:rPr>
            </w:pPr>
          </w:p>
        </w:tc>
        <w:tc>
          <w:tcPr>
            <w:tcW w:w="1560" w:type="dxa"/>
            <w:vAlign w:val="bottom"/>
          </w:tcPr>
          <w:p>
            <w:pPr>
              <w:jc w:val="center"/>
              <w:ind w:right="70"/>
              <w:spacing w:after="0" w:line="201" w:lineRule="exact"/>
              <w:rPr>
                <w:sz w:val="20"/>
                <w:szCs w:val="20"/>
                <w:color w:val="auto"/>
              </w:rPr>
            </w:pPr>
            <w:r>
              <w:rPr>
                <w:rFonts w:ascii="Arial" w:cs="Arial" w:eastAsia="Arial" w:hAnsi="Arial"/>
                <w:sz w:val="17"/>
                <w:szCs w:val="17"/>
                <w:b w:val="1"/>
                <w:bCs w:val="1"/>
                <w:color w:val="auto"/>
                <w:w w:val="91"/>
              </w:rPr>
              <w:t xml:space="preserve">Unit </w:t>
            </w:r>
            <w:r>
              <w:rPr>
                <w:rFonts w:ascii="Arial" w:cs="Arial" w:eastAsia="Arial" w:hAnsi="Arial"/>
                <w:sz w:val="23"/>
                <w:szCs w:val="23"/>
                <w:b w:val="1"/>
                <w:bCs w:val="1"/>
                <w:color w:val="auto"/>
                <w:w w:val="91"/>
                <w:vertAlign w:val="superscript"/>
              </w:rPr>
              <w:t>(3)</w:t>
            </w:r>
          </w:p>
        </w:tc>
        <w:tc>
          <w:tcPr>
            <w:tcW w:w="320" w:type="dxa"/>
            <w:vAlign w:val="bottom"/>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Arial" w:cs="Arial" w:eastAsia="Arial" w:hAnsi="Arial"/>
                <w:sz w:val="17"/>
                <w:szCs w:val="17"/>
                <w:b w:val="1"/>
                <w:bCs w:val="1"/>
                <w:color w:val="auto"/>
                <w:w w:val="97"/>
              </w:rPr>
              <w:t xml:space="preserve">Value per Unit </w:t>
            </w:r>
            <w:r>
              <w:rPr>
                <w:rFonts w:ascii="Arial" w:cs="Arial" w:eastAsia="Arial" w:hAnsi="Arial"/>
                <w:sz w:val="23"/>
                <w:szCs w:val="23"/>
                <w:b w:val="1"/>
                <w:bCs w:val="1"/>
                <w:color w:val="auto"/>
                <w:w w:val="97"/>
                <w:vertAlign w:val="superscript"/>
              </w:rPr>
              <w:t>(4)</w:t>
            </w: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gridSpan w:val="3"/>
          </w:tcPr>
          <w:p>
            <w:pPr>
              <w:jc w:val="right"/>
              <w:ind w:right="1070"/>
              <w:spacing w:after="0"/>
              <w:rPr>
                <w:sz w:val="20"/>
                <w:szCs w:val="20"/>
                <w:color w:val="auto"/>
              </w:rPr>
            </w:pPr>
            <w:r>
              <w:rPr>
                <w:rFonts w:ascii="Arial" w:cs="Arial" w:eastAsia="Arial" w:hAnsi="Arial"/>
                <w:sz w:val="18"/>
                <w:szCs w:val="18"/>
                <w:i w:val="1"/>
                <w:iCs w:val="1"/>
                <w:color w:val="auto"/>
              </w:rPr>
              <w:t>(dollars in thousands)</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SBA debentures</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2012</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144,500</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2013</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144,500</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2014</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173,500</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2015</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213,500</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2016</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224,000</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2017</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231,300</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2018</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191,000</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157,500</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147,000</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107,000</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Credit Facility</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2012</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N/A</w:t>
            </w: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2013</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2014</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10,000</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25,326</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2015</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15,500</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16,959</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2016</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N/A</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2017</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11,500</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35,198</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2018</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36,500</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5,659</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25,000</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2,989</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2,337</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2,822</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7"/>
                <w:szCs w:val="17"/>
                <w:b w:val="1"/>
                <w:bCs w:val="1"/>
                <w:color w:val="auto"/>
              </w:rPr>
              <w:t>2023 Notes</w:t>
            </w:r>
            <w:r>
              <w:rPr>
                <w:rFonts w:ascii="Arial" w:cs="Arial" w:eastAsia="Arial" w:hAnsi="Arial"/>
                <w:sz w:val="23"/>
                <w:szCs w:val="23"/>
                <w:b w:val="1"/>
                <w:bCs w:val="1"/>
                <w:color w:val="auto"/>
                <w:vertAlign w:val="superscript"/>
              </w:rPr>
              <w:t>(6)</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2018</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50,000</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5,659</w:t>
            </w: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50,000</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2,989</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50,000</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2,337</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7"/>
                <w:szCs w:val="17"/>
                <w:b w:val="1"/>
                <w:bCs w:val="1"/>
                <w:color w:val="auto"/>
              </w:rPr>
              <w:t>February 2024 Notes</w:t>
            </w:r>
            <w:r>
              <w:rPr>
                <w:rFonts w:ascii="Arial" w:cs="Arial" w:eastAsia="Arial" w:hAnsi="Arial"/>
                <w:sz w:val="23"/>
                <w:szCs w:val="23"/>
                <w:b w:val="1"/>
                <w:bCs w:val="1"/>
                <w:color w:val="auto"/>
                <w:vertAlign w:val="superscript"/>
              </w:rPr>
              <w:t>(6)</w:t>
            </w: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69,000</w:t>
            </w:r>
          </w:p>
        </w:tc>
        <w:tc>
          <w:tcPr>
            <w:tcW w:w="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2,989</w:t>
            </w:r>
          </w:p>
        </w:tc>
        <w:tc>
          <w:tcPr>
            <w:tcW w:w="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02"/>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69,000</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2,337</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7"/>
                <w:szCs w:val="17"/>
                <w:b w:val="1"/>
                <w:bCs w:val="1"/>
                <w:color w:val="auto"/>
              </w:rPr>
              <w:t>November 2024 Notes</w:t>
            </w:r>
            <w:r>
              <w:rPr>
                <w:rFonts w:ascii="Arial" w:cs="Arial" w:eastAsia="Arial" w:hAnsi="Arial"/>
                <w:sz w:val="23"/>
                <w:szCs w:val="23"/>
                <w:b w:val="1"/>
                <w:bCs w:val="1"/>
                <w:color w:val="auto"/>
                <w:vertAlign w:val="superscript"/>
              </w:rPr>
              <w:t>(6)</w:t>
            </w: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63,250</w:t>
            </w:r>
          </w:p>
        </w:tc>
        <w:tc>
          <w:tcPr>
            <w:tcW w:w="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2,989</w:t>
            </w:r>
          </w:p>
        </w:tc>
        <w:tc>
          <w:tcPr>
            <w:tcW w:w="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63,250</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2,337</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January 2026 Notes</w:t>
            </w: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2020</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125,000</w:t>
            </w:r>
          </w:p>
        </w:tc>
        <w:tc>
          <w:tcPr>
            <w:tcW w:w="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2,337</w:t>
            </w:r>
          </w:p>
        </w:tc>
        <w:tc>
          <w:tcPr>
            <w:tcW w:w="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2021</w:t>
            </w:r>
          </w:p>
        </w:tc>
        <w:tc>
          <w:tcPr>
            <w:tcW w:w="118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125,000</w:t>
            </w:r>
          </w:p>
        </w:tc>
        <w:tc>
          <w:tcPr>
            <w:tcW w:w="400" w:type="dxa"/>
            <w:vAlign w:val="bottom"/>
          </w:tcPr>
          <w:p>
            <w:pPr>
              <w:spacing w:after="0"/>
              <w:rPr>
                <w:sz w:val="17"/>
                <w:szCs w:val="17"/>
                <w:color w:val="auto"/>
              </w:rPr>
            </w:pP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2,822</w:t>
            </w:r>
          </w:p>
        </w:tc>
        <w:tc>
          <w:tcPr>
            <w:tcW w:w="420" w:type="dxa"/>
            <w:vAlign w:val="bottom"/>
          </w:tcPr>
          <w:p>
            <w:pPr>
              <w:spacing w:after="0"/>
              <w:rPr>
                <w:sz w:val="17"/>
                <w:szCs w:val="17"/>
                <w:color w:val="auto"/>
              </w:rPr>
            </w:pP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November 2026 Notes</w:t>
            </w: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125,000</w:t>
            </w:r>
          </w:p>
        </w:tc>
        <w:tc>
          <w:tcPr>
            <w:tcW w:w="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2,822</w:t>
            </w:r>
          </w:p>
        </w:tc>
        <w:tc>
          <w:tcPr>
            <w:tcW w:w="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Secured Borrowings</w:t>
            </w: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20"/>
              <w:spacing w:after="0" w:line="204" w:lineRule="exact"/>
              <w:rPr>
                <w:sz w:val="20"/>
                <w:szCs w:val="20"/>
                <w:color w:val="auto"/>
              </w:rPr>
            </w:pPr>
            <w:r>
              <w:rPr>
                <w:rFonts w:ascii="Arial" w:cs="Arial" w:eastAsia="Arial" w:hAnsi="Arial"/>
                <w:sz w:val="18"/>
                <w:szCs w:val="18"/>
                <w:color w:val="auto"/>
              </w:rPr>
              <w:t>2021</w:t>
            </w:r>
          </w:p>
        </w:tc>
        <w:tc>
          <w:tcPr>
            <w:tcW w:w="1180" w:type="dxa"/>
            <w:vAlign w:val="bottom"/>
          </w:tcPr>
          <w:p>
            <w:pPr>
              <w:jc w:val="right"/>
              <w:ind w:right="30"/>
              <w:spacing w:after="0" w:line="204"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30"/>
              <w:spacing w:after="0" w:line="204" w:lineRule="exact"/>
              <w:rPr>
                <w:sz w:val="20"/>
                <w:szCs w:val="20"/>
                <w:color w:val="auto"/>
              </w:rPr>
            </w:pPr>
            <w:r>
              <w:rPr>
                <w:rFonts w:ascii="Arial" w:cs="Arial" w:eastAsia="Arial" w:hAnsi="Arial"/>
                <w:sz w:val="18"/>
                <w:szCs w:val="18"/>
                <w:color w:val="auto"/>
              </w:rPr>
              <w:t>17,637</w:t>
            </w:r>
          </w:p>
        </w:tc>
        <w:tc>
          <w:tcPr>
            <w:tcW w:w="400" w:type="dxa"/>
            <w:vAlign w:val="bottom"/>
          </w:tcPr>
          <w:p>
            <w:pPr>
              <w:jc w:val="right"/>
              <w:ind w:right="10"/>
              <w:spacing w:after="0" w:line="204"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line="204" w:lineRule="exact"/>
              <w:rPr>
                <w:sz w:val="20"/>
                <w:szCs w:val="20"/>
                <w:color w:val="auto"/>
              </w:rPr>
            </w:pPr>
            <w:r>
              <w:rPr>
                <w:rFonts w:ascii="Arial" w:cs="Arial" w:eastAsia="Arial" w:hAnsi="Arial"/>
                <w:sz w:val="18"/>
                <w:szCs w:val="18"/>
                <w:color w:val="auto"/>
              </w:rPr>
              <w:t>2,822</w:t>
            </w:r>
          </w:p>
        </w:tc>
        <w:tc>
          <w:tcPr>
            <w:tcW w:w="420" w:type="dxa"/>
            <w:vAlign w:val="bottom"/>
          </w:tcPr>
          <w:p>
            <w:pPr>
              <w:jc w:val="right"/>
              <w:ind w:right="30"/>
              <w:spacing w:after="0" w:line="204"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line="204"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ind w:left="260" w:hanging="252"/>
        <w:spacing w:after="0" w:line="234" w:lineRule="auto"/>
        <w:tabs>
          <w:tab w:leader="none" w:pos="260" w:val="left"/>
        </w:tabs>
        <w:numPr>
          <w:ilvl w:val="0"/>
          <w:numId w:val="70"/>
        </w:numPr>
        <w:rPr>
          <w:rFonts w:ascii="Arial" w:cs="Arial" w:eastAsia="Arial" w:hAnsi="Arial"/>
          <w:sz w:val="18"/>
          <w:szCs w:val="18"/>
          <w:color w:val="auto"/>
        </w:rPr>
      </w:pPr>
      <w:r>
        <w:rPr>
          <w:rFonts w:ascii="Arial" w:cs="Arial" w:eastAsia="Arial" w:hAnsi="Arial"/>
          <w:sz w:val="14"/>
          <w:szCs w:val="14"/>
          <w:color w:val="auto"/>
        </w:rPr>
        <w:t>Total amount of each class of senior securities outstanding at the end of the period presented.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4" w:name="page115"/>
    <w:bookmarkEnd w:id="114"/>
    <w:p>
      <w:pPr>
        <w:ind w:left="240" w:hanging="232"/>
        <w:spacing w:after="0" w:line="250" w:lineRule="auto"/>
        <w:tabs>
          <w:tab w:leader="none" w:pos="2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ind w:left="240" w:hanging="232"/>
        <w:spacing w:after="0" w:line="241" w:lineRule="auto"/>
        <w:tabs>
          <w:tab w:leader="none" w:pos="231"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jc w:val="both"/>
        <w:ind w:left="240" w:hanging="232"/>
        <w:spacing w:after="0" w:line="241" w:lineRule="auto"/>
        <w:tabs>
          <w:tab w:leader="none" w:pos="219"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Not applicable to SBA debentures, Credit Facility, January 2026 Notes, the November 2026 Notes and Secured Borrowings because these senior securities are not registered for public trading. The average market value per unit for the Public Notes is based on the average of the closing market price as of each quarter end during the fiscal year and the prior year end, as applicable, and is expressed per $1,000 of indebtedness. The Public Notes were issued in $25 increments.</w:t>
      </w:r>
    </w:p>
    <w:p>
      <w:pPr>
        <w:spacing w:after="0" w:line="1" w:lineRule="exact"/>
        <w:rPr>
          <w:rFonts w:ascii="Arial" w:cs="Arial" w:eastAsia="Arial" w:hAnsi="Arial"/>
          <w:sz w:val="14"/>
          <w:szCs w:val="14"/>
          <w:color w:val="auto"/>
        </w:rPr>
      </w:pPr>
    </w:p>
    <w:p>
      <w:pPr>
        <w:jc w:val="both"/>
        <w:ind w:left="240" w:hanging="232"/>
        <w:spacing w:after="0" w:line="241" w:lineRule="auto"/>
        <w:tabs>
          <w:tab w:leader="none" w:pos="223" w:val="left"/>
        </w:tabs>
        <w:numPr>
          <w:ilvl w:val="0"/>
          <w:numId w:val="71"/>
        </w:numPr>
        <w:rPr>
          <w:rFonts w:ascii="Arial" w:cs="Arial" w:eastAsia="Arial" w:hAnsi="Arial"/>
          <w:sz w:val="14"/>
          <w:szCs w:val="14"/>
          <w:color w:val="auto"/>
        </w:rPr>
      </w:pPr>
      <w:r>
        <w:rPr>
          <w:rFonts w:ascii="Arial" w:cs="Arial" w:eastAsia="Arial" w:hAnsi="Arial"/>
          <w:sz w:val="14"/>
          <w:szCs w:val="14"/>
          <w:color w:val="auto"/>
        </w:rPr>
        <w:t>We have excluded our SBA-guaranteed debentures from the asset coverage calculation (**) as of December 31, 2012 pursuant to the exemptive relief granted by the SEC in March 2012 that permits us to exclude such debentures from the definition of senior securities in the 200% asset coverage ratio (or 150% if we satisfy certain requirements) we are required to maintain under the 1940 Act.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Our 2023 Notes were repaid in full on January 19, 2021. Our February 2024 Notes and our November 2024 Notes were repaid in full on November 2,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62"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capital commitments totaling $8,170 and $5,645 as of December 31, 2021 and 2020, respectively. Such outstanding commitments are summarized in the following table:</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1"/>
              </w:rPr>
              <w:t>December 31, 2021</w:t>
            </w: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1"/>
              </w:rPr>
              <w:t>December 31, 2020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15"/>
              <w:spacing w:after="0" w:line="160"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54"/>
              <w:spacing w:after="0" w:line="160" w:lineRule="exact"/>
              <w:rPr>
                <w:sz w:val="20"/>
                <w:szCs w:val="20"/>
                <w:color w:val="auto"/>
              </w:rPr>
            </w:pPr>
            <w:r>
              <w:rPr>
                <w:rFonts w:ascii="Arial" w:cs="Arial" w:eastAsia="Arial" w:hAnsi="Arial"/>
                <w:sz w:val="14"/>
                <w:szCs w:val="14"/>
                <w:b w:val="1"/>
                <w:bCs w:val="1"/>
                <w:color w:val="auto"/>
              </w:rPr>
              <w:t>Unfunded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295"/>
              <w:spacing w:after="0" w:line="160"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34"/>
              <w:spacing w:after="0" w:line="160" w:lineRule="exact"/>
              <w:rPr>
                <w:sz w:val="20"/>
                <w:szCs w:val="20"/>
                <w:color w:val="auto"/>
              </w:rPr>
            </w:pPr>
            <w:r>
              <w:rPr>
                <w:rFonts w:ascii="Arial" w:cs="Arial" w:eastAsia="Arial" w:hAnsi="Arial"/>
                <w:sz w:val="14"/>
                <w:szCs w:val="14"/>
                <w:b w:val="1"/>
                <w:bCs w:val="1"/>
                <w:color w:val="auto"/>
              </w:rPr>
              <w:t>Unfunded</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Portfolio Company - Investment</w:t>
            </w:r>
          </w:p>
        </w:tc>
        <w:tc>
          <w:tcPr>
            <w:tcW w:w="140" w:type="dxa"/>
            <w:vAlign w:val="bottom"/>
          </w:tcPr>
          <w:p>
            <w:pPr>
              <w:spacing w:after="0"/>
              <w:rPr>
                <w:sz w:val="16"/>
                <w:szCs w:val="16"/>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Commitment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Commitment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Commitment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Commitment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Acendre Midco, Inc. - Revolving Loan</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34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34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Combined Systems, Inc. - Revolving Loan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Elements Brands, LLC - Revolving Loan</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838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838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Rhino Assembly Company, LLC - Delayed Draw Commitment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Safety Products Group, LLC - Common Equity (Units)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2,852</w:t>
            </w:r>
          </w:p>
        </w:tc>
        <w:tc>
          <w:tcPr>
            <w:tcW w:w="34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2,852</w:t>
            </w:r>
          </w:p>
        </w:tc>
        <w:tc>
          <w:tcPr>
            <w:tcW w:w="34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2,852</w:t>
            </w: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2,852</w:t>
            </w: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2"/>
        </w:trPr>
        <w:tc>
          <w:tcPr>
            <w:tcW w:w="55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8"/>
                <w:szCs w:val="18"/>
                <w:color w:val="auto"/>
              </w:rPr>
              <w:t>Spectra A&amp;D Acquisition, Inc. (fka FDS Avionics Corp.) - Revolving</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w:t>
            </w: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52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Wonderware Holdings, LLC (dba CORE Business Technologies) -</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Delayed Draw Term Loan</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20" w:type="dxa"/>
            <w:vAlign w:val="bottom"/>
            <w:tcBorders>
              <w:bottom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13,727</w:t>
            </w: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8,170</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10,977</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5,645</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431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431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431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431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342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342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342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342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3" w:lineRule="exact"/>
        <w:rPr>
          <w:sz w:val="20"/>
          <w:szCs w:val="20"/>
          <w:color w:val="auto"/>
        </w:rPr>
      </w:pPr>
    </w:p>
    <w:p>
      <w:pPr>
        <w:ind w:left="240" w:hanging="232"/>
        <w:spacing w:after="0" w:line="273" w:lineRule="auto"/>
        <w:tabs>
          <w:tab w:leader="none" w:pos="219" w:val="left"/>
        </w:tabs>
        <w:numPr>
          <w:ilvl w:val="0"/>
          <w:numId w:val="72"/>
        </w:numPr>
        <w:rPr>
          <w:rFonts w:ascii="Arial" w:cs="Arial" w:eastAsia="Arial" w:hAnsi="Arial"/>
          <w:sz w:val="14"/>
          <w:szCs w:val="14"/>
          <w:color w:val="auto"/>
        </w:rPr>
      </w:pPr>
      <w:r>
        <w:rPr>
          <w:rFonts w:ascii="Arial" w:cs="Arial" w:eastAsia="Arial" w:hAnsi="Arial"/>
          <w:sz w:val="14"/>
          <w:szCs w:val="14"/>
          <w:color w:val="auto"/>
        </w:rPr>
        <w:t>Portfolio company was no longer held at period end. The commitment represents the Company's maximum potential liability related to certain guaranteed obligations stemming from the prior sale of the portfolio company's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commitments are generally subject to the borrowers meeting certain criteria such as compliance with financial and nonfinancial covenants.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Since commitments may expire without being drawn upon, the total commitment amount does not necessarily represent future cash requirements.</w:t>
      </w:r>
    </w:p>
    <w:p>
      <w:pPr>
        <w:spacing w:after="0" w:line="153"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i w:val="1"/>
          <w:iCs w:val="1"/>
          <w:color w:val="auto"/>
        </w:rPr>
        <w:t xml:space="preserve">Indemnifications: </w:t>
      </w:r>
      <w:r>
        <w:rPr>
          <w:rFonts w:ascii="Arial" w:cs="Arial" w:eastAsia="Arial" w:hAnsi="Arial"/>
          <w:sz w:val="16"/>
          <w:szCs w:val="16"/>
          <w:color w:val="auto"/>
        </w:rPr>
        <w:t>In the normal course of business, the Company enters into contracts and agreements that contain a variety of representations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07"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 incidental</w:t>
      </w:r>
      <w:r>
        <w:rPr>
          <w:rFonts w:ascii="Arial" w:cs="Arial" w:eastAsia="Arial" w:hAnsi="Arial"/>
          <w:sz w:val="17"/>
          <w:szCs w:val="17"/>
          <w:i w:val="1"/>
          <w:iCs w:val="1"/>
          <w:color w:val="auto"/>
        </w:rPr>
        <w:t xml:space="preserve"> </w:t>
      </w:r>
      <w:r>
        <w:rPr>
          <w:rFonts w:ascii="Arial" w:cs="Arial" w:eastAsia="Arial" w:hAnsi="Arial"/>
          <w:sz w:val="17"/>
          <w:szCs w:val="17"/>
          <w:color w:val="auto"/>
        </w:rPr>
        <w:t>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158" w:lineRule="exact"/>
        <w:rPr>
          <w:sz w:val="20"/>
          <w:szCs w:val="20"/>
          <w:color w:val="auto"/>
        </w:rPr>
      </w:pPr>
    </w:p>
    <w:p>
      <w:pPr>
        <w:ind w:right="80" w:firstLine="469"/>
        <w:spacing w:after="0" w:line="261"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Cumulative</w:t>
            </w:r>
          </w:p>
        </w:tc>
        <w:tc>
          <w:tcPr>
            <w:tcW w:w="260" w:type="dxa"/>
            <w:vAlign w:val="bottom"/>
          </w:tcPr>
          <w:p>
            <w:pPr>
              <w:spacing w:after="0"/>
              <w:rPr>
                <w:sz w:val="17"/>
                <w:szCs w:val="17"/>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3"/>
              </w:rPr>
              <w:t>Cumulative Gross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Cumulative Underwriting Fees</w:t>
            </w:r>
          </w:p>
        </w:tc>
        <w:tc>
          <w:tcPr>
            <w:tcW w:w="24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Weighted Average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3080" w:type="dxa"/>
            <w:vAlign w:val="bottom"/>
            <w:vMerge w:val="restart"/>
          </w:tcPr>
          <w:p>
            <w:pPr>
              <w:ind w:left="1280"/>
              <w:spacing w:after="0" w:line="176" w:lineRule="exact"/>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80" w:type="dxa"/>
            <w:vAlign w:val="bottom"/>
            <w:vMerge w:val="restart"/>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and Commissions and Offering</w:t>
            </w:r>
          </w:p>
        </w:tc>
        <w:tc>
          <w:tcPr>
            <w:tcW w:w="24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8"/>
              </w:rPr>
              <w:t>Proceeds</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Offering Price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center"/>
              <w:ind w:right="10"/>
              <w:spacing w:after="0" w:line="216" w:lineRule="exact"/>
              <w:rPr>
                <w:sz w:val="20"/>
                <w:szCs w:val="20"/>
                <w:color w:val="auto"/>
              </w:rPr>
            </w:pPr>
            <w:r>
              <w:rPr>
                <w:rFonts w:ascii="Arial" w:cs="Arial" w:eastAsia="Arial" w:hAnsi="Arial"/>
                <w:sz w:val="18"/>
                <w:szCs w:val="18"/>
                <w:b w:val="1"/>
                <w:bCs w:val="1"/>
                <w:color w:val="auto"/>
                <w:w w:val="80"/>
              </w:rPr>
              <w:t xml:space="preserve">Costs </w:t>
            </w:r>
            <w:r>
              <w:rPr>
                <w:rFonts w:ascii="Arial" w:cs="Arial" w:eastAsia="Arial" w:hAnsi="Arial"/>
                <w:sz w:val="24"/>
                <w:szCs w:val="24"/>
                <w:b w:val="1"/>
                <w:bCs w:val="1"/>
                <w:color w:val="auto"/>
                <w:w w:val="80"/>
                <w:vertAlign w:val="superscript"/>
              </w:rPr>
              <w:t>(1)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Cumulative since IPO</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14,388,414</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236,597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8,989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 shares have been issued during the years ended December 31, 2021, 2020, and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ATM Program</w:t>
      </w:r>
    </w:p>
    <w:p>
      <w:pPr>
        <w:spacing w:after="0" w:line="198" w:lineRule="exact"/>
        <w:rPr>
          <w:sz w:val="20"/>
          <w:szCs w:val="20"/>
          <w:color w:val="auto"/>
        </w:rPr>
      </w:pPr>
    </w:p>
    <w:p>
      <w:pPr>
        <w:jc w:val="both"/>
        <w:ind w:firstLine="469"/>
        <w:spacing w:after="0" w:line="243"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years ended December 31, 2021, 2020, and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58"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7"/>
          <w:szCs w:val="17"/>
          <w:color w:val="auto"/>
        </w:rPr>
        <w:t>As described in Note 2, the Company has a Stock Repurchase Program under which the Company may acquire up to $5,000 of its outstanding common stock. During the year ended December 31, 2020, the Company repurchased 25,719 shares of common stock on the open market for $268. The Company did not make any repurchases of common stock during the years ended December 31, 2021 and 2019. The Company’s NAV per share increased by approximately $0.01 for the year ended December 31, 2020 as a result of the share repurchases. The following table summarizes the Company’s share repurchases under the Stock Repurchase Program for the years ended December 31, 2021, 2020, and 2019:</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8"/>
              </w:rPr>
              <w:t>Years Ended December 31,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tcPr>
          <w:p>
            <w:pPr>
              <w:ind w:left="1640"/>
              <w:spacing w:after="0" w:line="202" w:lineRule="exact"/>
              <w:rPr>
                <w:sz w:val="20"/>
                <w:szCs w:val="20"/>
                <w:color w:val="auto"/>
              </w:rPr>
            </w:pPr>
            <w:r>
              <w:rPr>
                <w:rFonts w:ascii="Arial" w:cs="Arial" w:eastAsia="Arial" w:hAnsi="Arial"/>
                <w:sz w:val="18"/>
                <w:szCs w:val="18"/>
                <w:b w:val="1"/>
                <w:bCs w:val="1"/>
                <w:color w:val="auto"/>
              </w:rPr>
              <w:t>Repurchases of Common Stock</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20"/>
              <w:spacing w:after="0" w:line="202" w:lineRule="exact"/>
              <w:rPr>
                <w:sz w:val="20"/>
                <w:szCs w:val="20"/>
                <w:color w:val="auto"/>
              </w:rPr>
            </w:pPr>
            <w:r>
              <w:rPr>
                <w:rFonts w:ascii="Arial" w:cs="Arial" w:eastAsia="Arial" w:hAnsi="Arial"/>
                <w:sz w:val="18"/>
                <w:szCs w:val="18"/>
                <w:color w:val="auto"/>
              </w:rPr>
              <w:t>Number of shares repurchased</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25,719</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Cost of shares repurchased, including commissions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w:t>
            </w: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20"/>
              <w:spacing w:after="0" w:line="202" w:lineRule="exact"/>
              <w:rPr>
                <w:sz w:val="20"/>
                <w:szCs w:val="20"/>
                <w:color w:val="auto"/>
              </w:rPr>
            </w:pPr>
            <w:r>
              <w:rPr>
                <w:rFonts w:ascii="Arial" w:cs="Arial" w:eastAsia="Arial" w:hAnsi="Arial"/>
                <w:sz w:val="18"/>
                <w:szCs w:val="18"/>
                <w:color w:val="auto"/>
              </w:rPr>
              <w:t>Weighted average price per share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10.37</w:t>
            </w:r>
          </w:p>
        </w:tc>
        <w:tc>
          <w:tcPr>
            <w:tcW w:w="60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8"/>
                <w:szCs w:val="18"/>
                <w:color w:val="auto"/>
              </w:rPr>
              <w:t>Weighted average discount to net asset value at quarter end prior to</w:t>
            </w: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38.5 %</w:t>
            </w:r>
          </w:p>
        </w:tc>
        <w:tc>
          <w:tcPr>
            <w:tcW w:w="3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w:t>
            </w: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had 24,437,400 shares of common stock outstanding as of December 31, 2021 and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Dividends and Distributions</w:t>
      </w:r>
    </w:p>
    <w:p>
      <w:pPr>
        <w:spacing w:after="0" w:line="162"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three fiscal years.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71"/>
              <w:spacing w:after="0"/>
              <w:rPr>
                <w:sz w:val="20"/>
                <w:szCs w:val="20"/>
                <w:color w:val="auto"/>
              </w:rPr>
            </w:pPr>
            <w:r>
              <w:rPr>
                <w:rFonts w:ascii="Arial" w:cs="Arial" w:eastAsia="Arial" w:hAnsi="Arial"/>
                <w:sz w:val="13"/>
                <w:szCs w:val="13"/>
                <w:b w:val="1"/>
                <w:bCs w:val="1"/>
                <w:color w:val="auto"/>
              </w:rPr>
              <w:t>DRIP</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DRIP</w:t>
            </w:r>
          </w:p>
        </w:tc>
        <w:tc>
          <w:tcPr>
            <w:tcW w:w="40" w:type="dxa"/>
            <w:vAlign w:val="bottom"/>
          </w:tcPr>
          <w:p>
            <w:pPr>
              <w:spacing w:after="0"/>
              <w:rPr>
                <w:sz w:val="13"/>
                <w:szCs w:val="13"/>
                <w:color w:val="auto"/>
              </w:rPr>
            </w:pPr>
          </w:p>
        </w:tc>
      </w:tr>
      <w:tr>
        <w:trPr>
          <w:trHeight w:val="148"/>
        </w:trPr>
        <w:tc>
          <w:tcPr>
            <w:tcW w:w="2720" w:type="dxa"/>
            <w:vAlign w:val="bottom"/>
          </w:tcPr>
          <w:p>
            <w:pPr>
              <w:ind w:left="20"/>
              <w:spacing w:after="0"/>
              <w:rPr>
                <w:sz w:val="20"/>
                <w:szCs w:val="20"/>
                <w:color w:val="auto"/>
              </w:rPr>
            </w:pPr>
            <w:r>
              <w:rPr>
                <w:rFonts w:ascii="Arial" w:cs="Arial" w:eastAsia="Arial" w:hAnsi="Arial"/>
                <w:sz w:val="13"/>
                <w:szCs w:val="13"/>
                <w:b w:val="1"/>
                <w:bCs w:val="1"/>
                <w:color w:val="auto"/>
              </w:rPr>
              <w:t>Date</w:t>
            </w:r>
          </w:p>
        </w:tc>
        <w:tc>
          <w:tcPr>
            <w:tcW w:w="80" w:type="dxa"/>
            <w:vAlign w:val="bottom"/>
          </w:tcPr>
          <w:p>
            <w:pPr>
              <w:spacing w:after="0"/>
              <w:rPr>
                <w:sz w:val="12"/>
                <w:szCs w:val="12"/>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Record</w:t>
            </w:r>
          </w:p>
        </w:tc>
        <w:tc>
          <w:tcPr>
            <w:tcW w:w="80" w:type="dxa"/>
            <w:vAlign w:val="bottom"/>
          </w:tcPr>
          <w:p>
            <w:pPr>
              <w:spacing w:after="0"/>
              <w:rPr>
                <w:sz w:val="12"/>
                <w:szCs w:val="12"/>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Payment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57"/>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337"/>
              <w:spacing w:after="0"/>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71"/>
              <w:spacing w:after="0"/>
              <w:rPr>
                <w:sz w:val="20"/>
                <w:szCs w:val="20"/>
                <w:color w:val="auto"/>
              </w:rPr>
            </w:pPr>
            <w:r>
              <w:rPr>
                <w:rFonts w:ascii="Arial" w:cs="Arial" w:eastAsia="Arial" w:hAnsi="Arial"/>
                <w:sz w:val="13"/>
                <w:szCs w:val="13"/>
                <w:b w:val="1"/>
                <w:bCs w:val="1"/>
                <w:color w:val="auto"/>
                <w:w w:val="82"/>
              </w:rPr>
              <w:t>Shares</w:t>
            </w:r>
          </w:p>
        </w:tc>
        <w:tc>
          <w:tcPr>
            <w:tcW w:w="280" w:type="dxa"/>
            <w:vAlign w:val="bottom"/>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3"/>
                <w:szCs w:val="13"/>
                <w:b w:val="1"/>
                <w:bCs w:val="1"/>
                <w:color w:val="auto"/>
              </w:rPr>
              <w:t>DRIP</w:t>
            </w:r>
          </w:p>
        </w:tc>
        <w:tc>
          <w:tcPr>
            <w:tcW w:w="28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2"/>
              </w:rPr>
              <w:t>Share</w:t>
            </w:r>
          </w:p>
        </w:tc>
        <w:tc>
          <w:tcPr>
            <w:tcW w:w="40" w:type="dxa"/>
            <w:vAlign w:val="bottom"/>
          </w:tcPr>
          <w:p>
            <w:pPr>
              <w:spacing w:after="0"/>
              <w:rPr>
                <w:sz w:val="12"/>
                <w:szCs w:val="12"/>
                <w:color w:val="auto"/>
              </w:rPr>
            </w:pPr>
          </w:p>
        </w:tc>
      </w:tr>
      <w:tr>
        <w:trPr>
          <w:trHeight w:val="16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Declared</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Date</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Date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5"/>
              </w:rPr>
              <w:t>Per Share</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8"/>
              </w:rPr>
              <w:t>Distribution</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5"/>
              </w:rPr>
              <w:t>Distribution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2"/>
              </w:rPr>
              <w:t>Value</w:t>
            </w:r>
          </w:p>
        </w:tc>
        <w:tc>
          <w:tcPr>
            <w:tcW w:w="280" w:type="dxa"/>
            <w:vAlign w:val="bottom"/>
          </w:tcPr>
          <w:p>
            <w:pPr>
              <w:spacing w:after="0"/>
              <w:rPr>
                <w:sz w:val="14"/>
                <w:szCs w:val="14"/>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Issue Price</w:t>
            </w:r>
          </w:p>
        </w:tc>
        <w:tc>
          <w:tcPr>
            <w:tcW w:w="40" w:type="dxa"/>
            <w:vAlign w:val="bottom"/>
          </w:tcPr>
          <w:p>
            <w:pPr>
              <w:spacing w:after="0"/>
              <w:rPr>
                <w:sz w:val="14"/>
                <w:szCs w:val="14"/>
                <w:color w:val="auto"/>
              </w:rPr>
            </w:pPr>
          </w:p>
        </w:tc>
      </w:tr>
      <w:tr>
        <w:trPr>
          <w:trHeight w:val="143"/>
        </w:trPr>
        <w:tc>
          <w:tcPr>
            <w:tcW w:w="272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b w:val="1"/>
                <w:bCs w:val="1"/>
                <w:color w:val="auto"/>
              </w:rPr>
              <w:t>Year Ended December 31, 2019:</w:t>
            </w: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8"/>
        </w:trPr>
        <w:tc>
          <w:tcPr>
            <w:tcW w:w="2720" w:type="dxa"/>
            <w:vAlign w:val="bottom"/>
          </w:tcPr>
          <w:p>
            <w:pPr>
              <w:ind w:left="20"/>
              <w:spacing w:after="0"/>
              <w:rPr>
                <w:sz w:val="20"/>
                <w:szCs w:val="20"/>
                <w:color w:val="auto"/>
              </w:rPr>
            </w:pPr>
            <w:r>
              <w:rPr>
                <w:rFonts w:ascii="Arial" w:cs="Arial" w:eastAsia="Arial" w:hAnsi="Arial"/>
                <w:sz w:val="13"/>
                <w:szCs w:val="13"/>
                <w:color w:val="auto"/>
              </w:rPr>
              <w:t>1/31/2019</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3/8/2019</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3/22/2019</w:t>
            </w:r>
          </w:p>
        </w:tc>
        <w:tc>
          <w:tcPr>
            <w:tcW w:w="20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0.39</w:t>
            </w:r>
          </w:p>
        </w:tc>
        <w:tc>
          <w:tcPr>
            <w:tcW w:w="30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9,541</w:t>
            </w:r>
          </w:p>
        </w:tc>
        <w:tc>
          <w:tcPr>
            <w:tcW w:w="2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9,541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48"/>
        </w:trPr>
        <w:tc>
          <w:tcPr>
            <w:tcW w:w="2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4/29/2019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6/7/2019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6/21/2019</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9,540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9,540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(3)</w:t>
            </w: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(3)</w:t>
            </w:r>
          </w:p>
        </w:tc>
        <w:tc>
          <w:tcPr>
            <w:tcW w:w="1100" w:type="dxa"/>
            <w:vAlign w:val="bottom"/>
            <w:shd w:val="clear" w:color="auto" w:fill="CFF0FC"/>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r>
      <w:tr>
        <w:trPr>
          <w:trHeight w:val="148"/>
        </w:trPr>
        <w:tc>
          <w:tcPr>
            <w:tcW w:w="2720" w:type="dxa"/>
            <w:vAlign w:val="bottom"/>
          </w:tcPr>
          <w:p>
            <w:pPr>
              <w:ind w:left="20"/>
              <w:spacing w:after="0"/>
              <w:rPr>
                <w:sz w:val="20"/>
                <w:szCs w:val="20"/>
                <w:color w:val="auto"/>
              </w:rPr>
            </w:pPr>
            <w:r>
              <w:rPr>
                <w:rFonts w:ascii="Arial" w:cs="Arial" w:eastAsia="Arial" w:hAnsi="Arial"/>
                <w:sz w:val="13"/>
                <w:szCs w:val="13"/>
                <w:color w:val="auto"/>
              </w:rPr>
              <w:t>7/29/2019</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9/6/2019</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9/20/2019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0.39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9,541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9,541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80" w:type="dxa"/>
            <w:vAlign w:val="bottom"/>
          </w:tcPr>
          <w:p>
            <w:pPr>
              <w:jc w:val="right"/>
              <w:ind w:right="78"/>
              <w:spacing w:after="0"/>
              <w:rPr>
                <w:sz w:val="20"/>
                <w:szCs w:val="20"/>
                <w:color w:val="auto"/>
              </w:rPr>
            </w:pPr>
            <w:r>
              <w:rPr>
                <w:rFonts w:ascii="Arial" w:cs="Arial" w:eastAsia="Arial" w:hAnsi="Arial"/>
                <w:sz w:val="8"/>
                <w:szCs w:val="8"/>
                <w:color w:val="auto"/>
              </w:rPr>
              <w:t>(3)</w:t>
            </w: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280" w:type="dxa"/>
            <w:vAlign w:val="bottom"/>
          </w:tcPr>
          <w:p>
            <w:pPr>
              <w:jc w:val="right"/>
              <w:ind w:right="78"/>
              <w:spacing w:after="0"/>
              <w:rPr>
                <w:sz w:val="20"/>
                <w:szCs w:val="20"/>
                <w:color w:val="auto"/>
              </w:rPr>
            </w:pPr>
            <w:r>
              <w:rPr>
                <w:rFonts w:ascii="Arial" w:cs="Arial" w:eastAsia="Arial" w:hAnsi="Arial"/>
                <w:sz w:val="8"/>
                <w:szCs w:val="8"/>
                <w:color w:val="auto"/>
              </w:rPr>
              <w:t>(3)</w:t>
            </w:r>
          </w:p>
        </w:tc>
        <w:tc>
          <w:tcPr>
            <w:tcW w:w="1100" w:type="dxa"/>
            <w:vAlign w:val="bottom"/>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48"/>
        </w:trPr>
        <w:tc>
          <w:tcPr>
            <w:tcW w:w="2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10/29/2019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12/6/2019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12/20/2019</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9,541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9,541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shd w:val="clear" w:color="auto" w:fill="CFF0FC"/>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shd w:val="clear" w:color="auto" w:fill="CFF0FC"/>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r>
      <w:tr>
        <w:trPr>
          <w:trHeight w:val="149"/>
        </w:trPr>
        <w:tc>
          <w:tcPr>
            <w:tcW w:w="272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10/29/2019 </w:t>
            </w:r>
            <w:r>
              <w:rPr>
                <w:rFonts w:ascii="Arial" w:cs="Arial" w:eastAsia="Arial" w:hAnsi="Arial"/>
                <w:sz w:val="16"/>
                <w:szCs w:val="16"/>
                <w:color w:val="auto"/>
                <w:vertAlign w:val="superscript"/>
              </w:rPr>
              <w:t>(1)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12/6/2019</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12/20/2019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0.04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8"/>
                <w:szCs w:val="8"/>
                <w:color w:val="auto"/>
              </w:rPr>
              <w:t>(3)</w:t>
            </w:r>
          </w:p>
        </w:tc>
        <w:tc>
          <w:tcPr>
            <w:tcW w:w="1000" w:type="dxa"/>
            <w:vAlign w:val="bottom"/>
            <w:gridSpan w:val="2"/>
          </w:tcPr>
          <w:p>
            <w:pPr>
              <w:ind w:left="5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8"/>
                <w:szCs w:val="8"/>
                <w:color w:val="auto"/>
              </w:rPr>
              <w:t>(3)</w:t>
            </w:r>
          </w:p>
        </w:tc>
        <w:tc>
          <w:tcPr>
            <w:tcW w:w="1100" w:type="dxa"/>
            <w:vAlign w:val="bottom"/>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82"/>
        </w:trPr>
        <w:tc>
          <w:tcPr>
            <w:tcW w:w="27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1.60</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39,141</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39,141</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ind w:left="460"/>
              <w:spacing w:after="0" w:line="142" w:lineRule="exact"/>
              <w:rPr>
                <w:sz w:val="20"/>
                <w:szCs w:val="20"/>
                <w:color w:val="auto"/>
              </w:rPr>
            </w:pPr>
            <w:r>
              <w:rPr>
                <w:rFonts w:ascii="Arial" w:cs="Arial" w:eastAsia="Arial" w:hAnsi="Arial"/>
                <w:sz w:val="13"/>
                <w:szCs w:val="13"/>
                <w:color w:val="auto"/>
                <w:w w:val="91"/>
              </w:rPr>
              <w:t>—</w:t>
            </w:r>
          </w:p>
        </w:tc>
        <w:tc>
          <w:tcPr>
            <w:tcW w:w="28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ind w:left="580"/>
              <w:spacing w:after="0" w:line="142" w:lineRule="exact"/>
              <w:rPr>
                <w:sz w:val="20"/>
                <w:szCs w:val="20"/>
                <w:color w:val="auto"/>
              </w:rPr>
            </w:pPr>
            <w:r>
              <w:rPr>
                <w:rFonts w:ascii="Arial" w:cs="Arial" w:eastAsia="Arial" w:hAnsi="Arial"/>
                <w:sz w:val="13"/>
                <w:szCs w:val="13"/>
                <w:color w:val="auto"/>
                <w:w w:val="91"/>
              </w:rPr>
              <w:t>—</w:t>
            </w:r>
          </w:p>
        </w:tc>
        <w:tc>
          <w:tcPr>
            <w:tcW w:w="2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r>
      <w:tr>
        <w:trPr>
          <w:trHeight w:val="129"/>
        </w:trPr>
        <w:tc>
          <w:tcPr>
            <w:tcW w:w="272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Year Ended December 31, 2020:</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2/14/2020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3/13/2020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3/27/2020</w:t>
            </w:r>
          </w:p>
        </w:tc>
        <w:tc>
          <w:tcPr>
            <w:tcW w:w="20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0.39</w:t>
            </w:r>
          </w:p>
        </w:tc>
        <w:tc>
          <w:tcPr>
            <w:tcW w:w="30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9,537</w:t>
            </w: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shd w:val="clear" w:color="auto" w:fill="CFF0FC"/>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shd w:val="clear" w:color="auto" w:fill="CFF0FC"/>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r>
      <w:tr>
        <w:trPr>
          <w:trHeight w:val="148"/>
        </w:trPr>
        <w:tc>
          <w:tcPr>
            <w:tcW w:w="2720" w:type="dxa"/>
            <w:vAlign w:val="bottom"/>
          </w:tcPr>
          <w:p>
            <w:pPr>
              <w:ind w:left="20"/>
              <w:spacing w:after="0"/>
              <w:rPr>
                <w:sz w:val="20"/>
                <w:szCs w:val="20"/>
                <w:color w:val="auto"/>
              </w:rPr>
            </w:pPr>
            <w:r>
              <w:rPr>
                <w:rFonts w:ascii="Arial" w:cs="Arial" w:eastAsia="Arial" w:hAnsi="Arial"/>
                <w:sz w:val="13"/>
                <w:szCs w:val="13"/>
                <w:color w:val="auto"/>
              </w:rPr>
              <w:t>4/29/2020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6/12/2020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6/26/2020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48"/>
        </w:trPr>
        <w:tc>
          <w:tcPr>
            <w:tcW w:w="2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8/03/2020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9/11/2020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9/25/2020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0.30</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7,331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7,331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(3)</w:t>
            </w: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(3)</w:t>
            </w:r>
          </w:p>
        </w:tc>
        <w:tc>
          <w:tcPr>
            <w:tcW w:w="1100" w:type="dxa"/>
            <w:vAlign w:val="bottom"/>
            <w:shd w:val="clear" w:color="auto" w:fill="CFF0FC"/>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r>
      <w:tr>
        <w:trPr>
          <w:trHeight w:val="149"/>
        </w:trPr>
        <w:tc>
          <w:tcPr>
            <w:tcW w:w="2720" w:type="dxa"/>
            <w:vAlign w:val="bottom"/>
          </w:tcPr>
          <w:p>
            <w:pPr>
              <w:ind w:left="20"/>
              <w:spacing w:after="0"/>
              <w:rPr>
                <w:sz w:val="20"/>
                <w:szCs w:val="20"/>
                <w:color w:val="auto"/>
              </w:rPr>
            </w:pPr>
            <w:r>
              <w:rPr>
                <w:rFonts w:ascii="Arial" w:cs="Arial" w:eastAsia="Arial" w:hAnsi="Arial"/>
                <w:sz w:val="13"/>
                <w:szCs w:val="13"/>
                <w:color w:val="auto"/>
              </w:rPr>
              <w:t>10/26/2020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12/4/2020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12/18/2020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48"/>
        </w:trPr>
        <w:tc>
          <w:tcPr>
            <w:tcW w:w="27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10/26/2020 </w:t>
            </w:r>
            <w:r>
              <w:rPr>
                <w:rFonts w:ascii="Arial" w:cs="Arial" w:eastAsia="Arial" w:hAnsi="Arial"/>
                <w:sz w:val="16"/>
                <w:szCs w:val="16"/>
                <w:color w:val="auto"/>
                <w:vertAlign w:val="superscript"/>
              </w:rPr>
              <w:t>(2)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12/4/2020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12/18/2020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0.04</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8"/>
                <w:szCs w:val="8"/>
                <w:color w:val="auto"/>
              </w:rPr>
              <w:t>(3)</w:t>
            </w:r>
          </w:p>
        </w:tc>
        <w:tc>
          <w:tcPr>
            <w:tcW w:w="1000" w:type="dxa"/>
            <w:vAlign w:val="bottom"/>
            <w:gridSpan w:val="2"/>
            <w:shd w:val="clear" w:color="auto" w:fill="CFF0FC"/>
          </w:tcPr>
          <w:p>
            <w:pPr>
              <w:ind w:left="5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8"/>
                <w:szCs w:val="8"/>
                <w:color w:val="auto"/>
              </w:rPr>
              <w:t>(3)</w:t>
            </w:r>
          </w:p>
        </w:tc>
        <w:tc>
          <w:tcPr>
            <w:tcW w:w="1100" w:type="dxa"/>
            <w:vAlign w:val="bottom"/>
            <w:shd w:val="clear" w:color="auto" w:fill="CFF0FC"/>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r>
      <w:tr>
        <w:trPr>
          <w:trHeight w:val="142"/>
        </w:trPr>
        <w:tc>
          <w:tcPr>
            <w:tcW w:w="27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7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1.33</w:t>
            </w:r>
          </w:p>
        </w:tc>
        <w:tc>
          <w:tcPr>
            <w:tcW w:w="14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32,508</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32,508</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ind w:left="460"/>
              <w:spacing w:after="0" w:line="142" w:lineRule="exact"/>
              <w:rPr>
                <w:sz w:val="20"/>
                <w:szCs w:val="20"/>
                <w:color w:val="auto"/>
              </w:rPr>
            </w:pPr>
            <w:r>
              <w:rPr>
                <w:rFonts w:ascii="Arial" w:cs="Arial" w:eastAsia="Arial" w:hAnsi="Arial"/>
                <w:sz w:val="13"/>
                <w:szCs w:val="13"/>
                <w:color w:val="auto"/>
                <w:w w:val="91"/>
              </w:rPr>
              <w:t>—</w:t>
            </w:r>
          </w:p>
        </w:tc>
        <w:tc>
          <w:tcPr>
            <w:tcW w:w="280" w:type="dxa"/>
            <w:vAlign w:val="bottom"/>
            <w:tcBorders>
              <w:top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ind w:left="580"/>
              <w:spacing w:after="0" w:line="142" w:lineRule="exact"/>
              <w:rPr>
                <w:sz w:val="20"/>
                <w:szCs w:val="20"/>
                <w:color w:val="auto"/>
              </w:rPr>
            </w:pPr>
            <w:r>
              <w:rPr>
                <w:rFonts w:ascii="Arial" w:cs="Arial" w:eastAsia="Arial" w:hAnsi="Arial"/>
                <w:sz w:val="13"/>
                <w:szCs w:val="13"/>
                <w:color w:val="auto"/>
                <w:w w:val="91"/>
              </w:rPr>
              <w:t>—</w:t>
            </w:r>
          </w:p>
        </w:tc>
        <w:tc>
          <w:tcPr>
            <w:tcW w:w="280" w:type="dxa"/>
            <w:vAlign w:val="bottom"/>
            <w:tcBorders>
              <w:top w:val="single" w:sz="8" w:color="CFF0FC"/>
            </w:tcBorders>
          </w:tcPr>
          <w:p>
            <w:pPr>
              <w:spacing w:after="0"/>
              <w:rPr>
                <w:sz w:val="12"/>
                <w:szCs w:val="12"/>
                <w:color w:val="auto"/>
              </w:rPr>
            </w:pPr>
          </w:p>
        </w:tc>
        <w:tc>
          <w:tcPr>
            <w:tcW w:w="110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r>
      <w:tr>
        <w:trPr>
          <w:trHeight w:val="20"/>
        </w:trPr>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272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Year Ended December 31, 2021:</w:t>
            </w: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8"/>
        </w:trPr>
        <w:tc>
          <w:tcPr>
            <w:tcW w:w="2720" w:type="dxa"/>
            <w:vAlign w:val="bottom"/>
          </w:tcPr>
          <w:p>
            <w:pPr>
              <w:ind w:left="20"/>
              <w:spacing w:after="0"/>
              <w:rPr>
                <w:sz w:val="20"/>
                <w:szCs w:val="20"/>
                <w:color w:val="auto"/>
              </w:rPr>
            </w:pPr>
            <w:r>
              <w:rPr>
                <w:rFonts w:ascii="Arial" w:cs="Arial" w:eastAsia="Arial" w:hAnsi="Arial"/>
                <w:sz w:val="13"/>
                <w:szCs w:val="13"/>
                <w:color w:val="auto"/>
              </w:rPr>
              <w:t>2/09/2021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3/12/2021</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3/26/2021</w:t>
            </w:r>
          </w:p>
        </w:tc>
        <w:tc>
          <w:tcPr>
            <w:tcW w:w="20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0.31</w:t>
            </w:r>
          </w:p>
        </w:tc>
        <w:tc>
          <w:tcPr>
            <w:tcW w:w="30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7,575</w:t>
            </w:r>
          </w:p>
        </w:tc>
        <w:tc>
          <w:tcPr>
            <w:tcW w:w="2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7,575</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48"/>
        </w:trPr>
        <w:tc>
          <w:tcPr>
            <w:tcW w:w="27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2/09/2021 </w:t>
            </w:r>
            <w:r>
              <w:rPr>
                <w:rFonts w:ascii="Arial" w:cs="Arial" w:eastAsia="Arial" w:hAnsi="Arial"/>
                <w:sz w:val="16"/>
                <w:szCs w:val="16"/>
                <w:color w:val="auto"/>
                <w:vertAlign w:val="superscript"/>
              </w:rPr>
              <w:t>(2)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3/12/2021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3/26/2021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(3)</w:t>
            </w: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(3)</w:t>
            </w:r>
          </w:p>
        </w:tc>
        <w:tc>
          <w:tcPr>
            <w:tcW w:w="1100" w:type="dxa"/>
            <w:vAlign w:val="bottom"/>
            <w:shd w:val="clear" w:color="auto" w:fill="CFF0FC"/>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r>
      <w:tr>
        <w:trPr>
          <w:trHeight w:val="148"/>
        </w:trPr>
        <w:tc>
          <w:tcPr>
            <w:tcW w:w="2720" w:type="dxa"/>
            <w:vAlign w:val="bottom"/>
          </w:tcPr>
          <w:p>
            <w:pPr>
              <w:ind w:left="20"/>
              <w:spacing w:after="0"/>
              <w:rPr>
                <w:sz w:val="20"/>
                <w:szCs w:val="20"/>
                <w:color w:val="auto"/>
              </w:rPr>
            </w:pPr>
            <w:r>
              <w:rPr>
                <w:rFonts w:ascii="Arial" w:cs="Arial" w:eastAsia="Arial" w:hAnsi="Arial"/>
                <w:sz w:val="13"/>
                <w:szCs w:val="13"/>
                <w:color w:val="auto"/>
              </w:rPr>
              <w:t>5/03/2021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6/14/2021</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6/28/2021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7,576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49"/>
        </w:trPr>
        <w:tc>
          <w:tcPr>
            <w:tcW w:w="27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5/03/2021 </w:t>
            </w:r>
            <w:r>
              <w:rPr>
                <w:rFonts w:ascii="Arial" w:cs="Arial" w:eastAsia="Arial" w:hAnsi="Arial"/>
                <w:sz w:val="16"/>
                <w:szCs w:val="16"/>
                <w:color w:val="auto"/>
                <w:vertAlign w:val="superscript"/>
              </w:rPr>
              <w:t>(2)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6/14/2021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6/28/2021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0.08</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shd w:val="clear" w:color="auto" w:fill="CFF0FC"/>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shd w:val="clear" w:color="auto" w:fill="CFF0FC"/>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r>
      <w:tr>
        <w:trPr>
          <w:trHeight w:val="148"/>
        </w:trPr>
        <w:tc>
          <w:tcPr>
            <w:tcW w:w="2720" w:type="dxa"/>
            <w:vAlign w:val="bottom"/>
          </w:tcPr>
          <w:p>
            <w:pPr>
              <w:ind w:left="20"/>
              <w:spacing w:after="0"/>
              <w:rPr>
                <w:sz w:val="20"/>
                <w:szCs w:val="20"/>
                <w:color w:val="auto"/>
              </w:rPr>
            </w:pPr>
            <w:r>
              <w:rPr>
                <w:rFonts w:ascii="Arial" w:cs="Arial" w:eastAsia="Arial" w:hAnsi="Arial"/>
                <w:sz w:val="13"/>
                <w:szCs w:val="13"/>
                <w:color w:val="auto"/>
              </w:rPr>
              <w:t>8/02/2021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9/14/2021</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9/28/2021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0.32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7,820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7,820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48"/>
        </w:trPr>
        <w:tc>
          <w:tcPr>
            <w:tcW w:w="27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8/02/2021 </w:t>
            </w:r>
            <w:r>
              <w:rPr>
                <w:rFonts w:ascii="Arial" w:cs="Arial" w:eastAsia="Arial" w:hAnsi="Arial"/>
                <w:sz w:val="16"/>
                <w:szCs w:val="16"/>
                <w:color w:val="auto"/>
                <w:vertAlign w:val="superscript"/>
              </w:rPr>
              <w:t>(2)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9/14/2021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9/28/2021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shd w:val="clear" w:color="auto" w:fill="CFF0FC"/>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shd w:val="clear" w:color="auto" w:fill="CFF0FC"/>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r>
      <w:tr>
        <w:trPr>
          <w:trHeight w:val="148"/>
        </w:trPr>
        <w:tc>
          <w:tcPr>
            <w:tcW w:w="272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8/02/2021 </w:t>
            </w:r>
            <w:r>
              <w:rPr>
                <w:rFonts w:ascii="Arial" w:cs="Arial" w:eastAsia="Arial" w:hAnsi="Arial"/>
                <w:sz w:val="16"/>
                <w:szCs w:val="16"/>
                <w:color w:val="auto"/>
                <w:vertAlign w:val="superscript"/>
              </w:rPr>
              <w:t>(1)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9/14/2021</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9/28/2021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0.04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48"/>
        </w:trPr>
        <w:tc>
          <w:tcPr>
            <w:tcW w:w="2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11/01/2021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12/3/2021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12/17/2021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7,820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shd w:val="clear" w:color="auto" w:fill="CFF0FC"/>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shd w:val="clear" w:color="auto" w:fill="CFF0FC"/>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r>
      <w:tr>
        <w:trPr>
          <w:trHeight w:val="149"/>
        </w:trPr>
        <w:tc>
          <w:tcPr>
            <w:tcW w:w="272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11/01/2021 </w:t>
            </w:r>
            <w:r>
              <w:rPr>
                <w:rFonts w:ascii="Arial" w:cs="Arial" w:eastAsia="Arial" w:hAnsi="Arial"/>
                <w:sz w:val="16"/>
                <w:szCs w:val="16"/>
                <w:color w:val="auto"/>
                <w:vertAlign w:val="superscript"/>
              </w:rPr>
              <w:t>(2)</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12/3/2021</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12/17/2021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0.04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000" w:type="dxa"/>
            <w:vAlign w:val="bottom"/>
            <w:gridSpan w:val="2"/>
          </w:tcPr>
          <w:p>
            <w:pPr>
              <w:ind w:left="5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(3)</w:t>
            </w:r>
          </w:p>
        </w:tc>
        <w:tc>
          <w:tcPr>
            <w:tcW w:w="1100" w:type="dxa"/>
            <w:vAlign w:val="bottom"/>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r>
      <w:tr>
        <w:trPr>
          <w:trHeight w:val="148"/>
        </w:trPr>
        <w:tc>
          <w:tcPr>
            <w:tcW w:w="27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11/01/2021 </w:t>
            </w:r>
            <w:r>
              <w:rPr>
                <w:rFonts w:ascii="Arial" w:cs="Arial" w:eastAsia="Arial" w:hAnsi="Arial"/>
                <w:sz w:val="16"/>
                <w:szCs w:val="16"/>
                <w:color w:val="auto"/>
                <w:vertAlign w:val="superscript"/>
              </w:rPr>
              <w:t>(1)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12/3/2021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12/17/2021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0.05</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8"/>
                <w:szCs w:val="8"/>
                <w:color w:val="auto"/>
              </w:rPr>
              <w:t>(3)</w:t>
            </w:r>
          </w:p>
        </w:tc>
        <w:tc>
          <w:tcPr>
            <w:tcW w:w="1000" w:type="dxa"/>
            <w:vAlign w:val="bottom"/>
            <w:gridSpan w:val="2"/>
            <w:shd w:val="clear" w:color="auto" w:fill="CFF0FC"/>
          </w:tcPr>
          <w:p>
            <w:pPr>
              <w:ind w:left="5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8"/>
                <w:szCs w:val="8"/>
                <w:color w:val="auto"/>
              </w:rPr>
              <w:t>(3)</w:t>
            </w:r>
          </w:p>
        </w:tc>
        <w:tc>
          <w:tcPr>
            <w:tcW w:w="1100" w:type="dxa"/>
            <w:vAlign w:val="bottom"/>
            <w:shd w:val="clear" w:color="auto" w:fill="CFF0FC"/>
          </w:tcPr>
          <w:p>
            <w:pPr>
              <w:ind w:left="9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r>
      <w:tr>
        <w:trPr>
          <w:trHeight w:val="142"/>
        </w:trPr>
        <w:tc>
          <w:tcPr>
            <w:tcW w:w="27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7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w:t>
            </w:r>
          </w:p>
        </w:tc>
        <w:tc>
          <w:tcPr>
            <w:tcW w:w="14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39,100</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39,100</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ind w:left="460"/>
              <w:spacing w:after="0" w:line="142" w:lineRule="exact"/>
              <w:rPr>
                <w:sz w:val="20"/>
                <w:szCs w:val="20"/>
                <w:color w:val="auto"/>
              </w:rPr>
            </w:pPr>
            <w:r>
              <w:rPr>
                <w:rFonts w:ascii="Arial" w:cs="Arial" w:eastAsia="Arial" w:hAnsi="Arial"/>
                <w:sz w:val="13"/>
                <w:szCs w:val="13"/>
                <w:color w:val="auto"/>
                <w:w w:val="91"/>
              </w:rPr>
              <w:t>—</w:t>
            </w:r>
          </w:p>
        </w:tc>
        <w:tc>
          <w:tcPr>
            <w:tcW w:w="280" w:type="dxa"/>
            <w:vAlign w:val="bottom"/>
            <w:tcBorders>
              <w:top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ind w:left="580"/>
              <w:spacing w:after="0" w:line="142" w:lineRule="exact"/>
              <w:rPr>
                <w:sz w:val="20"/>
                <w:szCs w:val="20"/>
                <w:color w:val="auto"/>
              </w:rPr>
            </w:pPr>
            <w:r>
              <w:rPr>
                <w:rFonts w:ascii="Arial" w:cs="Arial" w:eastAsia="Arial" w:hAnsi="Arial"/>
                <w:sz w:val="13"/>
                <w:szCs w:val="13"/>
                <w:color w:val="auto"/>
                <w:w w:val="91"/>
              </w:rPr>
              <w:t>—</w:t>
            </w:r>
          </w:p>
        </w:tc>
        <w:tc>
          <w:tcPr>
            <w:tcW w:w="280" w:type="dxa"/>
            <w:vAlign w:val="bottom"/>
            <w:tcBorders>
              <w:top w:val="single" w:sz="8" w:color="CFF0FC"/>
            </w:tcBorders>
          </w:tcPr>
          <w:p>
            <w:pPr>
              <w:spacing w:after="0"/>
              <w:rPr>
                <w:sz w:val="12"/>
                <w:szCs w:val="12"/>
                <w:color w:val="auto"/>
              </w:rPr>
            </w:pPr>
          </w:p>
        </w:tc>
        <w:tc>
          <w:tcPr>
            <w:tcW w:w="110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r>
      <w:tr>
        <w:trPr>
          <w:trHeight w:val="20"/>
        </w:trPr>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-1885315</wp:posOffset>
            </wp:positionV>
            <wp:extent cx="342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-1868170</wp:posOffset>
            </wp:positionV>
            <wp:extent cx="342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-1885315</wp:posOffset>
            </wp:positionV>
            <wp:extent cx="2540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-1868170</wp:posOffset>
            </wp:positionV>
            <wp:extent cx="254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-1885315</wp:posOffset>
            </wp:positionV>
            <wp:extent cx="2540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-1868170</wp:posOffset>
            </wp:positionV>
            <wp:extent cx="254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-1885315</wp:posOffset>
            </wp:positionV>
            <wp:extent cx="254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-1868170</wp:posOffset>
            </wp:positionV>
            <wp:extent cx="254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-1885315</wp:posOffset>
            </wp:positionV>
            <wp:extent cx="254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-1868170</wp:posOffset>
            </wp:positionV>
            <wp:extent cx="254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-1290955</wp:posOffset>
            </wp:positionV>
            <wp:extent cx="34290"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-1290955</wp:posOffset>
            </wp:positionV>
            <wp:extent cx="25400"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-1290955</wp:posOffset>
            </wp:positionV>
            <wp:extent cx="25400"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-1290955</wp:posOffset>
            </wp:positionV>
            <wp:extent cx="25400"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-1290955</wp:posOffset>
            </wp:positionV>
            <wp:extent cx="25400"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-125095</wp:posOffset>
            </wp:positionV>
            <wp:extent cx="34290"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-125095</wp:posOffset>
            </wp:positionV>
            <wp:extent cx="25400"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-125095</wp:posOffset>
            </wp:positionV>
            <wp:extent cx="25400"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-125095</wp:posOffset>
            </wp:positionV>
            <wp:extent cx="25400"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-125095</wp:posOffset>
            </wp:positionV>
            <wp:extent cx="25400"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5400" cy="5715"/>
                    </a:xfrm>
                    <a:prstGeom prst="rect">
                      <a:avLst/>
                    </a:prstGeom>
                    <a:noFill/>
                  </pic:spPr>
                </pic:pic>
              </a:graphicData>
            </a:graphic>
          </wp:anchor>
        </w:drawing>
      </w:r>
    </w:p>
    <w:p>
      <w:pPr>
        <w:ind w:left="360" w:hanging="339"/>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Special dividend</w:t>
      </w:r>
    </w:p>
    <w:p>
      <w:pPr>
        <w:spacing w:after="0" w:line="7" w:lineRule="exact"/>
        <w:rPr>
          <w:rFonts w:ascii="Arial" w:cs="Arial" w:eastAsia="Arial" w:hAnsi="Arial"/>
          <w:sz w:val="14"/>
          <w:szCs w:val="14"/>
          <w:color w:val="auto"/>
        </w:rPr>
      </w:pPr>
    </w:p>
    <w:p>
      <w:pPr>
        <w:ind w:left="360" w:hanging="339"/>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Supplemental dividend</w:t>
      </w:r>
    </w:p>
    <w:p>
      <w:pPr>
        <w:spacing w:after="0" w:line="1" w:lineRule="exact"/>
        <w:rPr>
          <w:rFonts w:ascii="Arial" w:cs="Arial" w:eastAsia="Arial" w:hAnsi="Arial"/>
          <w:sz w:val="14"/>
          <w:szCs w:val="14"/>
          <w:color w:val="auto"/>
        </w:rPr>
      </w:pPr>
    </w:p>
    <w:p>
      <w:pPr>
        <w:ind w:left="360" w:right="440" w:hanging="339"/>
        <w:spacing w:after="0" w:line="271" w:lineRule="auto"/>
        <w:tabs>
          <w:tab w:leader="none" w:pos="3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During the years ended December 31, 2021, 2020, and 2019,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p>
      <w:pPr>
        <w:sectPr>
          <w:pgSz w:w="11900" w:h="16838" w:orient="portrait"/>
          <w:cols w:equalWidth="0" w:num="1">
            <w:col w:w="11240"/>
          </w:cols>
          <w:pgMar w:left="320" w:top="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6321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January 1, 2019 through March 31, 2019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April 1, 2019 through June 30, 2019</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July 1, 2019 through September 30, 2019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October 1, 2019 through December 31, 2019</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5"/>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68"/>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88"/>
              <w:spacing w:after="0"/>
              <w:rPr>
                <w:sz w:val="20"/>
                <w:szCs w:val="20"/>
                <w:color w:val="auto"/>
              </w:rPr>
            </w:pPr>
            <w:r>
              <w:rPr>
                <w:rFonts w:ascii="Arial" w:cs="Arial" w:eastAsia="Arial" w:hAnsi="Arial"/>
                <w:sz w:val="14"/>
                <w:szCs w:val="14"/>
                <w:b w:val="1"/>
                <w:bCs w:val="1"/>
                <w:color w:val="auto"/>
                <w:w w:val="94"/>
              </w:rPr>
              <w:t>Price Paid</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708"/>
              <w:spacing w:after="0"/>
              <w:rPr>
                <w:sz w:val="20"/>
                <w:szCs w:val="20"/>
                <w:color w:val="auto"/>
              </w:rPr>
            </w:pPr>
            <w:r>
              <w:rPr>
                <w:rFonts w:ascii="Arial" w:cs="Arial" w:eastAsia="Arial" w:hAnsi="Arial"/>
                <w:sz w:val="14"/>
                <w:szCs w:val="14"/>
                <w:b w:val="1"/>
                <w:bCs w:val="1"/>
                <w:color w:val="auto"/>
              </w:rPr>
              <w:t>Total</w:t>
            </w:r>
          </w:p>
        </w:tc>
      </w:tr>
      <w:tr>
        <w:trPr>
          <w:trHeight w:val="185"/>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and Reissued</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Amount Paid</w:t>
            </w:r>
          </w:p>
        </w:tc>
      </w:tr>
      <w:tr>
        <w:trPr>
          <w:trHeight w:val="164"/>
        </w:trPr>
        <w:tc>
          <w:tcPr>
            <w:tcW w:w="1400" w:type="dxa"/>
            <w:vAlign w:val="bottom"/>
          </w:tcPr>
          <w:p>
            <w:pPr>
              <w:jc w:val="right"/>
              <w:spacing w:after="0"/>
              <w:rPr>
                <w:sz w:val="20"/>
                <w:szCs w:val="20"/>
                <w:color w:val="auto"/>
              </w:rPr>
            </w:pPr>
            <w:r>
              <w:rPr>
                <w:rFonts w:ascii="Arial" w:cs="Arial" w:eastAsia="Arial" w:hAnsi="Arial"/>
                <w:sz w:val="14"/>
                <w:szCs w:val="14"/>
                <w:color w:val="auto"/>
              </w:rPr>
              <w:t>21,855</w:t>
            </w:r>
          </w:p>
        </w:tc>
        <w:tc>
          <w:tcPr>
            <w:tcW w:w="1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15.25</w:t>
            </w:r>
          </w:p>
        </w:tc>
        <w:tc>
          <w:tcPr>
            <w:tcW w:w="16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176"/>
        </w:trPr>
        <w:tc>
          <w:tcPr>
            <w:tcW w:w="1400" w:type="dxa"/>
            <w:vAlign w:val="bottom"/>
          </w:tcPr>
          <w:p>
            <w:pPr>
              <w:jc w:val="right"/>
              <w:spacing w:after="0"/>
              <w:rPr>
                <w:sz w:val="20"/>
                <w:szCs w:val="20"/>
                <w:color w:val="auto"/>
              </w:rPr>
            </w:pPr>
            <w:r>
              <w:rPr>
                <w:rFonts w:ascii="Arial" w:cs="Arial" w:eastAsia="Arial" w:hAnsi="Arial"/>
                <w:sz w:val="14"/>
                <w:szCs w:val="14"/>
                <w:color w:val="auto"/>
              </w:rPr>
              <w:t>14,067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16.23</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175"/>
        </w:trPr>
        <w:tc>
          <w:tcPr>
            <w:tcW w:w="1400" w:type="dxa"/>
            <w:vAlign w:val="bottom"/>
          </w:tcPr>
          <w:p>
            <w:pPr>
              <w:jc w:val="right"/>
              <w:spacing w:after="0"/>
              <w:rPr>
                <w:sz w:val="20"/>
                <w:szCs w:val="20"/>
                <w:color w:val="auto"/>
              </w:rPr>
            </w:pPr>
            <w:r>
              <w:rPr>
                <w:rFonts w:ascii="Arial" w:cs="Arial" w:eastAsia="Arial" w:hAnsi="Arial"/>
                <w:sz w:val="14"/>
                <w:szCs w:val="14"/>
                <w:color w:val="auto"/>
              </w:rPr>
              <w:t>15,289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15.35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181"/>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17,525</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15.27</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r>
      <w:tr>
        <w:trPr>
          <w:trHeight w:val="169"/>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68,736</w:t>
            </w:r>
          </w:p>
        </w:tc>
        <w:tc>
          <w:tcPr>
            <w:tcW w:w="16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-591185</wp:posOffset>
            </wp:positionV>
            <wp:extent cx="7132320" cy="11112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-368300</wp:posOffset>
            </wp:positionV>
            <wp:extent cx="7132320" cy="11176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-136525</wp:posOffset>
            </wp:positionV>
            <wp:extent cx="7132320" cy="13716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3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6321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January 1, 2020 through March 31, 2020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April 1, 2020 through June 30, 2020</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July 1, 2020 through September 30, 2020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October 1, 2020 through December 31, 2020</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5"/>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68"/>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5"/>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88"/>
              <w:spacing w:after="0"/>
              <w:rPr>
                <w:sz w:val="20"/>
                <w:szCs w:val="20"/>
                <w:color w:val="auto"/>
              </w:rPr>
            </w:pPr>
            <w:r>
              <w:rPr>
                <w:rFonts w:ascii="Arial" w:cs="Arial" w:eastAsia="Arial" w:hAnsi="Arial"/>
                <w:sz w:val="14"/>
                <w:szCs w:val="14"/>
                <w:b w:val="1"/>
                <w:bCs w:val="1"/>
                <w:color w:val="auto"/>
                <w:w w:val="94"/>
              </w:rPr>
              <w:t>Price Paid</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708"/>
              <w:spacing w:after="0"/>
              <w:rPr>
                <w:sz w:val="20"/>
                <w:szCs w:val="20"/>
                <w:color w:val="auto"/>
              </w:rPr>
            </w:pPr>
            <w:r>
              <w:rPr>
                <w:rFonts w:ascii="Arial" w:cs="Arial" w:eastAsia="Arial" w:hAnsi="Arial"/>
                <w:sz w:val="14"/>
                <w:szCs w:val="14"/>
                <w:b w:val="1"/>
                <w:bCs w:val="1"/>
                <w:color w:val="auto"/>
              </w:rPr>
              <w:t>Total</w:t>
            </w:r>
          </w:p>
        </w:tc>
      </w:tr>
      <w:tr>
        <w:trPr>
          <w:trHeight w:val="185"/>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and Reissued</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Amount Paid</w:t>
            </w:r>
          </w:p>
        </w:tc>
      </w:tr>
      <w:tr>
        <w:trPr>
          <w:trHeight w:val="164"/>
        </w:trPr>
        <w:tc>
          <w:tcPr>
            <w:tcW w:w="1400" w:type="dxa"/>
            <w:vAlign w:val="bottom"/>
          </w:tcPr>
          <w:p>
            <w:pPr>
              <w:jc w:val="right"/>
              <w:spacing w:after="0"/>
              <w:rPr>
                <w:sz w:val="20"/>
                <w:szCs w:val="20"/>
                <w:color w:val="auto"/>
              </w:rPr>
            </w:pPr>
            <w:r>
              <w:rPr>
                <w:rFonts w:ascii="Arial" w:cs="Arial" w:eastAsia="Arial" w:hAnsi="Arial"/>
                <w:sz w:val="14"/>
                <w:szCs w:val="14"/>
                <w:color w:val="auto"/>
              </w:rPr>
              <w:t>31,586</w:t>
            </w:r>
          </w:p>
        </w:tc>
        <w:tc>
          <w:tcPr>
            <w:tcW w:w="1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7.58</w:t>
            </w:r>
          </w:p>
        </w:tc>
        <w:tc>
          <w:tcPr>
            <w:tcW w:w="16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75"/>
        </w:trPr>
        <w:tc>
          <w:tcPr>
            <w:tcW w:w="1400" w:type="dxa"/>
            <w:vAlign w:val="bottom"/>
          </w:tcPr>
          <w:p>
            <w:pPr>
              <w:jc w:val="right"/>
              <w:spacing w:after="0"/>
              <w:rPr>
                <w:sz w:val="20"/>
                <w:szCs w:val="20"/>
                <w:color w:val="auto"/>
              </w:rPr>
            </w:pPr>
            <w:r>
              <w:rPr>
                <w:rFonts w:ascii="Arial" w:cs="Arial" w:eastAsia="Arial" w:hAnsi="Arial"/>
                <w:sz w:val="14"/>
                <w:szCs w:val="14"/>
                <w:color w:val="auto"/>
              </w:rPr>
              <w:t>21,904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175"/>
        </w:trPr>
        <w:tc>
          <w:tcPr>
            <w:tcW w:w="1400" w:type="dxa"/>
            <w:vAlign w:val="bottom"/>
          </w:tcPr>
          <w:p>
            <w:pPr>
              <w:jc w:val="right"/>
              <w:spacing w:after="0"/>
              <w:rPr>
                <w:sz w:val="20"/>
                <w:szCs w:val="20"/>
                <w:color w:val="auto"/>
              </w:rPr>
            </w:pPr>
            <w:r>
              <w:rPr>
                <w:rFonts w:ascii="Arial" w:cs="Arial" w:eastAsia="Arial" w:hAnsi="Arial"/>
                <w:sz w:val="14"/>
                <w:szCs w:val="14"/>
                <w:color w:val="auto"/>
              </w:rPr>
              <w:t>28,871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294</w:t>
            </w:r>
          </w:p>
        </w:tc>
      </w:tr>
      <w:tr>
        <w:trPr>
          <w:trHeight w:val="181"/>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20,222</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r>
      <w:tr>
        <w:trPr>
          <w:trHeight w:val="169"/>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102,583</w:t>
            </w:r>
          </w:p>
        </w:tc>
        <w:tc>
          <w:tcPr>
            <w:tcW w:w="16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-591185</wp:posOffset>
            </wp:positionV>
            <wp:extent cx="7132320" cy="11112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-367665</wp:posOffset>
            </wp:positionV>
            <wp:extent cx="7132320" cy="11112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-136525</wp:posOffset>
            </wp:positionV>
            <wp:extent cx="7132320" cy="13716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3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6321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January 1, 2021 through March 31, 2021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April 1, 2021 through June 30, 2021</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July 1, 2021 through September 30, 2021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October 1, 2021 through December 31, 2021</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5"/>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68"/>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5"/>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88"/>
              <w:spacing w:after="0"/>
              <w:rPr>
                <w:sz w:val="20"/>
                <w:szCs w:val="20"/>
                <w:color w:val="auto"/>
              </w:rPr>
            </w:pPr>
            <w:r>
              <w:rPr>
                <w:rFonts w:ascii="Arial" w:cs="Arial" w:eastAsia="Arial" w:hAnsi="Arial"/>
                <w:sz w:val="14"/>
                <w:szCs w:val="14"/>
                <w:b w:val="1"/>
                <w:bCs w:val="1"/>
                <w:color w:val="auto"/>
                <w:w w:val="94"/>
              </w:rPr>
              <w:t>Price Paid</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708"/>
              <w:spacing w:after="0"/>
              <w:rPr>
                <w:sz w:val="20"/>
                <w:szCs w:val="20"/>
                <w:color w:val="auto"/>
              </w:rPr>
            </w:pPr>
            <w:r>
              <w:rPr>
                <w:rFonts w:ascii="Arial" w:cs="Arial" w:eastAsia="Arial" w:hAnsi="Arial"/>
                <w:sz w:val="14"/>
                <w:szCs w:val="14"/>
                <w:b w:val="1"/>
                <w:bCs w:val="1"/>
                <w:color w:val="auto"/>
              </w:rPr>
              <w:t>Total</w:t>
            </w:r>
          </w:p>
        </w:tc>
      </w:tr>
      <w:tr>
        <w:trPr>
          <w:trHeight w:val="185"/>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and Reissued</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Amount Paid</w:t>
            </w:r>
          </w:p>
        </w:tc>
      </w:tr>
      <w:tr>
        <w:trPr>
          <w:trHeight w:val="164"/>
        </w:trPr>
        <w:tc>
          <w:tcPr>
            <w:tcW w:w="1400" w:type="dxa"/>
            <w:vAlign w:val="bottom"/>
          </w:tcPr>
          <w:p>
            <w:pPr>
              <w:jc w:val="right"/>
              <w:spacing w:after="0"/>
              <w:rPr>
                <w:sz w:val="20"/>
                <w:szCs w:val="20"/>
                <w:color w:val="auto"/>
              </w:rPr>
            </w:pPr>
            <w:r>
              <w:rPr>
                <w:rFonts w:ascii="Arial" w:cs="Arial" w:eastAsia="Arial" w:hAnsi="Arial"/>
                <w:sz w:val="14"/>
                <w:szCs w:val="14"/>
                <w:color w:val="auto"/>
              </w:rPr>
              <w:t>15,562</w:t>
            </w:r>
          </w:p>
        </w:tc>
        <w:tc>
          <w:tcPr>
            <w:tcW w:w="1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15.62</w:t>
            </w:r>
          </w:p>
        </w:tc>
        <w:tc>
          <w:tcPr>
            <w:tcW w:w="16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175"/>
        </w:trPr>
        <w:tc>
          <w:tcPr>
            <w:tcW w:w="1400" w:type="dxa"/>
            <w:vAlign w:val="bottom"/>
          </w:tcPr>
          <w:p>
            <w:pPr>
              <w:jc w:val="right"/>
              <w:spacing w:after="0"/>
              <w:rPr>
                <w:sz w:val="20"/>
                <w:szCs w:val="20"/>
                <w:color w:val="auto"/>
              </w:rPr>
            </w:pPr>
            <w:r>
              <w:rPr>
                <w:rFonts w:ascii="Arial" w:cs="Arial" w:eastAsia="Arial" w:hAnsi="Arial"/>
                <w:sz w:val="14"/>
                <w:szCs w:val="14"/>
                <w:color w:val="auto"/>
              </w:rPr>
              <w:t>17,042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175"/>
        </w:trPr>
        <w:tc>
          <w:tcPr>
            <w:tcW w:w="1400" w:type="dxa"/>
            <w:vAlign w:val="bottom"/>
          </w:tcPr>
          <w:p>
            <w:pPr>
              <w:jc w:val="right"/>
              <w:spacing w:after="0"/>
              <w:rPr>
                <w:sz w:val="20"/>
                <w:szCs w:val="20"/>
                <w:color w:val="auto"/>
              </w:rPr>
            </w:pPr>
            <w:r>
              <w:rPr>
                <w:rFonts w:ascii="Arial" w:cs="Arial" w:eastAsia="Arial" w:hAnsi="Arial"/>
                <w:sz w:val="14"/>
                <w:szCs w:val="14"/>
                <w:color w:val="auto"/>
              </w:rPr>
              <w:t>18,201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17.82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181"/>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18,283</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r>
      <w:tr>
        <w:trPr>
          <w:trHeight w:val="169"/>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69,088</w:t>
            </w:r>
          </w:p>
        </w:tc>
        <w:tc>
          <w:tcPr>
            <w:tcW w:w="16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17.05</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-590550</wp:posOffset>
            </wp:positionV>
            <wp:extent cx="7132320" cy="11112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-367665</wp:posOffset>
            </wp:positionV>
            <wp:extent cx="7132320" cy="11112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-136525</wp:posOffset>
            </wp:positionV>
            <wp:extent cx="7132320" cy="1371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323" w:right="339" w:bottom="1440" w:gutter="0" w:footer="0" w:header="0"/>
          <w:type w:val="continuous"/>
        </w:sect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Highlights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schedule of financial highlights for the years ended December 31, 2021 to 2012:</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8"/>
          </w:tcPr>
          <w:p>
            <w:pPr>
              <w:jc w:val="right"/>
              <w:ind w:right="79"/>
              <w:spacing w:after="0"/>
              <w:rPr>
                <w:sz w:val="20"/>
                <w:szCs w:val="20"/>
                <w:color w:val="auto"/>
              </w:rPr>
            </w:pPr>
            <w:r>
              <w:rPr>
                <w:rFonts w:ascii="Arial" w:cs="Arial" w:eastAsia="Arial" w:hAnsi="Arial"/>
                <w:sz w:val="16"/>
                <w:szCs w:val="16"/>
                <w:b w:val="1"/>
                <w:bCs w:val="1"/>
                <w:color w:val="auto"/>
              </w:rPr>
              <w:t>Years Ended December 31,</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Per share data:</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Net asset value at beginning of period</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16.85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16.47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15.76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Net investment income </w:t>
            </w:r>
            <w:r>
              <w:rPr>
                <w:rFonts w:ascii="Arial" w:cs="Arial" w:eastAsia="Arial" w:hAnsi="Arial"/>
                <w:sz w:val="21"/>
                <w:szCs w:val="21"/>
                <w:color w:val="auto"/>
                <w:vertAlign w:val="superscript"/>
              </w:rPr>
              <w:t>(1)</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200" w:type="dxa"/>
            <w:vAlign w:val="bottom"/>
            <w:shd w:val="clear" w:color="auto" w:fill="CFF0FC"/>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280" w:type="dxa"/>
            <w:vAlign w:val="bottom"/>
          </w:tcPr>
          <w:p>
            <w:pPr>
              <w:ind w:left="20"/>
              <w:spacing w:after="0"/>
              <w:rPr>
                <w:sz w:val="20"/>
                <w:szCs w:val="20"/>
                <w:color w:val="auto"/>
              </w:rPr>
            </w:pPr>
            <w:r>
              <w:rPr>
                <w:rFonts w:ascii="Arial" w:cs="Arial" w:eastAsia="Arial" w:hAnsi="Arial"/>
                <w:sz w:val="21"/>
                <w:szCs w:val="21"/>
                <w:color w:val="auto"/>
                <w:w w:val="94"/>
                <w:vertAlign w:val="subscript"/>
              </w:rPr>
              <w:t>(1)</w:t>
            </w:r>
            <w:r>
              <w:rPr>
                <w:rFonts w:ascii="Arial" w:cs="Arial" w:eastAsia="Arial" w:hAnsi="Arial"/>
                <w:sz w:val="16"/>
                <w:szCs w:val="16"/>
                <w:color w:val="auto"/>
                <w:w w:val="94"/>
              </w:rPr>
              <w:t>Net realized gain (loss) on investments, net of tax (provision)</w:t>
            </w:r>
          </w:p>
        </w:tc>
        <w:tc>
          <w:tcPr>
            <w:tcW w:w="22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(0.06 )</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(0.05 )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(0.45 )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0.67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w w:val="98"/>
              </w:rPr>
              <w:t xml:space="preserve">Net unrealized appreciation (depreciation) on investments </w:t>
            </w:r>
            <w:r>
              <w:rPr>
                <w:rFonts w:ascii="Arial" w:cs="Arial" w:eastAsia="Arial" w:hAnsi="Arial"/>
                <w:sz w:val="21"/>
                <w:szCs w:val="21"/>
                <w:color w:val="auto"/>
                <w:w w:val="98"/>
                <w:vertAlign w:val="superscript"/>
              </w:rPr>
              <w:t>(1)</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(0.27 )</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(0.23 )</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Realized losses on extinguishment of debt </w:t>
            </w:r>
            <w:r>
              <w:rPr>
                <w:rFonts w:ascii="Arial" w:cs="Arial" w:eastAsia="Arial" w:hAnsi="Arial"/>
                <w:sz w:val="21"/>
                <w:szCs w:val="21"/>
                <w:color w:val="auto"/>
                <w:vertAlign w:val="superscript"/>
              </w:rPr>
              <w:t>(1)</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(0.17 )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(0.01 )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(0.02 )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(0.01 )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183"/>
        </w:trPr>
        <w:tc>
          <w:tcPr>
            <w:tcW w:w="4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Total increase from investment operations </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4.75</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1.28</w:t>
            </w:r>
          </w:p>
        </w:tc>
        <w:tc>
          <w:tcPr>
            <w:tcW w:w="200" w:type="dxa"/>
            <w:vAlign w:val="bottom"/>
            <w:shd w:val="clear" w:color="auto" w:fill="CFF0FC"/>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1.98</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2.02</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1.87</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w w:val="97"/>
              </w:rPr>
              <w:t>Accretive (dilutive) effect of share issuances and repurchases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to stockholders</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(1.60 )</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(1.33 )</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(1.60 )</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(1.60 )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Distributions from capital gains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Taxes paid on deemed distributions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(0.01 )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asset value at end of period</w:t>
            </w: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19.96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16.81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16.85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16.47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16.05</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80" w:type="dxa"/>
            <w:vAlign w:val="bottom"/>
          </w:tcPr>
          <w:p>
            <w:pPr>
              <w:ind w:left="20"/>
              <w:spacing w:after="0" w:line="170" w:lineRule="exact"/>
              <w:rPr>
                <w:sz w:val="20"/>
                <w:szCs w:val="20"/>
                <w:color w:val="auto"/>
              </w:rPr>
            </w:pPr>
            <w:r>
              <w:rPr>
                <w:rFonts w:ascii="Arial" w:cs="Arial" w:eastAsia="Arial" w:hAnsi="Arial"/>
                <w:sz w:val="16"/>
                <w:szCs w:val="16"/>
                <w:color w:val="auto"/>
              </w:rPr>
              <w:t>Market value at end of period</w:t>
            </w:r>
          </w:p>
        </w:tc>
        <w:tc>
          <w:tcPr>
            <w:tcW w:w="22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17.98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13.10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14.84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11.69</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15.18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8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Shares outstanding at end of period</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24,437,400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24,437,400</w:t>
            </w:r>
          </w:p>
        </w:tc>
        <w:tc>
          <w:tcPr>
            <w:tcW w:w="200" w:type="dxa"/>
            <w:vAlign w:val="bottom"/>
            <w:shd w:val="clear" w:color="auto" w:fill="CFF0FC"/>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24,463,119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w w:val="99"/>
              </w:rPr>
              <w:t>24,463,119</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24,507,940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Weighted average shares outstanding during the period</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24,437,400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24,442,431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24,463,119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24,471,730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23,527,188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assets at end of period</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487,764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410,760</w:t>
            </w:r>
          </w:p>
        </w:tc>
        <w:tc>
          <w:tcPr>
            <w:tcW w:w="200" w:type="dxa"/>
            <w:vAlign w:val="bottom"/>
            <w:shd w:val="clear" w:color="auto" w:fill="CFF0FC"/>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412,310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402,985</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393,273</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Average net assets </w:t>
            </w:r>
            <w:r>
              <w:rPr>
                <w:rFonts w:ascii="Arial" w:cs="Arial" w:eastAsia="Arial" w:hAnsi="Arial"/>
                <w:sz w:val="21"/>
                <w:szCs w:val="21"/>
                <w:color w:val="auto"/>
                <w:vertAlign w:val="superscript"/>
              </w:rPr>
              <w:t>(6)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437,690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392,866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404,284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398,440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376,292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Ratios to average net assets:</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Total expenses </w:t>
            </w:r>
            <w:r>
              <w:rPr>
                <w:rFonts w:ascii="Arial" w:cs="Arial" w:eastAsia="Arial" w:hAnsi="Arial"/>
                <w:sz w:val="21"/>
                <w:szCs w:val="21"/>
                <w:color w:val="auto"/>
                <w:vertAlign w:val="superscript"/>
              </w:rPr>
              <w:t>(4)(10)</w:t>
            </w:r>
          </w:p>
        </w:tc>
        <w:tc>
          <w:tcPr>
            <w:tcW w:w="2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15.4 %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11.8 %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Net investment income </w:t>
            </w:r>
            <w:r>
              <w:rPr>
                <w:rFonts w:ascii="Arial" w:cs="Arial" w:eastAsia="Arial" w:hAnsi="Arial"/>
                <w:sz w:val="21"/>
                <w:szCs w:val="21"/>
                <w:color w:val="auto"/>
                <w:vertAlign w:val="superscript"/>
              </w:rPr>
              <w:t>(5)</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5.7 %</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10.1 %</w:t>
            </w:r>
          </w:p>
        </w:tc>
        <w:tc>
          <w:tcPr>
            <w:tcW w:w="140" w:type="dxa"/>
            <w:vAlign w:val="bottom"/>
            <w:shd w:val="clear" w:color="auto" w:fill="CCEEFF"/>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CEEFF"/>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8.8 %</w:t>
            </w:r>
          </w:p>
        </w:tc>
        <w:tc>
          <w:tcPr>
            <w:tcW w:w="120" w:type="dxa"/>
            <w:vAlign w:val="bottom"/>
            <w:shd w:val="clear" w:color="auto" w:fill="CCEEFF"/>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Total return based on market value </w:t>
            </w:r>
            <w:r>
              <w:rPr>
                <w:rFonts w:ascii="Arial" w:cs="Arial" w:eastAsia="Arial" w:hAnsi="Arial"/>
                <w:sz w:val="21"/>
                <w:szCs w:val="21"/>
                <w:color w:val="auto"/>
                <w:vertAlign w:val="superscript"/>
              </w:rPr>
              <w:t>(3)</w:t>
            </w:r>
          </w:p>
        </w:tc>
        <w:tc>
          <w:tcPr>
            <w:tcW w:w="2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53.9 %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37.6 %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(15.8 %)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Total return based on net asset value </w:t>
            </w:r>
            <w:r>
              <w:rPr>
                <w:rFonts w:ascii="Arial" w:cs="Arial" w:eastAsia="Arial" w:hAnsi="Arial"/>
                <w:sz w:val="21"/>
                <w:szCs w:val="21"/>
                <w:color w:val="auto"/>
                <w:vertAlign w:val="superscript"/>
              </w:rPr>
              <w:t>(8)</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28.3 %</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7.6 %</w:t>
            </w:r>
          </w:p>
        </w:tc>
        <w:tc>
          <w:tcPr>
            <w:tcW w:w="140" w:type="dxa"/>
            <w:vAlign w:val="bottom"/>
            <w:shd w:val="clear" w:color="auto" w:fill="CCEEFF"/>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12.0 %</w:t>
            </w:r>
          </w:p>
        </w:tc>
        <w:tc>
          <w:tcPr>
            <w:tcW w:w="120" w:type="dxa"/>
            <w:vAlign w:val="bottom"/>
            <w:shd w:val="clear" w:color="auto" w:fill="CCEEFF"/>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12.6 %</w:t>
            </w:r>
          </w:p>
        </w:tc>
        <w:tc>
          <w:tcPr>
            <w:tcW w:w="120" w:type="dxa"/>
            <w:vAlign w:val="bottom"/>
            <w:shd w:val="clear" w:color="auto" w:fill="CCEEFF"/>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Portfolio turnover ratio</w:t>
            </w:r>
          </w:p>
        </w:tc>
        <w:tc>
          <w:tcPr>
            <w:tcW w:w="2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47.7 %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25.8 %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17.2 %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29.5 %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29.5 %</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Data:</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Average debt outstanding </w:t>
            </w:r>
            <w:r>
              <w:rPr>
                <w:rFonts w:ascii="Arial" w:cs="Arial" w:eastAsia="Arial" w:hAnsi="Arial"/>
                <w:sz w:val="21"/>
                <w:szCs w:val="21"/>
                <w:color w:val="auto"/>
                <w:vertAlign w:val="superscript"/>
              </w:rPr>
              <w:t>(7)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380,997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385,350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319,050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271,560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219,920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Average debt per share </w:t>
            </w:r>
            <w:r>
              <w:rPr>
                <w:rFonts w:ascii="Arial" w:cs="Arial" w:eastAsia="Arial" w:hAnsi="Arial"/>
                <w:sz w:val="21"/>
                <w:szCs w:val="21"/>
                <w:color w:val="auto"/>
                <w:vertAlign w:val="superscript"/>
              </w:rPr>
              <w:t>(1)</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w:t>
            </w:r>
          </w:p>
        </w:tc>
        <w:tc>
          <w:tcPr>
            <w:tcW w:w="200" w:type="dxa"/>
            <w:vAlign w:val="bottom"/>
            <w:shd w:val="clear" w:color="auto" w:fill="CFF0FC"/>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1"/>
        </w:trPr>
        <w:tc>
          <w:tcPr>
            <w:tcW w:w="4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-2073910</wp:posOffset>
            </wp:positionV>
            <wp:extent cx="12890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-2056765</wp:posOffset>
            </wp:positionV>
            <wp:extent cx="12890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-2073910</wp:posOffset>
            </wp:positionV>
            <wp:extent cx="12890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-2056765</wp:posOffset>
            </wp:positionV>
            <wp:extent cx="12890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-2073910</wp:posOffset>
            </wp:positionV>
            <wp:extent cx="12890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-2056765</wp:posOffset>
            </wp:positionV>
            <wp:extent cx="12890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-2073910</wp:posOffset>
            </wp:positionV>
            <wp:extent cx="17145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-2056765</wp:posOffset>
            </wp:positionV>
            <wp:extent cx="17145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-2073910</wp:posOffset>
            </wp:positionV>
            <wp:extent cx="12001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-2056765</wp:posOffset>
            </wp:positionV>
            <wp:extent cx="12001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8"/>
          </w:tcPr>
          <w:p>
            <w:pPr>
              <w:ind w:left="820"/>
              <w:spacing w:after="0"/>
              <w:rPr>
                <w:sz w:val="20"/>
                <w:szCs w:val="20"/>
                <w:color w:val="auto"/>
              </w:rPr>
            </w:pPr>
            <w:r>
              <w:rPr>
                <w:rFonts w:ascii="Arial" w:cs="Arial" w:eastAsia="Arial" w:hAnsi="Arial"/>
                <w:sz w:val="16"/>
                <w:szCs w:val="16"/>
                <w:b w:val="1"/>
                <w:bCs w:val="1"/>
                <w:color w:val="auto"/>
                <w:w w:val="89"/>
              </w:rPr>
              <w:t>Years Ended December 31,</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Per share data:</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Net asset value at beginning of period</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15.17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15.16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15.32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Net investment income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280" w:type="dxa"/>
            <w:vAlign w:val="bottom"/>
          </w:tcPr>
          <w:p>
            <w:pPr>
              <w:ind w:left="20"/>
              <w:spacing w:after="0"/>
              <w:rPr>
                <w:sz w:val="20"/>
                <w:szCs w:val="20"/>
                <w:color w:val="auto"/>
              </w:rPr>
            </w:pPr>
            <w:r>
              <w:rPr>
                <w:rFonts w:ascii="Arial" w:cs="Arial" w:eastAsia="Arial" w:hAnsi="Arial"/>
                <w:sz w:val="21"/>
                <w:szCs w:val="21"/>
                <w:color w:val="auto"/>
                <w:w w:val="94"/>
                <w:vertAlign w:val="subscript"/>
              </w:rPr>
              <w:t>(1)</w:t>
            </w:r>
            <w:r>
              <w:rPr>
                <w:rFonts w:ascii="Arial" w:cs="Arial" w:eastAsia="Arial" w:hAnsi="Arial"/>
                <w:sz w:val="16"/>
                <w:szCs w:val="16"/>
                <w:color w:val="auto"/>
                <w:w w:val="94"/>
              </w:rPr>
              <w:t>Net realized gain (loss) on investments, net of tax (provision)</w:t>
            </w:r>
          </w:p>
        </w:tc>
        <w:tc>
          <w:tcPr>
            <w:tcW w:w="220" w:type="dxa"/>
            <w:vAlign w:val="bottom"/>
          </w:tcPr>
          <w:p>
            <w:pPr>
              <w:spacing w:after="0"/>
              <w:rPr>
                <w:sz w:val="22"/>
                <w:szCs w:val="22"/>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(0.77 )</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0.58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(1.18 )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0.19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w w:val="98"/>
              </w:rPr>
              <w:t xml:space="preserve">Net unrealized appreciation (depreciation) on investments </w:t>
            </w:r>
            <w:r>
              <w:rPr>
                <w:rFonts w:ascii="Arial" w:cs="Arial" w:eastAsia="Arial" w:hAnsi="Arial"/>
                <w:sz w:val="21"/>
                <w:szCs w:val="21"/>
                <w:color w:val="auto"/>
                <w:w w:val="98"/>
                <w:vertAlign w:val="superscript"/>
              </w:rPr>
              <w:t>(1)</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(0.62 )</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Realized losses on extinguishment of debt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Total increase from investment operations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1.36</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w w:val="97"/>
              </w:rPr>
              <w:t>Accretive (dilutive) effect of share issuances and repurchases</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(0.05 )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to stockholders</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(1.60 )</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(1.60 )</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(0.97 )</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Distributions from capital gains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(0.75 )</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(0.73 )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Taxes paid on deemed distributions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(0.21 )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(0.03 )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(0.01 )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(0.02 )</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(0.01 )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(0.06 )</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asset value at end of period</w:t>
            </w: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15.76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15.17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15.16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15.35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15.32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80" w:type="dxa"/>
            <w:vAlign w:val="bottom"/>
          </w:tcPr>
          <w:p>
            <w:pPr>
              <w:ind w:left="20"/>
              <w:spacing w:after="0" w:line="170" w:lineRule="exact"/>
              <w:rPr>
                <w:sz w:val="20"/>
                <w:szCs w:val="20"/>
                <w:color w:val="auto"/>
              </w:rPr>
            </w:pPr>
            <w:r>
              <w:rPr>
                <w:rFonts w:ascii="Arial" w:cs="Arial" w:eastAsia="Arial" w:hAnsi="Arial"/>
                <w:sz w:val="16"/>
                <w:szCs w:val="16"/>
                <w:color w:val="auto"/>
              </w:rPr>
              <w:t>Market value at end of period</w:t>
            </w:r>
          </w:p>
        </w:tc>
        <w:tc>
          <w:tcPr>
            <w:tcW w:w="22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15.73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13.69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14.85</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21.74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16.45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8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Shares outstanding at end of period</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22,446,076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16,300,732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w w:val="99"/>
              </w:rPr>
              <w:t>16,051,037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13,755,232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11,953,847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Weighted average shares outstanding during the period</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18,283,715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16,201,449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14,346,438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13,524,368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10,185,627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assets at end of period</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353,785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247,362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243,263</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211,125</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183,091</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Average net assets </w:t>
            </w:r>
            <w:r>
              <w:rPr>
                <w:rFonts w:ascii="Arial" w:cs="Arial" w:eastAsia="Arial" w:hAnsi="Arial"/>
                <w:sz w:val="21"/>
                <w:szCs w:val="21"/>
                <w:color w:val="auto"/>
                <w:vertAlign w:val="superscript"/>
              </w:rPr>
              <w:t>(6)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289,453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245,706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222,737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209,136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157,618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Ratios to average net assets: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Total expenses </w:t>
            </w:r>
            <w:r>
              <w:rPr>
                <w:rFonts w:ascii="Arial" w:cs="Arial" w:eastAsia="Arial" w:hAnsi="Arial"/>
                <w:sz w:val="21"/>
                <w:szCs w:val="21"/>
                <w:color w:val="auto"/>
                <w:vertAlign w:val="superscript"/>
              </w:rPr>
              <w:t>(4)(10)</w:t>
            </w:r>
          </w:p>
        </w:tc>
        <w:tc>
          <w:tcPr>
            <w:tcW w:w="2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11.7 %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11.3 %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10.3 %</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11.0 %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Net investment income </w:t>
            </w:r>
            <w:r>
              <w:rPr>
                <w:rFonts w:ascii="Arial" w:cs="Arial" w:eastAsia="Arial" w:hAnsi="Arial"/>
                <w:sz w:val="21"/>
                <w:szCs w:val="21"/>
                <w:color w:val="auto"/>
                <w:vertAlign w:val="superscript"/>
              </w:rPr>
              <w:t>(5)</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9.2 %</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10.8 %</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10.5 %</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9.2 %</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Total return based on market value </w:t>
            </w:r>
            <w:r>
              <w:rPr>
                <w:rFonts w:ascii="Arial" w:cs="Arial" w:eastAsia="Arial" w:hAnsi="Arial"/>
                <w:sz w:val="21"/>
                <w:szCs w:val="21"/>
                <w:color w:val="auto"/>
                <w:vertAlign w:val="superscript"/>
              </w:rPr>
              <w:t>(3)</w:t>
            </w:r>
          </w:p>
        </w:tc>
        <w:tc>
          <w:tcPr>
            <w:tcW w:w="2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23.8 %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2.4 %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(23.8 %)</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44.0 %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38.1 %</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Total return based on net asset value </w:t>
            </w:r>
            <w:r>
              <w:rPr>
                <w:rFonts w:ascii="Arial" w:cs="Arial" w:eastAsia="Arial" w:hAnsi="Arial"/>
                <w:sz w:val="21"/>
                <w:szCs w:val="21"/>
                <w:color w:val="auto"/>
                <w:vertAlign w:val="superscript"/>
              </w:rPr>
              <w:t>(8)</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15.0 %</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10.6 %</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8.9 %</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13.1 %</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12.8 %</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Portfolio turnover ratio</w:t>
            </w:r>
          </w:p>
        </w:tc>
        <w:tc>
          <w:tcPr>
            <w:tcW w:w="2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29.3 %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22.5 %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18.9 %</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44.9 %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Data:</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Average debt outstanding </w:t>
            </w:r>
            <w:r>
              <w:rPr>
                <w:rFonts w:ascii="Arial" w:cs="Arial" w:eastAsia="Arial" w:hAnsi="Arial"/>
                <w:sz w:val="21"/>
                <w:szCs w:val="21"/>
                <w:color w:val="auto"/>
                <w:vertAlign w:val="superscript"/>
              </w:rPr>
              <w:t>(7)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221,200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199,340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152,700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144,500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126,050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Average debt per share </w:t>
            </w:r>
            <w:r>
              <w:rPr>
                <w:rFonts w:ascii="Arial" w:cs="Arial" w:eastAsia="Arial" w:hAnsi="Arial"/>
                <w:sz w:val="21"/>
                <w:szCs w:val="21"/>
                <w:color w:val="auto"/>
                <w:vertAlign w:val="superscript"/>
              </w:rPr>
              <w:t>(1)</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-1731010</wp:posOffset>
            </wp:positionV>
            <wp:extent cx="12890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-1713865</wp:posOffset>
            </wp:positionV>
            <wp:extent cx="12890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-1731010</wp:posOffset>
            </wp:positionV>
            <wp:extent cx="12890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-1713865</wp:posOffset>
            </wp:positionV>
            <wp:extent cx="12890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-1731010</wp:posOffset>
            </wp:positionV>
            <wp:extent cx="18034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-1713865</wp:posOffset>
            </wp:positionV>
            <wp:extent cx="18034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-1731010</wp:posOffset>
            </wp:positionV>
            <wp:extent cx="12001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-1713865</wp:posOffset>
            </wp:positionV>
            <wp:extent cx="12001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-1731010</wp:posOffset>
            </wp:positionV>
            <wp:extent cx="12001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-1713865</wp:posOffset>
            </wp:positionV>
            <wp:extent cx="12001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w:t>
      </w:r>
    </w:p>
    <w:p>
      <w:pPr>
        <w:spacing w:after="0" w:line="17" w:lineRule="exact"/>
        <w:rPr>
          <w:sz w:val="20"/>
          <w:szCs w:val="20"/>
          <w:color w:val="auto"/>
        </w:rPr>
      </w:pPr>
    </w:p>
    <w:p>
      <w:pPr>
        <w:ind w:left="540" w:hanging="519"/>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Weighted average per share data.</w:t>
      </w:r>
    </w:p>
    <w:p>
      <w:pPr>
        <w:spacing w:after="0" w:line="9" w:lineRule="exact"/>
        <w:rPr>
          <w:rFonts w:ascii="Arial" w:cs="Arial" w:eastAsia="Arial" w:hAnsi="Arial"/>
          <w:sz w:val="14"/>
          <w:szCs w:val="14"/>
          <w:color w:val="auto"/>
        </w:rPr>
      </w:pPr>
    </w:p>
    <w:p>
      <w:pPr>
        <w:ind w:left="540" w:right="140" w:hanging="519"/>
        <w:spacing w:after="0" w:line="24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jc w:val="both"/>
        <w:ind w:left="540" w:right="40" w:hanging="519"/>
        <w:spacing w:after="0" w:line="234"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1" w:lineRule="exact"/>
        <w:rPr>
          <w:rFonts w:ascii="Arial" w:cs="Arial" w:eastAsia="Arial" w:hAnsi="Arial"/>
          <w:sz w:val="14"/>
          <w:szCs w:val="14"/>
          <w:color w:val="auto"/>
        </w:rPr>
      </w:pPr>
    </w:p>
    <w:p>
      <w:pPr>
        <w:ind w:left="540" w:right="40" w:hanging="519"/>
        <w:spacing w:after="0" w:line="24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total expenses to average net assets ratio is calculated using i) the "total expenses, net of income incentive fee and base management fee waiver", ii) the "income tax (provision) benefit", and iii) the "income tax (provision) benefit from realized gains on investments" captions as presented on the consolidated statements of operations.</w:t>
      </w:r>
    </w:p>
    <w:p>
      <w:pPr>
        <w:ind w:left="540" w:right="40" w:hanging="519"/>
        <w:spacing w:after="0" w:line="24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net investment income to average net assets ratio is calculated using the net investment income caption as presented on the consolidated statements of operations, which includes incentive fee.</w:t>
      </w:r>
    </w:p>
    <w:p>
      <w:pPr>
        <w:ind w:left="540" w:hanging="519"/>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Average net assets is calculated as the average of the net asset balances as of each quarter end during the fiscal year and the prior year end.</w:t>
      </w:r>
    </w:p>
    <w:p>
      <w:pPr>
        <w:spacing w:after="0" w:line="14" w:lineRule="exact"/>
        <w:rPr>
          <w:rFonts w:ascii="Arial" w:cs="Arial" w:eastAsia="Arial" w:hAnsi="Arial"/>
          <w:sz w:val="14"/>
          <w:szCs w:val="14"/>
          <w:color w:val="auto"/>
        </w:rPr>
      </w:pPr>
    </w:p>
    <w:p>
      <w:pPr>
        <w:ind w:left="540" w:hanging="519"/>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Average debt outstanding is calculated as the average of the outstanding debt balances as of each quarter end during the fiscal year and the prior year end.</w:t>
      </w:r>
    </w:p>
    <w:p>
      <w:pPr>
        <w:spacing w:after="0" w:line="14" w:lineRule="exact"/>
        <w:rPr>
          <w:rFonts w:ascii="Arial" w:cs="Arial" w:eastAsia="Arial" w:hAnsi="Arial"/>
          <w:sz w:val="14"/>
          <w:szCs w:val="14"/>
          <w:color w:val="auto"/>
        </w:rPr>
      </w:pPr>
    </w:p>
    <w:p>
      <w:pPr>
        <w:jc w:val="both"/>
        <w:ind w:left="540" w:right="20" w:hanging="519"/>
        <w:spacing w:after="0" w:line="234"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rFonts w:ascii="Arial" w:cs="Arial" w:eastAsia="Arial" w:hAnsi="Arial"/>
          <w:sz w:val="14"/>
          <w:szCs w:val="14"/>
          <w:color w:val="auto"/>
        </w:rPr>
      </w:pPr>
    </w:p>
    <w:p>
      <w:pPr>
        <w:ind w:left="540" w:right="40" w:hanging="519"/>
        <w:spacing w:after="0" w:line="24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ratio of waived incentive fees to average net assets was (0.11)% for the year ended December 31, 2020. There was no incentive fee waived for the years ended December 31, 2021, 2019 through 2012.</w:t>
      </w:r>
    </w:p>
    <w:p>
      <w:pPr>
        <w:ind w:left="540" w:hanging="519"/>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following is a schedule of supplemental expense ratios to average net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8"/>
              </w:rPr>
              <w:t>Years Ended December 31,</w:t>
            </w: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color w:val="auto"/>
              </w:rPr>
              <w:t>Ratio to average net assets:</w:t>
            </w:r>
          </w:p>
        </w:tc>
        <w:tc>
          <w:tcPr>
            <w:tcW w:w="108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r>
      <w:tr>
        <w:trPr>
          <w:trHeight w:val="189"/>
        </w:trPr>
        <w:tc>
          <w:tcPr>
            <w:tcW w:w="42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6"/>
                <w:szCs w:val="16"/>
                <w:color w:val="auto"/>
              </w:rPr>
              <w:t xml:space="preserve">Expenses other than incentive fee </w:t>
            </w:r>
            <w:r>
              <w:rPr>
                <w:rFonts w:ascii="Arial" w:cs="Arial" w:eastAsia="Arial" w:hAnsi="Arial"/>
                <w:sz w:val="21"/>
                <w:szCs w:val="21"/>
                <w:color w:val="auto"/>
                <w:vertAlign w:val="superscript"/>
              </w:rPr>
              <w:t>(4)</w:t>
            </w:r>
          </w:p>
        </w:tc>
        <w:tc>
          <w:tcPr>
            <w:tcW w:w="14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98"/>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w w:val="84"/>
              </w:rPr>
              <w:t>%</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189"/>
        </w:trPr>
        <w:tc>
          <w:tcPr>
            <w:tcW w:w="4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6"/>
                <w:szCs w:val="16"/>
                <w:color w:val="auto"/>
              </w:rPr>
              <w:t xml:space="preserve">Incentive fee, net of incentive fee waiver </w:t>
            </w:r>
            <w:r>
              <w:rPr>
                <w:rFonts w:ascii="Arial" w:cs="Arial" w:eastAsia="Arial" w:hAnsi="Arial"/>
                <w:sz w:val="21"/>
                <w:szCs w:val="21"/>
                <w:color w:val="auto"/>
                <w:vertAlign w:val="superscript"/>
              </w:rPr>
              <w:t>(4)(9)</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6.5 %</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1.7 %</w:t>
            </w: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2.7 %</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3.1 %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
        </w:trPr>
        <w:tc>
          <w:tcPr>
            <w:tcW w:w="4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83"/>
        </w:trPr>
        <w:tc>
          <w:tcPr>
            <w:tcW w:w="43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 xml:space="preserve">Total expenses </w:t>
            </w:r>
            <w:r>
              <w:rPr>
                <w:rFonts w:ascii="Arial" w:cs="Arial" w:eastAsia="Arial" w:hAnsi="Arial"/>
                <w:sz w:val="21"/>
                <w:szCs w:val="21"/>
                <w:color w:val="auto"/>
                <w:vertAlign w:val="superscript"/>
              </w:rPr>
              <w:t>(4)</w:t>
            </w:r>
          </w:p>
        </w:tc>
        <w:tc>
          <w:tcPr>
            <w:tcW w:w="144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color w:val="auto"/>
                <w:highlight w:val="white"/>
              </w:rPr>
              <w:t>%</w:t>
            </w:r>
          </w:p>
        </w:tc>
        <w:tc>
          <w:tcPr>
            <w:tcW w:w="144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color w:val="auto"/>
                <w:highlight w:val="white"/>
              </w:rPr>
              <w:t>%</w:t>
            </w:r>
          </w:p>
        </w:tc>
        <w:tc>
          <w:tcPr>
            <w:tcW w:w="138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color w:val="auto"/>
                <w:highlight w:val="white"/>
              </w:rPr>
              <w:t>%</w:t>
            </w:r>
          </w:p>
        </w:tc>
        <w:tc>
          <w:tcPr>
            <w:tcW w:w="200" w:type="dxa"/>
            <w:vAlign w:val="bottom"/>
          </w:tcPr>
          <w:p>
            <w:pPr>
              <w:spacing w:after="0"/>
              <w:rPr>
                <w:sz w:val="15"/>
                <w:szCs w:val="15"/>
                <w:color w:val="auto"/>
              </w:rPr>
            </w:pPr>
          </w:p>
        </w:tc>
        <w:tc>
          <w:tcPr>
            <w:tcW w:w="118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color w:val="auto"/>
                <w:highlight w:val="white"/>
              </w:rPr>
              <w:t>%</w:t>
            </w:r>
          </w:p>
        </w:tc>
        <w:tc>
          <w:tcPr>
            <w:tcW w:w="1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color w:val="auto"/>
                <w:highlight w:val="white"/>
              </w:rPr>
              <w:t>%</w:t>
            </w:r>
          </w:p>
        </w:tc>
      </w:tr>
      <w:tr>
        <w:trPr>
          <w:trHeight w:val="20"/>
        </w:trPr>
        <w:tc>
          <w:tcPr>
            <w:tcW w:w="4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w w:val="97"/>
              </w:rPr>
              <w:t>Years Ended December 31,</w:t>
            </w: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color w:val="auto"/>
              </w:rPr>
              <w:t>Ratio to average net assets:</w:t>
            </w: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18"/>
                <w:szCs w:val="18"/>
                <w:color w:val="auto"/>
              </w:rPr>
            </w:pPr>
          </w:p>
        </w:tc>
        <w:tc>
          <w:tcPr>
            <w:tcW w:w="1060" w:type="dxa"/>
            <w:vAlign w:val="bottom"/>
          </w:tcPr>
          <w:p>
            <w:pPr>
              <w:jc w:val="right"/>
              <w:ind w:right="297"/>
              <w:spacing w:after="0"/>
              <w:rPr>
                <w:sz w:val="20"/>
                <w:szCs w:val="20"/>
                <w:color w:val="auto"/>
              </w:rPr>
            </w:pPr>
            <w:r>
              <w:rPr>
                <w:rFonts w:ascii="Arial" w:cs="Arial" w:eastAsia="Arial" w:hAnsi="Arial"/>
                <w:sz w:val="16"/>
                <w:szCs w:val="16"/>
                <w:b w:val="1"/>
                <w:bCs w:val="1"/>
                <w:color w:val="auto"/>
              </w:rPr>
              <w:t>2012</w:t>
            </w:r>
          </w:p>
        </w:tc>
        <w:tc>
          <w:tcPr>
            <w:tcW w:w="180" w:type="dxa"/>
            <w:vAlign w:val="bottom"/>
          </w:tcPr>
          <w:p>
            <w:pPr>
              <w:spacing w:after="0"/>
              <w:rPr>
                <w:sz w:val="18"/>
                <w:szCs w:val="18"/>
                <w:color w:val="auto"/>
              </w:rPr>
            </w:pPr>
          </w:p>
        </w:tc>
      </w:tr>
      <w:tr>
        <w:trPr>
          <w:trHeight w:val="189"/>
        </w:trPr>
        <w:tc>
          <w:tcPr>
            <w:tcW w:w="42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6"/>
                <w:szCs w:val="16"/>
                <w:color w:val="auto"/>
              </w:rPr>
              <w:t xml:space="preserve">Expenses other than incentive fee </w:t>
            </w:r>
            <w:r>
              <w:rPr>
                <w:rFonts w:ascii="Arial" w:cs="Arial" w:eastAsia="Arial" w:hAnsi="Arial"/>
                <w:sz w:val="21"/>
                <w:szCs w:val="21"/>
                <w:color w:val="auto"/>
                <w:vertAlign w:val="superscript"/>
              </w:rPr>
              <w:t>(4)</w:t>
            </w:r>
          </w:p>
        </w:tc>
        <w:tc>
          <w:tcPr>
            <w:tcW w:w="14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98"/>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w w:val="84"/>
              </w:rPr>
              <w:t>%</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189"/>
        </w:trPr>
        <w:tc>
          <w:tcPr>
            <w:tcW w:w="4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6"/>
                <w:szCs w:val="16"/>
                <w:color w:val="auto"/>
              </w:rPr>
              <w:t xml:space="preserve">Incentive fee, net of incentive fee waiver </w:t>
            </w:r>
            <w:r>
              <w:rPr>
                <w:rFonts w:ascii="Arial" w:cs="Arial" w:eastAsia="Arial" w:hAnsi="Arial"/>
                <w:sz w:val="21"/>
                <w:szCs w:val="21"/>
                <w:color w:val="auto"/>
                <w:vertAlign w:val="superscript"/>
              </w:rPr>
              <w:t>(4)(9)</w:t>
            </w:r>
          </w:p>
        </w:tc>
        <w:tc>
          <w:tcPr>
            <w:tcW w:w="1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3.6 %</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2.6 %</w:t>
            </w:r>
          </w:p>
        </w:tc>
        <w:tc>
          <w:tcPr>
            <w:tcW w:w="1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2.2 %</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3.2 %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0"/>
        </w:trPr>
        <w:tc>
          <w:tcPr>
            <w:tcW w:w="4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83"/>
        </w:trPr>
        <w:tc>
          <w:tcPr>
            <w:tcW w:w="43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 xml:space="preserve">Total expenses </w:t>
            </w:r>
            <w:r>
              <w:rPr>
                <w:rFonts w:ascii="Arial" w:cs="Arial" w:eastAsia="Arial" w:hAnsi="Arial"/>
                <w:sz w:val="21"/>
                <w:szCs w:val="21"/>
                <w:color w:val="auto"/>
                <w:vertAlign w:val="superscript"/>
              </w:rPr>
              <w:t>(4)</w:t>
            </w:r>
          </w:p>
        </w:tc>
        <w:tc>
          <w:tcPr>
            <w:tcW w:w="142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color w:val="auto"/>
                <w:highlight w:val="white"/>
              </w:rPr>
              <w:t>%</w:t>
            </w:r>
          </w:p>
        </w:tc>
        <w:tc>
          <w:tcPr>
            <w:tcW w:w="144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color w:val="auto"/>
                <w:highlight w:val="white"/>
              </w:rPr>
              <w:t>%</w:t>
            </w:r>
          </w:p>
        </w:tc>
        <w:tc>
          <w:tcPr>
            <w:tcW w:w="140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color w:val="auto"/>
                <w:highlight w:val="white"/>
              </w:rPr>
              <w:t>%</w:t>
            </w:r>
          </w:p>
        </w:tc>
        <w:tc>
          <w:tcPr>
            <w:tcW w:w="180" w:type="dxa"/>
            <w:vAlign w:val="bottom"/>
          </w:tcPr>
          <w:p>
            <w:pPr>
              <w:spacing w:after="0"/>
              <w:rPr>
                <w:sz w:val="15"/>
                <w:szCs w:val="15"/>
                <w:color w:val="auto"/>
              </w:rPr>
            </w:pPr>
          </w:p>
        </w:tc>
        <w:tc>
          <w:tcPr>
            <w:tcW w:w="120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color w:val="auto"/>
                <w:highlight w:val="white"/>
              </w:rPr>
              <w:t>%</w:t>
            </w:r>
          </w:p>
        </w:tc>
        <w:tc>
          <w:tcPr>
            <w:tcW w:w="1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color w:val="auto"/>
                <w:highlight w:val="white"/>
              </w:rPr>
              <w:t>%</w:t>
            </w:r>
          </w:p>
        </w:tc>
      </w:tr>
      <w:tr>
        <w:trPr>
          <w:trHeight w:val="20"/>
        </w:trPr>
        <w:tc>
          <w:tcPr>
            <w:tcW w:w="4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101"/>
        </w:trPr>
        <w:tc>
          <w:tcPr>
            <w:tcW w:w="4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Note 11. Selected Quarterly Financial Data (unaudited)</w:t>
            </w:r>
          </w:p>
        </w:tc>
        <w:tc>
          <w:tcPr>
            <w:tcW w:w="220" w:type="dxa"/>
            <w:vAlign w:val="bottom"/>
          </w:tcPr>
          <w:p>
            <w:pPr>
              <w:spacing w:after="0"/>
              <w:rPr>
                <w:sz w:val="20"/>
                <w:szCs w:val="20"/>
                <w:color w:val="auto"/>
              </w:rPr>
            </w:pPr>
          </w:p>
        </w:tc>
        <w:tc>
          <w:tcPr>
            <w:tcW w:w="12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0"/>
              </w:rPr>
              <w:t>September 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investment income</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23,290</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21,229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24,101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11,081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6,473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5,118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2,448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increase in net assets from operations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11,538</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25,886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28,442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50,238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7"/>
                <w:szCs w:val="17"/>
                <w:color w:val="auto"/>
              </w:rPr>
              <w:t>Net investment income per share</w:t>
            </w:r>
            <w:r>
              <w:rPr>
                <w:rFonts w:ascii="Arial" w:cs="Arial" w:eastAsia="Arial" w:hAnsi="Arial"/>
                <w:sz w:val="23"/>
                <w:szCs w:val="23"/>
                <w:color w:val="auto"/>
                <w:vertAlign w:val="superscript"/>
              </w:rPr>
              <w:t>(1)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0.45</w:t>
            </w:r>
          </w:p>
        </w:tc>
        <w:tc>
          <w:tcPr>
            <w:tcW w:w="5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0.26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7"/>
                <w:szCs w:val="17"/>
                <w:color w:val="auto"/>
              </w:rPr>
              <w:t>Net increase in net assets from operations per share</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0.47</w:t>
            </w:r>
          </w:p>
        </w:tc>
        <w:tc>
          <w:tcPr>
            <w:tcW w:w="5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Net asset value per share at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16.90</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19.96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5"/>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7"/>
                <w:szCs w:val="17"/>
                <w:color w:val="auto"/>
              </w:rPr>
            </w:pPr>
          </w:p>
        </w:tc>
      </w:tr>
      <w:tr>
        <w:trPr>
          <w:trHeight w:val="221"/>
        </w:trPr>
        <w:tc>
          <w:tcPr>
            <w:tcW w:w="4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r>
      <w:tr>
        <w:trPr>
          <w:trHeight w:val="196"/>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investment income</w:t>
            </w:r>
          </w:p>
        </w:tc>
        <w:tc>
          <w:tcPr>
            <w:tcW w:w="200" w:type="dxa"/>
            <w:vAlign w:val="bottom"/>
            <w:gridSpan w:val="2"/>
            <w:shd w:val="clear" w:color="auto" w:fill="CCEEFF"/>
          </w:tcPr>
          <w:p>
            <w:pPr>
              <w:jc w:val="right"/>
              <w:ind w:right="24"/>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19,983</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20,433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21,077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23,630</w:t>
            </w:r>
          </w:p>
        </w:tc>
        <w:tc>
          <w:tcPr>
            <w:tcW w:w="220" w:type="dxa"/>
            <w:vAlign w:val="bottom"/>
            <w:shd w:val="clear" w:color="auto" w:fill="CCEEFF"/>
          </w:tcPr>
          <w:p>
            <w:pPr>
              <w:spacing w:after="0"/>
              <w:rPr>
                <w:sz w:val="17"/>
                <w:szCs w:val="17"/>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Net investment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17,417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9,291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6,902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6,038</w:t>
            </w:r>
          </w:p>
        </w:tc>
        <w:tc>
          <w:tcPr>
            <w:tcW w:w="220" w:type="dxa"/>
            <w:vAlign w:val="bottom"/>
          </w:tcPr>
          <w:p>
            <w:pPr>
              <w:spacing w:after="0"/>
              <w:rPr>
                <w:sz w:val="17"/>
                <w:szCs w:val="17"/>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increase in net assets from operations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(26,971 )</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20,707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29,517</w:t>
            </w:r>
          </w:p>
        </w:tc>
        <w:tc>
          <w:tcPr>
            <w:tcW w:w="220" w:type="dxa"/>
            <w:vAlign w:val="bottom"/>
            <w:shd w:val="clear" w:color="auto" w:fill="CCEEFF"/>
          </w:tcPr>
          <w:p>
            <w:pPr>
              <w:spacing w:after="0"/>
              <w:rPr>
                <w:sz w:val="17"/>
                <w:szCs w:val="17"/>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7"/>
                <w:szCs w:val="17"/>
                <w:color w:val="auto"/>
              </w:rPr>
              <w:t>Net investment income per share</w:t>
            </w:r>
            <w:r>
              <w:rPr>
                <w:rFonts w:ascii="Arial" w:cs="Arial" w:eastAsia="Arial" w:hAnsi="Arial"/>
                <w:sz w:val="23"/>
                <w:szCs w:val="23"/>
                <w:color w:val="auto"/>
                <w:vertAlign w:val="superscript"/>
              </w:rPr>
              <w:t>(1)</w:t>
            </w:r>
          </w:p>
        </w:tc>
        <w:tc>
          <w:tcPr>
            <w:tcW w:w="200" w:type="dxa"/>
            <w:vAlign w:val="bottom"/>
            <w:gridSpan w:val="2"/>
          </w:tcPr>
          <w:p>
            <w:pPr>
              <w:jc w:val="right"/>
              <w:ind w:right="24"/>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0.71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0.28</w:t>
            </w:r>
          </w:p>
        </w:tc>
        <w:tc>
          <w:tcPr>
            <w:tcW w:w="3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220" w:type="dxa"/>
            <w:vAlign w:val="bottom"/>
          </w:tcPr>
          <w:p>
            <w:pPr>
              <w:spacing w:after="0"/>
              <w:rPr>
                <w:sz w:val="17"/>
                <w:szCs w:val="17"/>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7"/>
                <w:szCs w:val="17"/>
                <w:color w:val="auto"/>
              </w:rPr>
              <w:t>Net increase in net assets from operations per share</w:t>
            </w:r>
            <w:r>
              <w:rPr>
                <w:rFonts w:ascii="Arial" w:cs="Arial" w:eastAsia="Arial" w:hAnsi="Arial"/>
                <w:sz w:val="23"/>
                <w:szCs w:val="23"/>
                <w:color w:val="auto"/>
                <w:vertAlign w:val="superscript"/>
              </w:rPr>
              <w:t>(1)</w:t>
            </w:r>
          </w:p>
        </w:tc>
        <w:tc>
          <w:tcPr>
            <w:tcW w:w="200" w:type="dxa"/>
            <w:vAlign w:val="bottom"/>
            <w:gridSpan w:val="2"/>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(1.10 )</w:t>
            </w:r>
          </w:p>
        </w:tc>
        <w:tc>
          <w:tcPr>
            <w:tcW w:w="26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0.85</w:t>
            </w:r>
          </w:p>
        </w:tc>
        <w:tc>
          <w:tcPr>
            <w:tcW w:w="36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7"/>
                <w:szCs w:val="17"/>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Net asset value per share at end of period</w:t>
            </w:r>
          </w:p>
        </w:tc>
        <w:tc>
          <w:tcPr>
            <w:tcW w:w="200" w:type="dxa"/>
            <w:vAlign w:val="bottom"/>
            <w:gridSpan w:val="2"/>
          </w:tcPr>
          <w:p>
            <w:pPr>
              <w:jc w:val="right"/>
              <w:ind w:right="24"/>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79"/>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15.94</w:t>
            </w:r>
          </w:p>
        </w:tc>
        <w:tc>
          <w:tcPr>
            <w:tcW w:w="3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16.81</w:t>
            </w:r>
          </w:p>
        </w:tc>
        <w:tc>
          <w:tcPr>
            <w:tcW w:w="220" w:type="dxa"/>
            <w:vAlign w:val="bottom"/>
          </w:tcPr>
          <w:p>
            <w:pPr>
              <w:spacing w:after="0"/>
              <w:rPr>
                <w:sz w:val="20"/>
                <w:szCs w:val="20"/>
                <w:color w:val="auto"/>
              </w:rPr>
            </w:pPr>
          </w:p>
        </w:tc>
      </w:tr>
      <w:tr>
        <w:trPr>
          <w:trHeight w:val="309"/>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5"/>
              </w:rPr>
              <w:t>September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December 31,</w:t>
            </w:r>
          </w:p>
        </w:tc>
        <w:tc>
          <w:tcPr>
            <w:tcW w:w="220" w:type="dxa"/>
            <w:vAlign w:val="bottom"/>
          </w:tcPr>
          <w:p>
            <w:pPr>
              <w:spacing w:after="0"/>
              <w:rPr>
                <w:sz w:val="24"/>
                <w:szCs w:val="24"/>
                <w:color w:val="auto"/>
              </w:rPr>
            </w:pPr>
          </w:p>
        </w:tc>
      </w:tr>
      <w:tr>
        <w:trPr>
          <w:trHeight w:val="203"/>
        </w:trPr>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Pr>
          <w:p>
            <w:pPr>
              <w:spacing w:after="0"/>
              <w:rPr>
                <w:sz w:val="17"/>
                <w:szCs w:val="17"/>
                <w:color w:val="auto"/>
              </w:rPr>
            </w:pPr>
          </w:p>
        </w:tc>
      </w:tr>
      <w:tr>
        <w:trPr>
          <w:trHeight w:val="183"/>
        </w:trPr>
        <w:tc>
          <w:tcPr>
            <w:tcW w:w="468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investment income</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20,330</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18,068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19,201</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19,507</w:t>
            </w:r>
          </w:p>
        </w:tc>
        <w:tc>
          <w:tcPr>
            <w:tcW w:w="220" w:type="dxa"/>
            <w:vAlign w:val="bottom"/>
            <w:shd w:val="clear" w:color="auto" w:fill="CCEEFF"/>
          </w:tcPr>
          <w:p>
            <w:pPr>
              <w:spacing w:after="0"/>
              <w:rPr>
                <w:sz w:val="15"/>
                <w:szCs w:val="15"/>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9,599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9,643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7,362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5,365</w:t>
            </w:r>
          </w:p>
        </w:tc>
        <w:tc>
          <w:tcPr>
            <w:tcW w:w="220" w:type="dxa"/>
            <w:vAlign w:val="bottom"/>
          </w:tcPr>
          <w:p>
            <w:pPr>
              <w:spacing w:after="0"/>
              <w:rPr>
                <w:sz w:val="16"/>
                <w:szCs w:val="16"/>
                <w:color w:val="auto"/>
              </w:rPr>
            </w:pPr>
          </w:p>
        </w:tc>
      </w:tr>
      <w:tr>
        <w:trPr>
          <w:trHeight w:val="189"/>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net assets from operations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11,372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3,202</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19,997</w:t>
            </w:r>
          </w:p>
        </w:tc>
        <w:tc>
          <w:tcPr>
            <w:tcW w:w="220" w:type="dxa"/>
            <w:vAlign w:val="bottom"/>
            <w:shd w:val="clear" w:color="auto" w:fill="CCEEFF"/>
          </w:tcPr>
          <w:p>
            <w:pPr>
              <w:spacing w:after="0"/>
              <w:rPr>
                <w:sz w:val="16"/>
                <w:szCs w:val="16"/>
                <w:color w:val="auto"/>
              </w:rPr>
            </w:pPr>
          </w:p>
        </w:tc>
      </w:tr>
      <w:tr>
        <w:trPr>
          <w:trHeight w:val="189"/>
        </w:trPr>
        <w:tc>
          <w:tcPr>
            <w:tcW w:w="4680" w:type="dxa"/>
            <w:vAlign w:val="bottom"/>
          </w:tcPr>
          <w:p>
            <w:pPr>
              <w:ind w:left="20"/>
              <w:spacing w:after="0" w:line="189" w:lineRule="exact"/>
              <w:rPr>
                <w:sz w:val="20"/>
                <w:szCs w:val="20"/>
                <w:color w:val="auto"/>
              </w:rPr>
            </w:pPr>
            <w:r>
              <w:rPr>
                <w:rFonts w:ascii="Arial" w:cs="Arial" w:eastAsia="Arial" w:hAnsi="Arial"/>
                <w:sz w:val="16"/>
                <w:szCs w:val="16"/>
                <w:color w:val="auto"/>
              </w:rPr>
              <w:t>Net investment income per share</w:t>
            </w:r>
            <w:r>
              <w:rPr>
                <w:rFonts w:ascii="Arial" w:cs="Arial" w:eastAsia="Arial" w:hAnsi="Arial"/>
                <w:sz w:val="21"/>
                <w:szCs w:val="21"/>
                <w:color w:val="auto"/>
                <w:vertAlign w:val="superscript"/>
              </w:rPr>
              <w:t>(1)</w:t>
            </w:r>
          </w:p>
        </w:tc>
        <w:tc>
          <w:tcPr>
            <w:tcW w:w="200" w:type="dxa"/>
            <w:vAlign w:val="bottom"/>
            <w:gridSpan w:val="2"/>
          </w:tcPr>
          <w:p>
            <w:pPr>
              <w:jc w:val="right"/>
              <w:ind w:right="24"/>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0.39</w:t>
            </w:r>
          </w:p>
        </w:tc>
        <w:tc>
          <w:tcPr>
            <w:tcW w:w="220" w:type="dxa"/>
            <w:vAlign w:val="bottom"/>
          </w:tcPr>
          <w:p>
            <w:pPr>
              <w:spacing w:after="0"/>
              <w:rPr>
                <w:sz w:val="16"/>
                <w:szCs w:val="16"/>
                <w:color w:val="auto"/>
              </w:rPr>
            </w:pP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0.39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0.31</w:t>
            </w:r>
          </w:p>
        </w:tc>
        <w:tc>
          <w:tcPr>
            <w:tcW w:w="20" w:type="dxa"/>
            <w:vAlign w:val="bottom"/>
          </w:tcPr>
          <w:p>
            <w:pPr>
              <w:spacing w:after="0"/>
              <w:rPr>
                <w:sz w:val="16"/>
                <w:szCs w:val="16"/>
                <w:color w:val="auto"/>
              </w:rPr>
            </w:pPr>
          </w:p>
        </w:tc>
        <w:tc>
          <w:tcPr>
            <w:tcW w:w="36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0.22</w:t>
            </w:r>
          </w:p>
        </w:tc>
        <w:tc>
          <w:tcPr>
            <w:tcW w:w="220" w:type="dxa"/>
            <w:vAlign w:val="bottom"/>
          </w:tcPr>
          <w:p>
            <w:pPr>
              <w:spacing w:after="0"/>
              <w:rPr>
                <w:sz w:val="16"/>
                <w:szCs w:val="16"/>
                <w:color w:val="auto"/>
              </w:rPr>
            </w:pPr>
          </w:p>
        </w:tc>
      </w:tr>
      <w:tr>
        <w:trPr>
          <w:trHeight w:val="189"/>
        </w:trPr>
        <w:tc>
          <w:tcPr>
            <w:tcW w:w="4680" w:type="dxa"/>
            <w:vAlign w:val="bottom"/>
            <w:shd w:val="clear" w:color="auto" w:fill="CCEEFF"/>
          </w:tcPr>
          <w:p>
            <w:pPr>
              <w:ind w:left="20"/>
              <w:spacing w:after="0" w:line="189" w:lineRule="exact"/>
              <w:rPr>
                <w:sz w:val="20"/>
                <w:szCs w:val="20"/>
                <w:color w:val="auto"/>
              </w:rPr>
            </w:pPr>
            <w:r>
              <w:rPr>
                <w:rFonts w:ascii="Arial" w:cs="Arial" w:eastAsia="Arial" w:hAnsi="Arial"/>
                <w:sz w:val="16"/>
                <w:szCs w:val="16"/>
                <w:color w:val="auto"/>
              </w:rPr>
              <w:t>Net increase in net assets from operations per share</w:t>
            </w:r>
            <w:r>
              <w:rPr>
                <w:rFonts w:ascii="Arial" w:cs="Arial" w:eastAsia="Arial" w:hAnsi="Arial"/>
                <w:sz w:val="21"/>
                <w:szCs w:val="21"/>
                <w:color w:val="auto"/>
                <w:vertAlign w:val="superscript"/>
              </w:rPr>
              <w:t>(1)</w:t>
            </w:r>
          </w:p>
        </w:tc>
        <w:tc>
          <w:tcPr>
            <w:tcW w:w="2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220" w:type="dxa"/>
            <w:vAlign w:val="bottom"/>
            <w:shd w:val="clear" w:color="auto" w:fill="CCEEFF"/>
          </w:tcPr>
          <w:p>
            <w:pPr>
              <w:spacing w:after="0"/>
              <w:rPr>
                <w:sz w:val="16"/>
                <w:szCs w:val="16"/>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6"/>
                <w:szCs w:val="16"/>
                <w:color w:val="auto"/>
              </w:rPr>
              <w:t>Net asset value per share at end of period</w:t>
            </w:r>
          </w:p>
        </w:tc>
        <w:tc>
          <w:tcPr>
            <w:tcW w:w="200" w:type="dxa"/>
            <w:vAlign w:val="bottom"/>
            <w:gridSpan w:val="2"/>
          </w:tcPr>
          <w:p>
            <w:pPr>
              <w:jc w:val="right"/>
              <w:ind w:right="24"/>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16.55</w:t>
            </w:r>
          </w:p>
        </w:tc>
        <w:tc>
          <w:tcPr>
            <w:tcW w:w="220" w:type="dxa"/>
            <w:vAlign w:val="bottom"/>
          </w:tcPr>
          <w:p>
            <w:pPr>
              <w:spacing w:after="0"/>
              <w:rPr>
                <w:sz w:val="17"/>
                <w:szCs w:val="17"/>
                <w:color w:val="auto"/>
              </w:rPr>
            </w:pP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16.29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16.47</w:t>
            </w:r>
          </w:p>
        </w:tc>
        <w:tc>
          <w:tcPr>
            <w:tcW w:w="20" w:type="dxa"/>
            <w:vAlign w:val="bottom"/>
          </w:tcPr>
          <w:p>
            <w:pPr>
              <w:spacing w:after="0"/>
              <w:rPr>
                <w:sz w:val="17"/>
                <w:szCs w:val="17"/>
                <w:color w:val="auto"/>
              </w:rPr>
            </w:pPr>
          </w:p>
        </w:tc>
        <w:tc>
          <w:tcPr>
            <w:tcW w:w="36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16.85</w:t>
            </w:r>
          </w:p>
        </w:tc>
        <w:tc>
          <w:tcPr>
            <w:tcW w:w="220" w:type="dxa"/>
            <w:vAlign w:val="bottom"/>
          </w:tcPr>
          <w:p>
            <w:pPr>
              <w:spacing w:after="0"/>
              <w:rPr>
                <w:sz w:val="17"/>
                <w:szCs w:val="17"/>
                <w:color w:val="auto"/>
              </w:rPr>
            </w:pPr>
          </w:p>
        </w:tc>
      </w:tr>
    </w:tbl>
    <w:p>
      <w:pPr>
        <w:ind w:left="360" w:right="20" w:hanging="339"/>
        <w:spacing w:after="0" w:line="237"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Per share amounts are calculated using the weighted average shares outstanding for the period. Due to rounding, the sum of the quarters may not equal the annual calculation on a per share basis.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81"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7"/>
          <w:szCs w:val="17"/>
          <w:color w:val="auto"/>
        </w:rPr>
        <w:t>The Company has elected to be treated for federal income tax purposes as a RIC, whereby the Company generally will not pay corporate-level federal income taxes on any net ordinary income or capital gains that the Company distributes to its stockholders as dividends. The Company must generally distribute at least 90% of its investment company taxable income to maintain its RIC status. As part of maintaining RIC status, undistributed taxable income pertaining to a given fiscal year may be distributed up to 12 months subsequent to the end of that fiscal year, provided such dividends are declared prior to the due date for filing of the federal income tax return (including extensions) for the prior year, the 15th day of the 10th month following the prior tax year. Such taxable income carried forward to the next tax year will be subject to excise tax equal to 4% of the amount by which (i) 98% of the Company’s ordinary income recognized during a calendar year and (ii) 98.2% of the Company’s long term capital gains, as defined by Subchapter M of the Code, recognized for the one year period ending October 31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of a calendar year exceeds the respective distributions for the year. Excise tax is included as a component of income tax provision and income tax (provision) on realized gains on investments, depending on the character of the underlying taxable income (ordinary or capital gains), on the consolidated statements of operations.</w:t>
      </w:r>
    </w:p>
    <w:p>
      <w:pPr>
        <w:spacing w:after="0" w:line="138" w:lineRule="exact"/>
        <w:rPr>
          <w:sz w:val="20"/>
          <w:szCs w:val="20"/>
          <w:color w:val="auto"/>
        </w:rPr>
      </w:pPr>
    </w:p>
    <w:p>
      <w:pPr>
        <w:jc w:val="both"/>
        <w:ind w:firstLine="478"/>
        <w:spacing w:after="0" w:line="250" w:lineRule="auto"/>
        <w:rPr>
          <w:sz w:val="20"/>
          <w:szCs w:val="20"/>
          <w:color w:val="auto"/>
        </w:rPr>
      </w:pPr>
      <w:r>
        <w:rPr>
          <w:rFonts w:ascii="Arial" w:cs="Arial" w:eastAsia="Arial" w:hAnsi="Arial"/>
          <w:sz w:val="17"/>
          <w:szCs w:val="17"/>
          <w:color w:val="auto"/>
        </w:rPr>
        <w:t>The Taxable Subsidiaries hold certain portfolio investments for the Company. The Taxable Subsidiaries are consolidated for financial reporting purposes, and the portfolio investments held by the Taxable Subsidiaries are included in the Company’s consolidated financial statements. The principal purpose of the Taxable Subsidiaries is to permit the Company to hold equity investments in portfolio companies which are “pass through” entities for federal income tax purposes in order to comply with the “source-of-income” requirements contained in the RIC tax provisions of Subchapter M of the Code. The Taxable Subsidiaries are not consolidated with the Company for U.S. federal corporate income tax purposes, and each Taxable Subsidiary is subject to U.S. federal corporate income tax on its taxable income. The Taxable Subsidiaries are taxed as corporations and do not intend to qualify as a RIC pursuant to Subchapter M of the Code. As corporations, the Taxable Subsidiaries are obligated to pay federal, state and local income tax on taxable income, as applicable. Income earned and gains realized on the investment or investments held by the Taxable Subsidiary are taxable to such subsidiary. A tax provision for ordinary income, if any, is shown as income tax provision in the Consolidated Statements of Operations of the Company. A tax provision for realized and unrealized gains on investments is included as a reduction of realized and unrealized gains (losses) on investments in the Consolidated Statements of Operations of the Company. For the years ended December 31, 2021, 2020, and 2019, the Taxable Subsidiaries were subject to a 21% federal income tax rate. The Company classifies interest and penalties,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0" w:name="page121"/>
    <w:bookmarkEnd w:id="120"/>
    <w:p>
      <w:pPr>
        <w:jc w:val="both"/>
        <w:spacing w:after="0" w:line="243" w:lineRule="auto"/>
        <w:rPr>
          <w:sz w:val="20"/>
          <w:szCs w:val="20"/>
          <w:color w:val="auto"/>
        </w:rPr>
      </w:pPr>
      <w:r>
        <w:rPr>
          <w:rFonts w:ascii="Arial" w:cs="Arial" w:eastAsia="Arial" w:hAnsi="Arial"/>
          <w:sz w:val="18"/>
          <w:szCs w:val="18"/>
          <w:color w:val="auto"/>
        </w:rPr>
        <w:t>if any, as a component of income tax provision on the consolidated statements of operations. Income tax expense at the Taxable Subsidiaries is included as a component of the income tax provisions, depending on the character of the underlying taxable income (ordinary or capital gains), on the consolidated statements of operations. For the years ended December 31, 2021, 2020, and 2019, income tax expense at the Taxable Subsidiaries was $1,827, $628, and $233, respectively.</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and the Taxable Subsidiaries are also subject to various state and local income taxes.</w:t>
      </w:r>
    </w:p>
    <w:p>
      <w:pPr>
        <w:spacing w:after="0" w:line="158"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7"/>
          <w:szCs w:val="17"/>
          <w:color w:val="auto"/>
        </w:rPr>
        <w:t>The following table is a reconciliation of net increase in net assets resulting from operations on the consolidated statements of operations to taxable income and to total distributions declared to common stockholders for the years ended December 31, 2021, 2020, and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xml:space="preserve">2021 </w:t>
            </w:r>
            <w:r>
              <w:rPr>
                <w:rFonts w:ascii="Arial" w:cs="Arial" w:eastAsia="Arial" w:hAnsi="Arial"/>
                <w:sz w:val="21"/>
                <w:szCs w:val="21"/>
                <w:b w:val="1"/>
                <w:bCs w:val="1"/>
                <w:color w:val="auto"/>
                <w:vertAlign w:val="superscript"/>
              </w:rPr>
              <w:t>(1)</w:t>
            </w:r>
          </w:p>
        </w:tc>
        <w:tc>
          <w:tcPr>
            <w:tcW w:w="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2"/>
                <w:szCs w:val="22"/>
                <w:color w:val="auto"/>
              </w:rPr>
            </w:pP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net assets resulting from operations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116,104</w:t>
            </w: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31,226</w:t>
            </w: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48,466</w:t>
            </w:r>
          </w:p>
        </w:tc>
        <w:tc>
          <w:tcPr>
            <w:tcW w:w="80" w:type="dxa"/>
            <w:vAlign w:val="bottom"/>
            <w:shd w:val="clear" w:color="auto" w:fill="CCEEFF"/>
          </w:tcPr>
          <w:p>
            <w:pPr>
              <w:spacing w:after="0"/>
              <w:rPr>
                <w:sz w:val="16"/>
                <w:szCs w:val="16"/>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6"/>
                <w:szCs w:val="16"/>
                <w:color w:val="auto"/>
              </w:rPr>
              <w:t>Net change in unrealized (appreciation) depreciation on investments</w:t>
            </w:r>
          </w:p>
        </w:tc>
        <w:tc>
          <w:tcPr>
            <w:tcW w:w="26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(41,496 )</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6,578</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(18,188 )</w:t>
            </w: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Permanent book income and tax income differences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80" w:type="dxa"/>
            <w:vAlign w:val="bottom"/>
            <w:shd w:val="clear" w:color="auto" w:fill="CCEEFF"/>
          </w:tcPr>
          <w:p>
            <w:pPr>
              <w:spacing w:after="0"/>
              <w:rPr>
                <w:sz w:val="16"/>
                <w:szCs w:val="16"/>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6"/>
                <w:szCs w:val="16"/>
                <w:color w:val="auto"/>
              </w:rPr>
              <w:t>Temporary book income and tax income differences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4,599</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(5,091 )</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6,439</w:t>
            </w:r>
          </w:p>
        </w:tc>
        <w:tc>
          <w:tcPr>
            <w:tcW w:w="80" w:type="dxa"/>
            <w:vAlign w:val="bottom"/>
          </w:tcPr>
          <w:p>
            <w:pPr>
              <w:spacing w:after="0"/>
              <w:rPr>
                <w:sz w:val="16"/>
                <w:szCs w:val="16"/>
                <w:color w:val="auto"/>
              </w:rPr>
            </w:pP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loss carry forward (utilization)</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(25,024 )</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w:t>
            </w: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80" w:type="dxa"/>
            <w:vAlign w:val="bottom"/>
            <w:shd w:val="clear" w:color="auto" w:fill="CCEEFF"/>
          </w:tcPr>
          <w:p>
            <w:pPr>
              <w:spacing w:after="0"/>
              <w:rPr>
                <w:sz w:val="16"/>
                <w:szCs w:val="16"/>
                <w:color w:val="auto"/>
              </w:rPr>
            </w:pPr>
          </w:p>
        </w:tc>
      </w:tr>
      <w:tr>
        <w:trPr>
          <w:trHeight w:val="183"/>
        </w:trPr>
        <w:tc>
          <w:tcPr>
            <w:tcW w:w="6760" w:type="dxa"/>
            <w:vAlign w:val="bottom"/>
            <w:tcBorders>
              <w:top w:val="single" w:sz="8" w:color="CCEEFF"/>
            </w:tcBorders>
          </w:tcPr>
          <w:p>
            <w:pPr>
              <w:ind w:left="20"/>
              <w:spacing w:after="0" w:line="183" w:lineRule="exact"/>
              <w:rPr>
                <w:sz w:val="20"/>
                <w:szCs w:val="20"/>
                <w:color w:val="auto"/>
              </w:rPr>
            </w:pPr>
            <w:r>
              <w:rPr>
                <w:rFonts w:ascii="Arial" w:cs="Arial" w:eastAsia="Arial" w:hAnsi="Arial"/>
                <w:sz w:val="16"/>
                <w:szCs w:val="16"/>
                <w:color w:val="auto"/>
              </w:rPr>
              <w:t>Taxable income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56,359</w:t>
            </w:r>
          </w:p>
        </w:tc>
        <w:tc>
          <w:tcPr>
            <w:tcW w:w="3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37,908</w:t>
            </w:r>
          </w:p>
        </w:tc>
        <w:tc>
          <w:tcPr>
            <w:tcW w:w="3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38,939</w:t>
            </w:r>
          </w:p>
        </w:tc>
        <w:tc>
          <w:tcPr>
            <w:tcW w:w="80" w:type="dxa"/>
            <w:vAlign w:val="bottom"/>
            <w:tcBorders>
              <w:top w:val="single" w:sz="8" w:color="CCEEFF"/>
            </w:tcBorders>
          </w:tcPr>
          <w:p>
            <w:pPr>
              <w:spacing w:after="0"/>
              <w:rPr>
                <w:sz w:val="15"/>
                <w:szCs w:val="15"/>
                <w:color w:val="auto"/>
              </w:rPr>
            </w:pP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Taxable income earned in prior year and carried forward for distribution in current year</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20,832</w:t>
            </w: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15,432</w:t>
            </w: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15,634</w:t>
            </w:r>
          </w:p>
        </w:tc>
        <w:tc>
          <w:tcPr>
            <w:tcW w:w="80" w:type="dxa"/>
            <w:vAlign w:val="bottom"/>
            <w:shd w:val="clear" w:color="auto" w:fill="CCEEFF"/>
          </w:tcPr>
          <w:p>
            <w:pPr>
              <w:spacing w:after="0"/>
              <w:rPr>
                <w:sz w:val="16"/>
                <w:szCs w:val="16"/>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6"/>
                <w:szCs w:val="16"/>
                <w:color w:val="auto"/>
              </w:rPr>
              <w:t>Taxable Subsidiaries liquidating distributions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Taxable income earned in current period and carried forward for distribution in following year</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(38,091 )</w:t>
            </w: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(20,832 )</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(15,432 )</w:t>
            </w:r>
          </w:p>
        </w:tc>
      </w:tr>
      <w:tr>
        <w:trPr>
          <w:trHeight w:val="183"/>
        </w:trPr>
        <w:tc>
          <w:tcPr>
            <w:tcW w:w="6760" w:type="dxa"/>
            <w:vAlign w:val="bottom"/>
            <w:tcBorders>
              <w:top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distributions to common stockholders</w:t>
            </w:r>
          </w:p>
        </w:tc>
        <w:tc>
          <w:tcPr>
            <w:tcW w:w="26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39,100</w:t>
            </w:r>
          </w:p>
        </w:tc>
        <w:tc>
          <w:tcPr>
            <w:tcW w:w="38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32,508</w:t>
            </w:r>
          </w:p>
        </w:tc>
        <w:tc>
          <w:tcPr>
            <w:tcW w:w="38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39,141</w:t>
            </w:r>
          </w:p>
        </w:tc>
        <w:tc>
          <w:tcPr>
            <w:tcW w:w="80" w:type="dxa"/>
            <w:vAlign w:val="bottom"/>
            <w:tcBorders>
              <w:top w:val="single" w:sz="8" w:color="CCEEFF"/>
            </w:tcBorders>
          </w:tcPr>
          <w:p>
            <w:pPr>
              <w:spacing w:after="0"/>
              <w:rPr>
                <w:sz w:val="15"/>
                <w:szCs w:val="15"/>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-639445</wp:posOffset>
            </wp:positionV>
            <wp:extent cx="51435" cy="12573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-639445</wp:posOffset>
            </wp:positionV>
            <wp:extent cx="51435" cy="12573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-639445</wp:posOffset>
            </wp:positionV>
            <wp:extent cx="51435" cy="12573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-150495</wp:posOffset>
            </wp:positionV>
            <wp:extent cx="51435" cy="15113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1435" cy="15113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-150495</wp:posOffset>
            </wp:positionV>
            <wp:extent cx="51435" cy="15113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1435" cy="15113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15113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1435" cy="151130"/>
                    </a:xfrm>
                    <a:prstGeom prst="rect">
                      <a:avLst/>
                    </a:prstGeom>
                    <a:noFill/>
                  </pic:spPr>
                </pic:pic>
              </a:graphicData>
            </a:graphic>
          </wp:anchor>
        </w:drawing>
      </w:r>
    </w:p>
    <w:p>
      <w:pPr>
        <w:ind w:left="480" w:right="260" w:hanging="344"/>
        <w:spacing w:after="0" w:line="290" w:lineRule="auto"/>
        <w:tabs>
          <w:tab w:leader="none" w:pos="4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Company’s taxable income for 2021 is an estimate and will not be finalized until the Company files its 2021 federal income tax returns in 2022. Therefore, the Company’s actual taxable income, and the Company’s actual taxable income that was earned in 2021 and carried forward for distribution in 2022, may be different than this estimate.</w:t>
      </w:r>
    </w:p>
    <w:p>
      <w:pPr>
        <w:spacing w:after="0" w:line="116"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For tax purposes, distributions paid to stockholders are reported as ordinary income, long term capital gains and return of capital, or a combination thereof. The tax character of distributions paid for the years ended December 31, 2021, 2020, and 2019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9"/>
                <w:szCs w:val="19"/>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6"/>
                <w:szCs w:val="16"/>
                <w:color w:val="auto"/>
              </w:rPr>
              <w:t>Ordinary income</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39,100</w:t>
            </w:r>
          </w:p>
        </w:tc>
        <w:tc>
          <w:tcPr>
            <w:tcW w:w="380" w:type="dxa"/>
            <w:vAlign w:val="bottom"/>
          </w:tcPr>
          <w:p>
            <w:pPr>
              <w:spacing w:after="0"/>
              <w:rPr>
                <w:sz w:val="16"/>
                <w:szCs w:val="16"/>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32,508</w:t>
            </w:r>
          </w:p>
        </w:tc>
        <w:tc>
          <w:tcPr>
            <w:tcW w:w="360" w:type="dxa"/>
            <w:vAlign w:val="bottom"/>
          </w:tcPr>
          <w:p>
            <w:pPr>
              <w:spacing w:after="0"/>
              <w:rPr>
                <w:sz w:val="16"/>
                <w:szCs w:val="16"/>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39,141</w:t>
            </w:r>
          </w:p>
        </w:tc>
        <w:tc>
          <w:tcPr>
            <w:tcW w:w="60" w:type="dxa"/>
            <w:vAlign w:val="bottom"/>
          </w:tcPr>
          <w:p>
            <w:pPr>
              <w:spacing w:after="0"/>
              <w:rPr>
                <w:sz w:val="16"/>
                <w:szCs w:val="16"/>
                <w:color w:val="auto"/>
              </w:rPr>
            </w:pP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 term capital gains</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6"/>
                <w:szCs w:val="16"/>
                <w:color w:val="auto"/>
              </w:rPr>
              <w:t>Return of capital</w:t>
            </w: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223"/>
        </w:trPr>
        <w:tc>
          <w:tcPr>
            <w:tcW w:w="676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distributions to common stockholders</w:t>
            </w:r>
          </w:p>
        </w:tc>
        <w:tc>
          <w:tcPr>
            <w:tcW w:w="800" w:type="dxa"/>
            <w:vAlign w:val="bottom"/>
            <w:tcBorders>
              <w:bottom w:val="single" w:sz="8" w:color="auto"/>
            </w:tcBorders>
            <w:shd w:val="clear" w:color="auto" w:fill="CCEEFF"/>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5"/>
              </w:rPr>
              <w:t>39,100</w:t>
            </w:r>
          </w:p>
        </w:tc>
        <w:tc>
          <w:tcPr>
            <w:tcW w:w="3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2"/>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32,508</w:t>
            </w:r>
          </w:p>
        </w:tc>
        <w:tc>
          <w:tcPr>
            <w:tcW w:w="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2"/>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39,141</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431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431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342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342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8" w:lineRule="exact"/>
        <w:rPr>
          <w:sz w:val="20"/>
          <w:szCs w:val="20"/>
          <w:color w:val="auto"/>
        </w:rPr>
      </w:pPr>
    </w:p>
    <w:p>
      <w:pPr>
        <w:jc w:val="both"/>
        <w:ind w:firstLine="478"/>
        <w:spacing w:after="0" w:line="284" w:lineRule="auto"/>
        <w:rPr>
          <w:sz w:val="20"/>
          <w:szCs w:val="20"/>
          <w:color w:val="auto"/>
        </w:rPr>
      </w:pPr>
      <w:r>
        <w:rPr>
          <w:rFonts w:ascii="Arial" w:cs="Arial" w:eastAsia="Arial" w:hAnsi="Arial"/>
          <w:sz w:val="16"/>
          <w:szCs w:val="16"/>
          <w:color w:val="auto"/>
        </w:rPr>
        <w:t>The Company estimates that it generated undistributed ordinary taxable income of approximately $18,175, or $0.74 per share, and undistributed long term capital gains of $19,916, or $0.82 per share, during 2021 that will be carried forward and distributed in 2022. Ordinary dividend distributions from a RIC do not qualify for the preferential federal income tax rate on dividend income from certain domestic corporations and qualified foreign corporations, except to the extent that the RIC received the income in the form of qualifying dividends from domestic corporations and qualified foreign corporations.</w:t>
      </w:r>
    </w:p>
    <w:p>
      <w:pPr>
        <w:spacing w:after="0" w:line="101"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color w:val="auto"/>
        </w:rPr>
        <w:t>The Company may distribute a portion of its realized net long term capital gains in excess of realized net short term capital losses to its stockholders, but may also decide to retain a portion, or all, of its net capital gains and elect to make a “deemed distribution” to its stockholders. For the years ended December 31, 2021, 2020, and 2019, the Company did not elect to designate retained net capital gains as a deemed distribution.</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2021 and 2020, the tax basis components of distributable earnings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w w:val="94"/>
              </w:rPr>
              <w:t>December 31,</w:t>
            </w:r>
          </w:p>
        </w:tc>
        <w:tc>
          <w:tcPr>
            <w:tcW w:w="18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2"/>
              </w:rPr>
              <w:t>December 31,</w:t>
            </w:r>
          </w:p>
        </w:tc>
      </w:tr>
      <w:tr>
        <w:trPr>
          <w:trHeight w:val="250"/>
        </w:trPr>
        <w:tc>
          <w:tcPr>
            <w:tcW w:w="7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9"/>
              <w:spacing w:after="0" w:line="230" w:lineRule="exact"/>
              <w:rPr>
                <w:sz w:val="20"/>
                <w:szCs w:val="20"/>
                <w:color w:val="auto"/>
              </w:rPr>
            </w:pPr>
            <w:r>
              <w:rPr>
                <w:rFonts w:ascii="Arial" w:cs="Arial" w:eastAsia="Arial" w:hAnsi="Arial"/>
                <w:sz w:val="16"/>
                <w:szCs w:val="16"/>
                <w:b w:val="1"/>
                <w:bCs w:val="1"/>
                <w:color w:val="auto"/>
              </w:rPr>
              <w:t xml:space="preserve">2021 </w:t>
            </w:r>
            <w:r>
              <w:rPr>
                <w:rFonts w:ascii="Arial" w:cs="Arial" w:eastAsia="Arial" w:hAnsi="Arial"/>
                <w:sz w:val="21"/>
                <w:szCs w:val="21"/>
                <w:b w:val="1"/>
                <w:bCs w:val="1"/>
                <w:color w:val="auto"/>
                <w:vertAlign w:val="superscript"/>
              </w:rPr>
              <w:t>(1)</w:t>
            </w:r>
          </w:p>
        </w:tc>
        <w:tc>
          <w:tcPr>
            <w:tcW w:w="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1"/>
                <w:szCs w:val="21"/>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Undistributed ordinary income</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18,175</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20,832</w:t>
            </w:r>
          </w:p>
        </w:tc>
        <w:tc>
          <w:tcPr>
            <w:tcW w:w="80" w:type="dxa"/>
            <w:vAlign w:val="bottom"/>
            <w:shd w:val="clear" w:color="auto" w:fill="CCEEFF"/>
          </w:tcPr>
          <w:p>
            <w:pPr>
              <w:spacing w:after="0"/>
              <w:rPr>
                <w:sz w:val="16"/>
                <w:szCs w:val="16"/>
                <w:color w:val="auto"/>
              </w:rPr>
            </w:pPr>
          </w:p>
        </w:tc>
      </w:tr>
      <w:tr>
        <w:trPr>
          <w:trHeight w:val="189"/>
        </w:trPr>
        <w:tc>
          <w:tcPr>
            <w:tcW w:w="7900" w:type="dxa"/>
            <w:vAlign w:val="bottom"/>
          </w:tcPr>
          <w:p>
            <w:pPr>
              <w:ind w:left="20"/>
              <w:spacing w:after="0"/>
              <w:rPr>
                <w:sz w:val="20"/>
                <w:szCs w:val="20"/>
                <w:color w:val="auto"/>
              </w:rPr>
            </w:pPr>
            <w:r>
              <w:rPr>
                <w:rFonts w:ascii="Arial" w:cs="Arial" w:eastAsia="Arial" w:hAnsi="Arial"/>
                <w:sz w:val="16"/>
                <w:szCs w:val="16"/>
                <w:color w:val="auto"/>
              </w:rPr>
              <w:t>Undistributed long term capital gains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19,916</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appreciation (depreciation)</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97,338</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55,842</w:t>
            </w:r>
          </w:p>
        </w:tc>
        <w:tc>
          <w:tcPr>
            <w:tcW w:w="80" w:type="dxa"/>
            <w:vAlign w:val="bottom"/>
            <w:shd w:val="clear" w:color="auto" w:fill="CCEEFF"/>
          </w:tcPr>
          <w:p>
            <w:pPr>
              <w:spacing w:after="0"/>
              <w:rPr>
                <w:sz w:val="16"/>
                <w:szCs w:val="16"/>
                <w:color w:val="auto"/>
              </w:rPr>
            </w:pPr>
          </w:p>
        </w:tc>
      </w:tr>
      <w:tr>
        <w:trPr>
          <w:trHeight w:val="189"/>
        </w:trPr>
        <w:tc>
          <w:tcPr>
            <w:tcW w:w="7900" w:type="dxa"/>
            <w:vAlign w:val="bottom"/>
          </w:tcPr>
          <w:p>
            <w:pPr>
              <w:ind w:left="20"/>
              <w:spacing w:after="0"/>
              <w:rPr>
                <w:sz w:val="20"/>
                <w:szCs w:val="20"/>
                <w:color w:val="auto"/>
              </w:rPr>
            </w:pPr>
            <w:r>
              <w:rPr>
                <w:rFonts w:ascii="Arial" w:cs="Arial" w:eastAsia="Arial" w:hAnsi="Arial"/>
                <w:sz w:val="16"/>
                <w:szCs w:val="16"/>
                <w:color w:val="auto"/>
              </w:rPr>
              <w:t>Temporary book/tax differences</w:t>
            </w:r>
          </w:p>
        </w:tc>
        <w:tc>
          <w:tcPr>
            <w:tcW w:w="180" w:type="dxa"/>
            <w:vAlign w:val="bottom"/>
          </w:tcPr>
          <w:p>
            <w:pPr>
              <w:spacing w:after="0"/>
              <w:rPr>
                <w:sz w:val="16"/>
                <w:szCs w:val="16"/>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(9,496 )</w:t>
            </w:r>
          </w:p>
        </w:tc>
        <w:tc>
          <w:tcPr>
            <w:tcW w:w="18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(4,896 )</w:t>
            </w: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loss carry forward</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(25,024 )</w:t>
            </w:r>
          </w:p>
        </w:tc>
      </w:tr>
      <w:tr>
        <w:trPr>
          <w:trHeight w:val="183"/>
        </w:trPr>
        <w:tc>
          <w:tcPr>
            <w:tcW w:w="7900" w:type="dxa"/>
            <w:vAlign w:val="bottom"/>
            <w:tcBorders>
              <w:top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distributable earnings</w:t>
            </w: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125,933</w:t>
            </w:r>
          </w:p>
        </w:tc>
        <w:tc>
          <w:tcPr>
            <w:tcW w:w="44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46,754</w:t>
            </w:r>
          </w:p>
        </w:tc>
        <w:tc>
          <w:tcPr>
            <w:tcW w:w="80" w:type="dxa"/>
            <w:vAlign w:val="bottom"/>
            <w:tcBorders>
              <w:top w:val="single" w:sz="8" w:color="CCEEFF"/>
            </w:tcBorders>
          </w:tcPr>
          <w:p>
            <w:pPr>
              <w:spacing w:after="0"/>
              <w:rPr>
                <w:sz w:val="15"/>
                <w:szCs w:val="15"/>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-150495</wp:posOffset>
            </wp:positionV>
            <wp:extent cx="51435" cy="15113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1435" cy="15113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15113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1435" cy="151130"/>
                    </a:xfrm>
                    <a:prstGeom prst="rect">
                      <a:avLst/>
                    </a:prstGeom>
                    <a:noFill/>
                  </pic:spPr>
                </pic:pic>
              </a:graphicData>
            </a:graphic>
          </wp:anchor>
        </w:drawing>
      </w:r>
    </w:p>
    <w:p>
      <w:pPr>
        <w:spacing w:after="0" w:line="137" w:lineRule="exact"/>
        <w:rPr>
          <w:sz w:val="20"/>
          <w:szCs w:val="20"/>
          <w:color w:val="auto"/>
        </w:rPr>
      </w:pPr>
    </w:p>
    <w:p>
      <w:pPr>
        <w:ind w:left="540" w:right="40" w:hanging="519"/>
        <w:spacing w:after="0" w:line="253"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Company’s distributable earnings for 2021 is an estimate and will not be finally determined until the Company files its 2021 federal income tax returns in 2022. Therefore, the Company’s actual distributable earnings may be different than this estimate.</w:t>
      </w:r>
    </w:p>
    <w:p>
      <w:pPr>
        <w:spacing w:after="0" w:line="137" w:lineRule="exact"/>
        <w:rPr>
          <w:sz w:val="20"/>
          <w:szCs w:val="20"/>
          <w:color w:val="auto"/>
        </w:rPr>
      </w:pPr>
    </w:p>
    <w:p>
      <w:pPr>
        <w:ind w:firstLine="469"/>
        <w:spacing w:after="0" w:line="261" w:lineRule="auto"/>
        <w:rPr>
          <w:sz w:val="20"/>
          <w:szCs w:val="20"/>
          <w:color w:val="auto"/>
        </w:rPr>
      </w:pPr>
      <w:r>
        <w:rPr>
          <w:rFonts w:ascii="Arial" w:cs="Arial" w:eastAsia="Arial" w:hAnsi="Arial"/>
          <w:sz w:val="18"/>
          <w:szCs w:val="18"/>
          <w:color w:val="auto"/>
        </w:rPr>
        <w:t>For federal income tax purposes, the cost of investments owned at December 31, 2021 and 2020 was approximately $623,527 and $685,825, respectively.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w w:val="94"/>
              </w:rPr>
              <w:t>December 31,</w:t>
            </w:r>
          </w:p>
        </w:tc>
        <w:tc>
          <w:tcPr>
            <w:tcW w:w="18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2"/>
              </w:rPr>
              <w:t>December 31,</w:t>
            </w:r>
          </w:p>
        </w:tc>
      </w:tr>
      <w:tr>
        <w:trPr>
          <w:trHeight w:val="250"/>
        </w:trPr>
        <w:tc>
          <w:tcPr>
            <w:tcW w:w="7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9"/>
              <w:spacing w:after="0" w:line="230" w:lineRule="exact"/>
              <w:rPr>
                <w:sz w:val="20"/>
                <w:szCs w:val="20"/>
                <w:color w:val="auto"/>
              </w:rPr>
            </w:pPr>
            <w:r>
              <w:rPr>
                <w:rFonts w:ascii="Arial" w:cs="Arial" w:eastAsia="Arial" w:hAnsi="Arial"/>
                <w:sz w:val="16"/>
                <w:szCs w:val="16"/>
                <w:b w:val="1"/>
                <w:bCs w:val="1"/>
                <w:color w:val="auto"/>
              </w:rPr>
              <w:t xml:space="preserve">2021 </w:t>
            </w:r>
            <w:r>
              <w:rPr>
                <w:rFonts w:ascii="Arial" w:cs="Arial" w:eastAsia="Arial" w:hAnsi="Arial"/>
                <w:sz w:val="21"/>
                <w:szCs w:val="21"/>
                <w:b w:val="1"/>
                <w:bCs w:val="1"/>
                <w:color w:val="auto"/>
                <w:vertAlign w:val="superscript"/>
              </w:rPr>
              <w:t>(1)</w:t>
            </w:r>
          </w:p>
        </w:tc>
        <w:tc>
          <w:tcPr>
            <w:tcW w:w="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1"/>
                <w:szCs w:val="21"/>
                <w:color w:val="auto"/>
              </w:rPr>
            </w:pPr>
          </w:p>
        </w:tc>
      </w:tr>
      <w:tr>
        <w:trPr>
          <w:trHeight w:val="189"/>
        </w:trPr>
        <w:tc>
          <w:tcPr>
            <w:tcW w:w="7880" w:type="dxa"/>
            <w:vAlign w:val="bottom"/>
          </w:tcPr>
          <w:p>
            <w:pPr>
              <w:ind w:left="20"/>
              <w:spacing w:after="0"/>
              <w:rPr>
                <w:sz w:val="20"/>
                <w:szCs w:val="20"/>
                <w:color w:val="auto"/>
              </w:rPr>
            </w:pPr>
            <w:r>
              <w:rPr>
                <w:rFonts w:ascii="Arial" w:cs="Arial" w:eastAsia="Arial" w:hAnsi="Arial"/>
                <w:sz w:val="16"/>
                <w:szCs w:val="16"/>
                <w:color w:val="auto"/>
              </w:rPr>
              <w:t>Tax-basis amortized cost of investments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623,527</w:t>
            </w:r>
          </w:p>
        </w:tc>
        <w:tc>
          <w:tcPr>
            <w:tcW w:w="440" w:type="dxa"/>
            <w:vAlign w:val="bottom"/>
          </w:tcPr>
          <w:p>
            <w:pPr>
              <w:spacing w:after="0"/>
              <w:rPr>
                <w:sz w:val="16"/>
                <w:szCs w:val="16"/>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685,825</w:t>
            </w:r>
          </w:p>
        </w:tc>
        <w:tc>
          <w:tcPr>
            <w:tcW w:w="80" w:type="dxa"/>
            <w:vAlign w:val="bottom"/>
          </w:tcPr>
          <w:p>
            <w:pPr>
              <w:spacing w:after="0"/>
              <w:rPr>
                <w:sz w:val="16"/>
                <w:szCs w:val="16"/>
                <w:color w:val="auto"/>
              </w:rPr>
            </w:pPr>
          </w:p>
        </w:tc>
      </w:tr>
      <w:tr>
        <w:trPr>
          <w:trHeight w:val="189"/>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Tax-basis gross unrealized appreciation on investments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110,481</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74,929</w:t>
            </w:r>
          </w:p>
        </w:tc>
        <w:tc>
          <w:tcPr>
            <w:tcW w:w="80" w:type="dxa"/>
            <w:vAlign w:val="bottom"/>
            <w:shd w:val="clear" w:color="auto" w:fill="CCEEFF"/>
          </w:tcPr>
          <w:p>
            <w:pPr>
              <w:spacing w:after="0"/>
              <w:rPr>
                <w:sz w:val="16"/>
                <w:szCs w:val="16"/>
                <w:color w:val="auto"/>
              </w:rPr>
            </w:pPr>
          </w:p>
        </w:tc>
      </w:tr>
      <w:tr>
        <w:trPr>
          <w:trHeight w:val="189"/>
        </w:trPr>
        <w:tc>
          <w:tcPr>
            <w:tcW w:w="7880" w:type="dxa"/>
            <w:vAlign w:val="bottom"/>
          </w:tcPr>
          <w:p>
            <w:pPr>
              <w:ind w:left="20"/>
              <w:spacing w:after="0"/>
              <w:rPr>
                <w:sz w:val="20"/>
                <w:szCs w:val="20"/>
                <w:color w:val="auto"/>
              </w:rPr>
            </w:pPr>
            <w:r>
              <w:rPr>
                <w:rFonts w:ascii="Arial" w:cs="Arial" w:eastAsia="Arial" w:hAnsi="Arial"/>
                <w:sz w:val="16"/>
                <w:szCs w:val="16"/>
                <w:color w:val="auto"/>
              </w:rPr>
              <w:t>Tax-basis gross unrealized depreciation on investments</w:t>
            </w:r>
          </w:p>
        </w:tc>
        <w:tc>
          <w:tcPr>
            <w:tcW w:w="200" w:type="dxa"/>
            <w:vAlign w:val="bottom"/>
          </w:tcPr>
          <w:p>
            <w:pPr>
              <w:spacing w:after="0"/>
              <w:rPr>
                <w:sz w:val="16"/>
                <w:szCs w:val="16"/>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(14,884 )</w:t>
            </w:r>
          </w:p>
        </w:tc>
        <w:tc>
          <w:tcPr>
            <w:tcW w:w="18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(17,885 )</w:t>
            </w:r>
          </w:p>
        </w:tc>
      </w:tr>
      <w:tr>
        <w:trPr>
          <w:trHeight w:val="183"/>
        </w:trPr>
        <w:tc>
          <w:tcPr>
            <w:tcW w:w="78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Tax-basis net unrealized appreciation on investments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95,597</w:t>
            </w:r>
          </w:p>
        </w:tc>
        <w:tc>
          <w:tcPr>
            <w:tcW w:w="4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57,044</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83"/>
        </w:trPr>
        <w:tc>
          <w:tcPr>
            <w:tcW w:w="7880" w:type="dxa"/>
            <w:vAlign w:val="bottom"/>
          </w:tcPr>
          <w:p>
            <w:pPr>
              <w:ind w:left="20"/>
              <w:spacing w:after="0" w:line="183" w:lineRule="exact"/>
              <w:rPr>
                <w:sz w:val="20"/>
                <w:szCs w:val="20"/>
                <w:color w:val="auto"/>
              </w:rPr>
            </w:pPr>
            <w:r>
              <w:rPr>
                <w:rFonts w:ascii="Arial" w:cs="Arial" w:eastAsia="Arial" w:hAnsi="Arial"/>
                <w:sz w:val="16"/>
                <w:szCs w:val="16"/>
                <w:color w:val="auto"/>
              </w:rPr>
              <w:t>Fair value of investments</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719,124</w:t>
            </w:r>
          </w:p>
        </w:tc>
        <w:tc>
          <w:tcPr>
            <w:tcW w:w="4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742,869</w:t>
            </w:r>
          </w:p>
        </w:tc>
        <w:tc>
          <w:tcPr>
            <w:tcW w:w="80" w:type="dxa"/>
            <w:vAlign w:val="bottom"/>
          </w:tcPr>
          <w:p>
            <w:pPr>
              <w:spacing w:after="0"/>
              <w:rPr>
                <w:sz w:val="15"/>
                <w:szCs w:val="15"/>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-150495</wp:posOffset>
            </wp:positionV>
            <wp:extent cx="51435" cy="15113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1435" cy="15113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15113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1435" cy="151130"/>
                    </a:xfrm>
                    <a:prstGeom prst="rect">
                      <a:avLst/>
                    </a:prstGeom>
                    <a:noFill/>
                  </pic:spPr>
                </pic:pic>
              </a:graphicData>
            </a:graphic>
          </wp:anchor>
        </w:drawing>
      </w:r>
    </w:p>
    <w:p>
      <w:pPr>
        <w:spacing w:after="0" w:line="177" w:lineRule="exact"/>
        <w:rPr>
          <w:sz w:val="20"/>
          <w:szCs w:val="20"/>
          <w:color w:val="auto"/>
        </w:rPr>
      </w:pPr>
    </w:p>
    <w:p>
      <w:pPr>
        <w:ind w:left="540" w:right="40" w:hanging="519"/>
        <w:spacing w:after="0" w:line="253"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Company’s tax-basis amortized cost of investments for 2021 is an estimate and will not be finally determined until 2022 when the Company receives the relevant tax forms from portfolio companies with equity investments. Therefore, the Company’s actual tax-basis amortized cost of investments may be different than this estimate.</w:t>
      </w:r>
    </w:p>
    <w:p>
      <w:pPr>
        <w:spacing w:after="0" w:line="137" w:lineRule="exact"/>
        <w:rPr>
          <w:sz w:val="20"/>
          <w:szCs w:val="20"/>
          <w:color w:val="auto"/>
        </w:rPr>
      </w:pPr>
    </w:p>
    <w:p>
      <w:pPr>
        <w:jc w:val="both"/>
        <w:ind w:firstLine="469"/>
        <w:spacing w:after="0" w:line="241" w:lineRule="auto"/>
        <w:rPr>
          <w:sz w:val="20"/>
          <w:szCs w:val="20"/>
          <w:color w:val="auto"/>
        </w:rPr>
      </w:pPr>
      <w:r>
        <w:rPr>
          <w:rFonts w:ascii="Arial" w:cs="Arial" w:eastAsia="Arial" w:hAnsi="Arial"/>
          <w:sz w:val="18"/>
          <w:szCs w:val="18"/>
          <w:color w:val="auto"/>
        </w:rPr>
        <w:t>Distributions from net investment income and net realized capital gains are determined in accordance with U.S. federal tax regulations, which may differ from amounts determined in accordance with GAAP and those differences could be material. These permanent book-to-tax differences are reclassified on the consolidated statements of changes in net assets to reflect their tax character but have no impact on total net assets. The following permanent book-to-tax differences were reclassified on the consolidated statements of changes in net assets for the years ended December 31, 2021, 2020, and 2019.</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xml:space="preserve">2021 </w:t>
            </w:r>
            <w:r>
              <w:rPr>
                <w:rFonts w:ascii="Arial" w:cs="Arial" w:eastAsia="Arial" w:hAnsi="Arial"/>
                <w:sz w:val="21"/>
                <w:szCs w:val="21"/>
                <w:b w:val="1"/>
                <w:bCs w:val="1"/>
                <w:color w:val="auto"/>
                <w:vertAlign w:val="superscript"/>
              </w:rPr>
              <w:t>(1)</w:t>
            </w:r>
          </w:p>
        </w:tc>
        <w:tc>
          <w:tcPr>
            <w:tcW w:w="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2"/>
                <w:szCs w:val="22"/>
                <w:color w:val="auto"/>
              </w:rPr>
            </w:pP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6"/>
        </w:trPr>
        <w:tc>
          <w:tcPr>
            <w:tcW w:w="6760" w:type="dxa"/>
            <w:vAlign w:val="bottom"/>
          </w:tcPr>
          <w:p>
            <w:pPr>
              <w:ind w:left="20"/>
              <w:spacing w:after="0"/>
              <w:rPr>
                <w:sz w:val="20"/>
                <w:szCs w:val="20"/>
                <w:color w:val="auto"/>
              </w:rPr>
            </w:pPr>
            <w:r>
              <w:rPr>
                <w:rFonts w:ascii="Arial" w:cs="Arial" w:eastAsia="Arial" w:hAnsi="Arial"/>
                <w:sz w:val="16"/>
                <w:szCs w:val="16"/>
                <w:color w:val="auto"/>
              </w:rPr>
              <w:t>Total distributable earnings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2,175</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1,811</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627</w:t>
            </w:r>
          </w:p>
        </w:tc>
        <w:tc>
          <w:tcPr>
            <w:tcW w:w="80" w:type="dxa"/>
            <w:vAlign w:val="bottom"/>
          </w:tcPr>
          <w:p>
            <w:pPr>
              <w:spacing w:after="0"/>
              <w:rPr>
                <w:sz w:val="17"/>
                <w:szCs w:val="17"/>
                <w:color w:val="auto"/>
              </w:rPr>
            </w:pPr>
          </w:p>
        </w:tc>
      </w:tr>
    </w:tbl>
    <w:p>
      <w:pPr>
        <w:spacing w:after="0" w:line="301" w:lineRule="exact"/>
        <w:rPr>
          <w:sz w:val="20"/>
          <w:szCs w:val="20"/>
          <w:color w:val="auto"/>
        </w:rPr>
      </w:pPr>
    </w:p>
    <w:p>
      <w:pPr>
        <w:jc w:val="both"/>
        <w:ind w:left="360" w:right="20" w:hanging="339"/>
        <w:spacing w:after="0" w:line="238" w:lineRule="auto"/>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Company’s permanent book-to-tax reclassifications for 2021 are an estimate and will not be finalized until the Company files its 2021 federal income tax returns in 2022. Therefore, the Company’s actual permanent book-to-tax reclassifications may be different than this estimate. The Company adjusts such reclassifications in the following years when finalized, and such adjustments are reflected in the consolidated statements of changes in net assets and the consolidated statements of assets and liabilities.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On January 7, 2022, the Company issued an additional $1,500 in SBA debentures.</w:t>
      </w:r>
    </w:p>
    <w:p>
      <w:pPr>
        <w:spacing w:after="0" w:line="158"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February 1, 2022, the Company invested $10,750 in first lien debt and common equity of a leading provider of alternative out-of-home advertising across the C-store &amp; gas station, retail, truckside &amp; transit markets, among others.</w:t>
      </w:r>
    </w:p>
    <w:p>
      <w:pPr>
        <w:spacing w:after="0" w:line="117" w:lineRule="exact"/>
        <w:rPr>
          <w:sz w:val="20"/>
          <w:szCs w:val="20"/>
          <w:color w:val="auto"/>
        </w:rPr>
      </w:pPr>
    </w:p>
    <w:p>
      <w:pPr>
        <w:jc w:val="both"/>
        <w:ind w:right="20" w:firstLine="469"/>
        <w:spacing w:after="0" w:line="261" w:lineRule="auto"/>
        <w:rPr>
          <w:sz w:val="20"/>
          <w:szCs w:val="20"/>
          <w:color w:val="auto"/>
        </w:rPr>
      </w:pPr>
      <w:r>
        <w:rPr>
          <w:rFonts w:ascii="Arial" w:cs="Arial" w:eastAsia="Arial" w:hAnsi="Arial"/>
          <w:sz w:val="18"/>
          <w:szCs w:val="18"/>
          <w:color w:val="auto"/>
        </w:rPr>
        <w:t>On February 8, 2022, the Company exited its debt investments in Mirage Trailers LLC. The Company received payment in full of $6,735 on its second lien debt.</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On February 15, 2022, the Company issued an additional $19,500 in SBA debentures.</w:t>
      </w:r>
    </w:p>
    <w:p>
      <w:pPr>
        <w:spacing w:after="0" w:line="158"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February 15, 2022, the Board declared a regular quarterly dividend of $0.36 per share and a supplemental dividend of $0.17 per share payable March 25, 2022, to stockholders of record as of March 11, 2022.</w:t>
      </w:r>
    </w:p>
    <w:p>
      <w:pPr>
        <w:spacing w:after="0" w:line="117"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On February 17, 2022, the Company invested $22,440 in first lien debt and common equity of Micronics Filtration Holdings, Inc. (dba Micronics Engineered Filtration Group, Inc.), a global provider of aftermarket and OEM filtration equipment and consumables for use in mining, chemical, wastewater and various other industrial end markets.</w:t>
      </w:r>
    </w:p>
    <w:p>
      <w:pPr>
        <w:spacing w:after="0" w:line="128" w:lineRule="exact"/>
        <w:rPr>
          <w:sz w:val="20"/>
          <w:szCs w:val="20"/>
          <w:color w:val="auto"/>
        </w:rPr>
      </w:pPr>
    </w:p>
    <w:p>
      <w:pPr>
        <w:ind w:right="2300" w:firstLine="469"/>
        <w:spacing w:after="0" w:line="261" w:lineRule="auto"/>
        <w:rPr>
          <w:sz w:val="20"/>
          <w:szCs w:val="20"/>
          <w:color w:val="auto"/>
        </w:rPr>
      </w:pPr>
      <w:r>
        <w:rPr>
          <w:rFonts w:ascii="Arial" w:cs="Arial" w:eastAsia="Arial" w:hAnsi="Arial"/>
          <w:sz w:val="18"/>
          <w:szCs w:val="18"/>
          <w:color w:val="auto"/>
        </w:rPr>
        <w:t>On February 18, 2022, the Company received a distribution on its equity investment in Frontline Food Services, LLC (f/k/a Accent Food Services, LLC), resulting in a realized gain of approximately $200.</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On February 25, 2022, the Company issued an additional $10,500 in SBA debentures.</w:t>
      </w:r>
    </w:p>
    <w:p>
      <w:pPr>
        <w:spacing w:after="0" w:line="158" w:lineRule="exact"/>
        <w:rPr>
          <w:sz w:val="20"/>
          <w:szCs w:val="20"/>
          <w:color w:val="auto"/>
        </w:rPr>
      </w:pPr>
    </w:p>
    <w:p>
      <w:pPr>
        <w:ind w:firstLine="469"/>
        <w:spacing w:after="0" w:line="261" w:lineRule="auto"/>
        <w:rPr>
          <w:sz w:val="20"/>
          <w:szCs w:val="20"/>
          <w:color w:val="auto"/>
        </w:rPr>
      </w:pPr>
      <w:r>
        <w:rPr>
          <w:rFonts w:ascii="Arial" w:cs="Arial" w:eastAsia="Arial" w:hAnsi="Arial"/>
          <w:sz w:val="18"/>
          <w:szCs w:val="18"/>
          <w:color w:val="auto"/>
        </w:rPr>
        <w:t>On February 28, the Company repaid $20,000 of SBA debentures with a weighted average interest rate of 2.819% which would have matured on dates ranging from March 2025 to March 2028.</w:t>
      </w:r>
    </w:p>
    <w:p>
      <w:pPr>
        <w:spacing w:after="0" w:line="117" w:lineRule="exact"/>
        <w:rPr>
          <w:sz w:val="20"/>
          <w:szCs w:val="20"/>
          <w:color w:val="auto"/>
        </w:rPr>
      </w:pPr>
    </w:p>
    <w:p>
      <w:pPr>
        <w:ind w:firstLine="469"/>
        <w:spacing w:after="0" w:line="261" w:lineRule="auto"/>
        <w:rPr>
          <w:sz w:val="20"/>
          <w:szCs w:val="20"/>
          <w:color w:val="auto"/>
        </w:rPr>
      </w:pPr>
      <w:r>
        <w:rPr>
          <w:rFonts w:ascii="Arial" w:cs="Arial" w:eastAsia="Arial" w:hAnsi="Arial"/>
          <w:sz w:val="18"/>
          <w:szCs w:val="18"/>
          <w:color w:val="auto"/>
        </w:rPr>
        <w:t>On March 1, 2022, the Company invested $15,000 in second lien debt of Quest Software US Holdings, Inc., a global cybersecurity, data intelligence, and IT operations management software provider.</w:t>
      </w:r>
    </w:p>
    <w:p>
      <w:pPr>
        <w:spacing w:after="0" w:line="117" w:lineRule="exact"/>
        <w:rPr>
          <w:sz w:val="20"/>
          <w:szCs w:val="20"/>
          <w:color w:val="auto"/>
        </w:rPr>
      </w:pPr>
    </w:p>
    <w:p>
      <w:pPr>
        <w:ind w:firstLine="469"/>
        <w:spacing w:after="0" w:line="261" w:lineRule="auto"/>
        <w:rPr>
          <w:sz w:val="20"/>
          <w:szCs w:val="20"/>
          <w:color w:val="auto"/>
        </w:rPr>
      </w:pPr>
      <w:r>
        <w:rPr>
          <w:rFonts w:ascii="Arial" w:cs="Arial" w:eastAsia="Arial" w:hAnsi="Arial"/>
          <w:sz w:val="18"/>
          <w:szCs w:val="18"/>
          <w:color w:val="auto"/>
        </w:rPr>
        <w:t>On March 1, 2022, the Company received a distribution on its equity investment in SpendMend LLC, resulting in a realized gain of approximately $6,077.</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22" w:name="page123"/>
    <w:bookmarkEnd w:id="122"/>
    <w:p>
      <w:pPr>
        <w:jc w:val="both"/>
        <w:ind w:right="20" w:firstLine="469"/>
        <w:spacing w:after="0" w:line="248" w:lineRule="auto"/>
        <w:rPr>
          <w:sz w:val="20"/>
          <w:szCs w:val="20"/>
          <w:color w:val="auto"/>
        </w:rPr>
      </w:pPr>
      <w:r>
        <w:rPr>
          <w:rFonts w:ascii="Arial" w:cs="Arial" w:eastAsia="Arial" w:hAnsi="Arial"/>
          <w:sz w:val="18"/>
          <w:szCs w:val="18"/>
          <w:color w:val="auto"/>
        </w:rPr>
        <w:t>On March 2, 2022, the Company invested $14,436 in subordinated debt, preferred equity and common equity of CIH Intermediate, LLC, a technology-based risk management firm that provides education and customized price risk management services to businesses affected by volatility in the agriculture markets.</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77"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77" w:lineRule="exact"/>
        <w:rPr>
          <w:sz w:val="20"/>
          <w:szCs w:val="20"/>
          <w:color w:val="auto"/>
        </w:rPr>
      </w:pPr>
    </w:p>
    <w:p>
      <w:pPr>
        <w:jc w:val="both"/>
        <w:ind w:firstLine="469"/>
        <w:spacing w:after="0" w:line="269" w:lineRule="auto"/>
        <w:rPr>
          <w:sz w:val="20"/>
          <w:szCs w:val="20"/>
          <w:color w:val="auto"/>
        </w:rPr>
      </w:pPr>
      <w:r>
        <w:rPr>
          <w:rFonts w:ascii="Arial" w:cs="Arial" w:eastAsia="Arial" w:hAnsi="Arial"/>
          <w:sz w:val="16"/>
          <w:szCs w:val="16"/>
          <w:color w:val="auto"/>
        </w:rPr>
        <w:t>Our management, including our Chief Executive Officer and Chief Financial Officer, is responsible for establishing and maintaining adequate internal control over financial reporting, as such term is defined in Rules 13a-15(f) and 15d-15(f) under the Exchange Act. Our internal control over financial reporting is a process designed to provide reasonable assurance regarding the reliability of financial reporting and the preparation of our financial statements for external reporting purposes in accordance with GAAP. Internal control over financial reporting includes those policies and procedures that:</w:t>
      </w:r>
    </w:p>
    <w:p>
      <w:pPr>
        <w:spacing w:after="0" w:line="1"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18" w:lineRule="exact"/>
        <w:rPr>
          <w:rFonts w:ascii="Arial" w:cs="Arial" w:eastAsia="Arial" w:hAnsi="Arial"/>
          <w:sz w:val="16"/>
          <w:szCs w:val="16"/>
          <w:color w:val="auto"/>
        </w:rPr>
      </w:pPr>
    </w:p>
    <w:p>
      <w:pPr>
        <w:jc w:val="both"/>
        <w:ind w:firstLine="8"/>
        <w:spacing w:after="0" w:line="264" w:lineRule="auto"/>
        <w:tabs>
          <w:tab w:leader="none" w:pos="277"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jc w:val="both"/>
        <w:ind w:firstLine="8"/>
        <w:spacing w:after="0" w:line="256" w:lineRule="auto"/>
        <w:tabs>
          <w:tab w:leader="none" w:pos="334"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2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Management (with the participation of our Chief Executive Officer and Chief Financial Officer)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Based on this evaluation, management concluded that our internal control over financial reporting was effective as of December 31, 2021.</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8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ind w:right="20" w:firstLine="469"/>
        <w:spacing w:after="0" w:line="291" w:lineRule="auto"/>
        <w:rPr>
          <w:sz w:val="20"/>
          <w:szCs w:val="20"/>
          <w:color w:val="auto"/>
        </w:rPr>
      </w:pPr>
      <w:r>
        <w:rPr>
          <w:rFonts w:ascii="Arial" w:cs="Arial" w:eastAsia="Arial" w:hAnsi="Arial"/>
          <w:sz w:val="17"/>
          <w:szCs w:val="17"/>
          <w:color w:val="auto"/>
        </w:rPr>
        <w:t>The information required by Item 10 is hereby incorporated by reference from our definitive Proxy Statement relating to our 2022 Annual Meeting of Stockholders, to be filed with the U.S. Securities and Exchange Commission within 120 days following the end of our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1" w:lineRule="exact"/>
        <w:rPr>
          <w:sz w:val="20"/>
          <w:szCs w:val="20"/>
          <w:color w:val="auto"/>
        </w:rPr>
      </w:pPr>
    </w:p>
    <w:p>
      <w:pPr>
        <w:ind w:firstLine="469"/>
        <w:spacing w:after="0" w:line="291" w:lineRule="auto"/>
        <w:rPr>
          <w:sz w:val="20"/>
          <w:szCs w:val="20"/>
          <w:color w:val="auto"/>
        </w:rPr>
      </w:pPr>
      <w:r>
        <w:rPr>
          <w:rFonts w:ascii="Arial" w:cs="Arial" w:eastAsia="Arial" w:hAnsi="Arial"/>
          <w:sz w:val="17"/>
          <w:szCs w:val="17"/>
          <w:color w:val="auto"/>
        </w:rPr>
        <w:t>The information required by Item 11 is hereby incorporated by reference from our definitive Proxy Statement relating to our 2022 Annual Meeting of Stockholders, to be filed with the U.S. Securities and Exchange Commission within 120 days following the end of our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1" w:lineRule="exact"/>
        <w:rPr>
          <w:sz w:val="20"/>
          <w:szCs w:val="20"/>
          <w:color w:val="auto"/>
        </w:rPr>
      </w:pPr>
    </w:p>
    <w:p>
      <w:pPr>
        <w:ind w:right="20" w:firstLine="469"/>
        <w:spacing w:after="0" w:line="291" w:lineRule="auto"/>
        <w:rPr>
          <w:sz w:val="20"/>
          <w:szCs w:val="20"/>
          <w:color w:val="auto"/>
        </w:rPr>
      </w:pPr>
      <w:r>
        <w:rPr>
          <w:rFonts w:ascii="Arial" w:cs="Arial" w:eastAsia="Arial" w:hAnsi="Arial"/>
          <w:sz w:val="17"/>
          <w:szCs w:val="17"/>
          <w:color w:val="auto"/>
        </w:rPr>
        <w:t>The information required by Item 12 is hereby incorporated by reference from our definitive Proxy Statement relating to our 2022 Annual Meeting of Stockholders, to be filed with the U.S. Securities and Exchange Commission within 120 days following the end of our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1" w:lineRule="exact"/>
        <w:rPr>
          <w:sz w:val="20"/>
          <w:szCs w:val="20"/>
          <w:color w:val="auto"/>
        </w:rPr>
      </w:pPr>
    </w:p>
    <w:p>
      <w:pPr>
        <w:ind w:right="20" w:firstLine="469"/>
        <w:spacing w:after="0" w:line="291" w:lineRule="auto"/>
        <w:rPr>
          <w:sz w:val="20"/>
          <w:szCs w:val="20"/>
          <w:color w:val="auto"/>
        </w:rPr>
      </w:pPr>
      <w:r>
        <w:rPr>
          <w:rFonts w:ascii="Arial" w:cs="Arial" w:eastAsia="Arial" w:hAnsi="Arial"/>
          <w:sz w:val="17"/>
          <w:szCs w:val="17"/>
          <w:color w:val="auto"/>
        </w:rPr>
        <w:t>The information required by Item 13 is hereby incorporated by reference from our definitive Proxy Statement relating to our 2022 Annual Meeting of Stockholders, to be filed with the U.S. Securities and Exchange Commission within 120 days following the end of our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1" w:lineRule="exact"/>
        <w:rPr>
          <w:sz w:val="20"/>
          <w:szCs w:val="20"/>
          <w:color w:val="auto"/>
        </w:rPr>
      </w:pPr>
    </w:p>
    <w:p>
      <w:pPr>
        <w:ind w:right="20" w:firstLine="469"/>
        <w:spacing w:after="0" w:line="291" w:lineRule="auto"/>
        <w:rPr>
          <w:sz w:val="20"/>
          <w:szCs w:val="20"/>
          <w:color w:val="auto"/>
        </w:rPr>
      </w:pPr>
      <w:r>
        <w:rPr>
          <w:rFonts w:ascii="Arial" w:cs="Arial" w:eastAsia="Arial" w:hAnsi="Arial"/>
          <w:sz w:val="17"/>
          <w:szCs w:val="17"/>
          <w:color w:val="auto"/>
        </w:rPr>
        <w:t>The information required by Item 14 is hereby incorporated by reference from our definitive Proxy Statement relating to our 2022 Annual Meeting of Stockholders, to be filed with the U.S. Securities and Exchange Commission within 120 days following the end of our fiscal year.</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gridSpan w:val="6"/>
          </w:tcPr>
          <w:p>
            <w:pPr>
              <w:ind w:left="1020"/>
              <w:spacing w:after="0"/>
              <w:rPr>
                <w:sz w:val="20"/>
                <w:szCs w:val="20"/>
                <w:color w:val="auto"/>
              </w:rPr>
            </w:pPr>
            <w:r>
              <w:rPr>
                <w:rFonts w:ascii="Arial" w:cs="Arial" w:eastAsia="Arial" w:hAnsi="Arial"/>
                <w:sz w:val="18"/>
                <w:szCs w:val="18"/>
                <w:b w:val="1"/>
                <w:bCs w:val="1"/>
                <w:color w:val="auto"/>
              </w:rPr>
              <w:t>PART IV</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12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gridSpan w:val="8"/>
          </w:tcPr>
          <w:p>
            <w:pPr>
              <w:ind w:left="100"/>
              <w:spacing w:after="0"/>
              <w:rPr>
                <w:sz w:val="20"/>
                <w:szCs w:val="20"/>
                <w:color w:val="auto"/>
              </w:rPr>
            </w:pPr>
            <w:r>
              <w:rPr>
                <w:rFonts w:ascii="Arial" w:cs="Arial" w:eastAsia="Arial" w:hAnsi="Arial"/>
                <w:sz w:val="18"/>
                <w:szCs w:val="18"/>
                <w:color w:val="auto"/>
              </w:rPr>
              <w:t>The following documents are filed or incorporated by reference as part of this Annual Report: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gridSpan w:val="8"/>
          </w:tcPr>
          <w:p>
            <w:pPr>
              <w:ind w:left="10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Consolidated Financial Statements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2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Report of Independent Registered Public Accounting Firm</w:t>
              </w:r>
            </w:hyperlink>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100" w:type="dxa"/>
            <w:vAlign w:val="bottom"/>
            <w:gridSpan w:val="9"/>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00" w:type="dxa"/>
            <w:vAlign w:val="bottom"/>
            <w:gridSpan w:val="9"/>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140" w:type="dxa"/>
            <w:vAlign w:val="bottom"/>
            <w:tcBorders>
              <w:bottom w:val="single" w:sz="8" w:color="0000FF"/>
            </w:tcBorders>
            <w:gridSpan w:val="4"/>
          </w:tcPr>
          <w:p>
            <w:pPr>
              <w:spacing w:after="0" w:line="170"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Consolidated Statements of Assets and Liabilities as of December 31, 2021 and 2020</w:t>
              </w:r>
            </w:hyperlink>
          </w:p>
        </w:tc>
        <w:tc>
          <w:tcPr>
            <w:tcW w:w="76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780" w:type="dxa"/>
            <w:vAlign w:val="bottom"/>
            <w:vMerge w:val="restart"/>
          </w:tcPr>
          <w:p>
            <w:pPr>
              <w:spacing w:after="0"/>
              <w:rPr>
                <w:sz w:val="16"/>
                <w:szCs w:val="16"/>
                <w:color w:val="auto"/>
              </w:rPr>
            </w:pPr>
          </w:p>
        </w:tc>
        <w:tc>
          <w:tcPr>
            <w:tcW w:w="1000" w:type="dxa"/>
            <w:vAlign w:val="bottom"/>
            <w:vMerge w:val="restart"/>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900" w:type="dxa"/>
            <w:vAlign w:val="bottom"/>
            <w:gridSpan w:val="5"/>
            <w:vMerge w:val="restart"/>
          </w:tcPr>
          <w:p>
            <w:pP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Consolidated Statements of Operations for the Years Ended December 31, 2021, 2020 and 2019</w:t>
              </w:r>
            </w:hyperlink>
          </w:p>
        </w:tc>
        <w:tc>
          <w:tcPr>
            <w:tcW w:w="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900" w:type="dxa"/>
            <w:vAlign w:val="bottom"/>
            <w:tcBorders>
              <w:bottom w:val="single" w:sz="8" w:color="0000FF"/>
            </w:tcBorders>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vMerge w:val="restart"/>
          </w:tcPr>
          <w:p>
            <w:pPr>
              <w:spacing w:after="0"/>
              <w:rPr>
                <w:sz w:val="15"/>
                <w:szCs w:val="15"/>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740" w:type="dxa"/>
            <w:vAlign w:val="bottom"/>
            <w:gridSpan w:val="7"/>
            <w:vMerge w:val="restart"/>
          </w:tcPr>
          <w:p>
            <w:pPr>
              <w:spacing w:after="0"/>
              <w:rPr>
                <w:rFonts w:ascii="Arial" w:cs="Arial" w:eastAsia="Arial" w:hAnsi="Arial"/>
                <w:sz w:val="18"/>
                <w:szCs w:val="18"/>
                <w:color w:val="0000FF"/>
                <w:w w:val="88"/>
              </w:rPr>
            </w:pPr>
            <w:hyperlink w:anchor="page84">
              <w:r>
                <w:rPr>
                  <w:rFonts w:ascii="Arial" w:cs="Arial" w:eastAsia="Arial" w:hAnsi="Arial"/>
                  <w:sz w:val="18"/>
                  <w:szCs w:val="18"/>
                  <w:color w:val="0000FF"/>
                  <w:w w:val="88"/>
                </w:rPr>
                <w:t>Consolidated Statements of Changes in Net Assets for the Years Ended December 31, 2021, 2020 and 2019</w:t>
              </w:r>
            </w:hyperlink>
          </w:p>
        </w:tc>
        <w:tc>
          <w:tcPr>
            <w:tcW w:w="10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40" w:type="dxa"/>
            <w:vAlign w:val="bottom"/>
            <w:tcBorders>
              <w:bottom w:val="single" w:sz="8" w:color="0000FF"/>
            </w:tcBorders>
            <w:gridSpan w:val="7"/>
            <w:vMerge w:val="continue"/>
          </w:tcPr>
          <w:p>
            <w:pPr>
              <w:spacing w:after="0"/>
              <w:rPr>
                <w:sz w:val="15"/>
                <w:szCs w:val="15"/>
                <w:color w:val="auto"/>
              </w:rPr>
            </w:pPr>
          </w:p>
        </w:tc>
        <w:tc>
          <w:tcPr>
            <w:tcW w:w="1000" w:type="dxa"/>
            <w:vAlign w:val="bottom"/>
            <w:vMerge w:val="restart"/>
          </w:tcPr>
          <w:p>
            <w:pPr>
              <w:spacing w:after="0"/>
              <w:rPr>
                <w:sz w:val="15"/>
                <w:szCs w:val="15"/>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960" w:type="dxa"/>
            <w:vAlign w:val="bottom"/>
            <w:gridSpan w:val="6"/>
            <w:vMerge w:val="restart"/>
          </w:tcPr>
          <w:p>
            <w:pP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Consolidated Statements of Cash Flows for the Years Ended December 31, 2021, 2020 and 2019</w:t>
              </w:r>
            </w:hyperlink>
          </w:p>
        </w:tc>
        <w:tc>
          <w:tcPr>
            <w:tcW w:w="7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960" w:type="dxa"/>
            <w:vAlign w:val="bottom"/>
            <w:tcBorders>
              <w:bottom w:val="single" w:sz="8" w:color="0000FF"/>
            </w:tcBorders>
            <w:gridSpan w:val="6"/>
            <w:vMerge w:val="continue"/>
          </w:tcPr>
          <w:p>
            <w:pPr>
              <w:spacing w:after="0"/>
              <w:rPr>
                <w:sz w:val="15"/>
                <w:szCs w:val="15"/>
                <w:color w:val="auto"/>
              </w:rPr>
            </w:pPr>
          </w:p>
        </w:tc>
        <w:tc>
          <w:tcPr>
            <w:tcW w:w="1780" w:type="dxa"/>
            <w:vAlign w:val="bottom"/>
            <w:gridSpan w:val="2"/>
            <w:vMerge w:val="restart"/>
          </w:tcPr>
          <w:p>
            <w:pPr>
              <w:spacing w:after="0"/>
              <w:rPr>
                <w:sz w:val="15"/>
                <w:szCs w:val="15"/>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0" w:type="dxa"/>
            <w:vAlign w:val="bottom"/>
            <w:gridSpan w:val="3"/>
            <w:vMerge w:val="restart"/>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Consolidated Schedules of Investments as of December 31, 2021 and 2020</w:t>
              </w:r>
            </w:hyperlink>
          </w:p>
        </w:tc>
        <w:tc>
          <w:tcPr>
            <w:tcW w:w="1560" w:type="dxa"/>
            <w:vAlign w:val="bottom"/>
            <w:gridSpan w:val="3"/>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0" w:type="dxa"/>
            <w:vAlign w:val="bottom"/>
            <w:tcBorders>
              <w:bottom w:val="single" w:sz="8" w:color="0000FF"/>
            </w:tcBorders>
            <w:gridSpan w:val="3"/>
            <w:vMerge w:val="continue"/>
          </w:tcPr>
          <w:p>
            <w:pPr>
              <w:spacing w:after="0"/>
              <w:rPr>
                <w:sz w:val="15"/>
                <w:szCs w:val="15"/>
                <w:color w:val="auto"/>
              </w:rPr>
            </w:pPr>
          </w:p>
        </w:tc>
        <w:tc>
          <w:tcPr>
            <w:tcW w:w="3340" w:type="dxa"/>
            <w:vAlign w:val="bottom"/>
            <w:gridSpan w:val="5"/>
            <w:vMerge w:val="restart"/>
          </w:tcPr>
          <w:p>
            <w:pPr>
              <w:spacing w:after="0"/>
              <w:rPr>
                <w:sz w:val="15"/>
                <w:szCs w:val="15"/>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140" w:type="dxa"/>
            <w:vAlign w:val="bottom"/>
            <w:vMerge w:val="restart"/>
          </w:tcPr>
          <w:p>
            <w:pPr>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Notes to Consolidated Financial Statements</w:t>
              </w:r>
            </w:hyperlink>
          </w:p>
        </w:tc>
        <w:tc>
          <w:tcPr>
            <w:tcW w:w="2260" w:type="dxa"/>
            <w:vAlign w:val="bottom"/>
            <w:gridSpan w:val="2"/>
          </w:tcPr>
          <w:p>
            <w:pPr>
              <w:spacing w:after="0"/>
              <w:rPr>
                <w:sz w:val="4"/>
                <w:szCs w:val="4"/>
                <w:color w:val="auto"/>
              </w:rPr>
            </w:pPr>
          </w:p>
        </w:tc>
        <w:tc>
          <w:tcPr>
            <w:tcW w:w="3340" w:type="dxa"/>
            <w:vAlign w:val="bottom"/>
            <w:gridSpan w:val="5"/>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tcBorders>
              <w:bottom w:val="single" w:sz="8" w:color="0000FF"/>
            </w:tcBorders>
            <w:vMerge w:val="continue"/>
          </w:tcPr>
          <w:p>
            <w:pPr>
              <w:spacing w:after="0"/>
              <w:rPr>
                <w:sz w:val="15"/>
                <w:szCs w:val="15"/>
                <w:color w:val="auto"/>
              </w:rPr>
            </w:pPr>
          </w:p>
        </w:tc>
        <w:tc>
          <w:tcPr>
            <w:tcW w:w="5600" w:type="dxa"/>
            <w:vAlign w:val="bottom"/>
            <w:gridSpan w:val="7"/>
            <w:vMerge w:val="restart"/>
          </w:tcPr>
          <w:p>
            <w:pPr>
              <w:spacing w:after="0"/>
              <w:rPr>
                <w:sz w:val="15"/>
                <w:szCs w:val="15"/>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5600" w:type="dxa"/>
            <w:vAlign w:val="bottom"/>
            <w:gridSpan w:val="7"/>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Financial Statement Schedules</w:t>
      </w:r>
    </w:p>
    <w:p>
      <w:pPr>
        <w:spacing w:after="0" w:line="8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740" w:hanging="254"/>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81" w:lineRule="exact"/>
        <w:rPr>
          <w:sz w:val="20"/>
          <w:szCs w:val="20"/>
          <w:color w:val="auto"/>
        </w:rPr>
      </w:pPr>
    </w:p>
    <w:p>
      <w:pPr>
        <w:ind w:left="960"/>
        <w:spacing w:after="0" w:line="261" w:lineRule="auto"/>
        <w:rPr>
          <w:sz w:val="20"/>
          <w:szCs w:val="20"/>
          <w:color w:val="auto"/>
        </w:rPr>
      </w:pPr>
      <w:r>
        <w:rPr>
          <w:rFonts w:ascii="Arial" w:cs="Arial" w:eastAsia="Arial" w:hAnsi="Arial"/>
          <w:sz w:val="18"/>
          <w:szCs w:val="18"/>
          <w:color w:val="auto"/>
        </w:rPr>
        <w:t>Unless otherwise noted, the following exhibits are filed as part of this report or hereby incorporated by reference to exhibits previously filed with the SEC:</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360" w:type="dxa"/>
            <w:vAlign w:val="bottom"/>
          </w:tcPr>
          <w:p>
            <w:pPr>
              <w:ind w:left="68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gridSpan w:val="20"/>
          </w:tcPr>
          <w:p>
            <w:pPr>
              <w:ind w:left="520"/>
              <w:spacing w:after="0"/>
              <w:rPr>
                <w:sz w:val="20"/>
                <w:szCs w:val="20"/>
                <w:color w:val="auto"/>
              </w:rPr>
            </w:pPr>
            <w:r>
              <w:rPr>
                <w:rFonts w:ascii="Arial" w:cs="Arial" w:eastAsia="Arial" w:hAnsi="Arial"/>
                <w:sz w:val="18"/>
                <w:szCs w:val="18"/>
                <w:b w:val="1"/>
                <w:bCs w:val="1"/>
                <w:color w:val="auto"/>
              </w:rPr>
              <w:t>Description</w:t>
            </w:r>
          </w:p>
        </w:tc>
      </w:tr>
      <w:tr>
        <w:trPr>
          <w:trHeight w:val="221"/>
        </w:trPr>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69"/>
        </w:trPr>
        <w:tc>
          <w:tcPr>
            <w:tcW w:w="1360" w:type="dxa"/>
            <w:vAlign w:val="bottom"/>
          </w:tcPr>
          <w:p>
            <w:pPr>
              <w:ind w:left="100"/>
              <w:spacing w:after="0" w:line="169"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20" w:type="dxa"/>
            <w:vAlign w:val="bottom"/>
            <w:gridSpan w:val="22"/>
          </w:tcPr>
          <w:p>
            <w:pPr>
              <w:spacing w:after="0" w:line="169" w:lineRule="exact"/>
              <w:rPr>
                <w:rFonts w:ascii="Arial" w:cs="Arial" w:eastAsia="Arial" w:hAnsi="Arial"/>
                <w:sz w:val="18"/>
                <w:szCs w:val="18"/>
                <w:color w:val="0000FF"/>
                <w:w w:val="96"/>
              </w:rPr>
            </w:pPr>
            <w:hyperlink r:id="rId693">
              <w:r>
                <w:rPr>
                  <w:rFonts w:ascii="Arial" w:cs="Arial" w:eastAsia="Arial" w:hAnsi="Arial"/>
                  <w:sz w:val="18"/>
                  <w:szCs w:val="18"/>
                  <w:color w:val="0000FF"/>
                  <w:w w:val="96"/>
                </w:rPr>
                <w:t>Articles of Amendment and Restatement of the Registrant (Filed as Exhibit (a)(1) to Pre-Effective Amendment</w:t>
              </w:r>
            </w:hyperlink>
          </w:p>
        </w:tc>
      </w:tr>
      <w:tr>
        <w:trPr>
          <w:trHeight w:val="183"/>
        </w:trPr>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tcBorders>
              <w:top w:val="single" w:sz="8" w:color="0000FF"/>
              <w:bottom w:val="single" w:sz="8" w:color="0000FF"/>
            </w:tcBorders>
            <w:gridSpan w:val="12"/>
          </w:tcPr>
          <w:p>
            <w:pPr>
              <w:spacing w:after="0" w:line="183" w:lineRule="exact"/>
              <w:rPr>
                <w:rFonts w:ascii="Arial" w:cs="Arial" w:eastAsia="Arial" w:hAnsi="Arial"/>
                <w:sz w:val="18"/>
                <w:szCs w:val="18"/>
                <w:color w:val="0000FF"/>
              </w:rPr>
            </w:pPr>
            <w:hyperlink r:id="rId693">
              <w:r>
                <w:rPr>
                  <w:rFonts w:ascii="Arial" w:cs="Arial" w:eastAsia="Arial" w:hAnsi="Arial"/>
                  <w:sz w:val="18"/>
                  <w:szCs w:val="18"/>
                  <w:color w:val="0000FF"/>
                </w:rPr>
                <w:t xml:space="preserve">No. 2 to the Registrant’s Registration Statement on Form N-2 (File No. 333-172550) filed with the </w:t>
              </w:r>
              <w:r>
                <w:rPr>
                  <w:rFonts w:ascii="Arial" w:cs="Arial" w:eastAsia="Arial" w:hAnsi="Arial"/>
                  <w:sz w:val="21"/>
                  <w:szCs w:val="21"/>
                  <w:color w:val="0000FF"/>
                </w:rPr>
                <w:t>U.S.</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40" w:type="dxa"/>
            <w:vAlign w:val="bottom"/>
            <w:tcBorders>
              <w:bottom w:val="single" w:sz="8" w:color="0000FF"/>
            </w:tcBorders>
            <w:gridSpan w:val="6"/>
          </w:tcPr>
          <w:p>
            <w:pPr>
              <w:spacing w:after="0" w:line="169" w:lineRule="exact"/>
              <w:rPr>
                <w:rFonts w:ascii="Arial" w:cs="Arial" w:eastAsia="Arial" w:hAnsi="Arial"/>
                <w:sz w:val="18"/>
                <w:szCs w:val="18"/>
                <w:color w:val="0000FF"/>
                <w:w w:val="90"/>
              </w:rPr>
            </w:pPr>
            <w:hyperlink r:id="rId693">
              <w:r>
                <w:rPr>
                  <w:rFonts w:ascii="Arial" w:cs="Arial" w:eastAsia="Arial" w:hAnsi="Arial"/>
                  <w:sz w:val="18"/>
                  <w:szCs w:val="18"/>
                  <w:color w:val="0000FF"/>
                  <w:w w:val="90"/>
                </w:rPr>
                <w:t>Securities and Exchange Commission on April 29, 2011 and incorporated herein by reference).</w:t>
              </w:r>
            </w:hyperlink>
          </w:p>
        </w:tc>
        <w:tc>
          <w:tcPr>
            <w:tcW w:w="140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360" w:type="dxa"/>
            <w:vAlign w:val="bottom"/>
          </w:tcPr>
          <w:p>
            <w:pPr>
              <w:ind w:left="10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20" w:type="dxa"/>
            <w:vAlign w:val="bottom"/>
            <w:gridSpan w:val="22"/>
          </w:tcPr>
          <w:p>
            <w:pPr>
              <w:spacing w:after="0"/>
              <w:rPr>
                <w:rFonts w:ascii="Arial" w:cs="Arial" w:eastAsia="Arial" w:hAnsi="Arial"/>
                <w:sz w:val="18"/>
                <w:szCs w:val="18"/>
                <w:color w:val="0000FF"/>
              </w:rPr>
            </w:pPr>
            <w:hyperlink r:id="rId694">
              <w:r>
                <w:rPr>
                  <w:rFonts w:ascii="Arial" w:cs="Arial" w:eastAsia="Arial" w:hAnsi="Arial"/>
                  <w:sz w:val="18"/>
                  <w:szCs w:val="18"/>
                  <w:color w:val="0000FF"/>
                </w:rPr>
                <w:t>Bylaws of the Registrant (Filed as Exhibit (b)(1) to Pre-Effective Amendment No. 2 to the Registrant’s</w:t>
              </w:r>
            </w:hyperlink>
          </w:p>
        </w:tc>
      </w:tr>
      <w:tr>
        <w:trPr>
          <w:trHeight w:val="183"/>
        </w:trPr>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tcBorders>
              <w:top w:val="single" w:sz="8" w:color="0000FF"/>
              <w:bottom w:val="single" w:sz="8" w:color="0000FF"/>
            </w:tcBorders>
            <w:gridSpan w:val="14"/>
          </w:tcPr>
          <w:p>
            <w:pPr>
              <w:spacing w:after="0" w:line="183" w:lineRule="exact"/>
              <w:rPr>
                <w:rFonts w:ascii="Arial" w:cs="Arial" w:eastAsia="Arial" w:hAnsi="Arial"/>
                <w:sz w:val="18"/>
                <w:szCs w:val="18"/>
                <w:color w:val="0000FF"/>
                <w:w w:val="99"/>
              </w:rPr>
            </w:pPr>
            <w:hyperlink r:id="rId694">
              <w:r>
                <w:rPr>
                  <w:rFonts w:ascii="Arial" w:cs="Arial" w:eastAsia="Arial" w:hAnsi="Arial"/>
                  <w:sz w:val="18"/>
                  <w:szCs w:val="18"/>
                  <w:color w:val="0000FF"/>
                  <w:w w:val="99"/>
                </w:rPr>
                <w:t xml:space="preserve">Registration Statement on Form N-2 (File No. 333-172550) filed with the </w:t>
              </w:r>
              <w:r>
                <w:rPr>
                  <w:rFonts w:ascii="Arial" w:cs="Arial" w:eastAsia="Arial" w:hAnsi="Arial"/>
                  <w:sz w:val="21"/>
                  <w:szCs w:val="21"/>
                  <w:color w:val="0000FF"/>
                  <w:w w:val="99"/>
                </w:rPr>
                <w:t>U.S.</w:t>
              </w:r>
              <w:r>
                <w:rPr>
                  <w:rFonts w:ascii="Arial" w:cs="Arial" w:eastAsia="Arial" w:hAnsi="Arial"/>
                  <w:sz w:val="18"/>
                  <w:szCs w:val="18"/>
                  <w:color w:val="0000FF"/>
                  <w:w w:val="99"/>
                </w:rPr>
                <w:t xml:space="preserve"> Securities and Exchange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tcBorders>
              <w:bottom w:val="single" w:sz="8" w:color="0000FF"/>
            </w:tcBorders>
            <w:gridSpan w:val="3"/>
          </w:tcPr>
          <w:p>
            <w:pPr>
              <w:spacing w:after="0" w:line="169" w:lineRule="exact"/>
              <w:rPr>
                <w:rFonts w:ascii="Arial" w:cs="Arial" w:eastAsia="Arial" w:hAnsi="Arial"/>
                <w:sz w:val="18"/>
                <w:szCs w:val="18"/>
                <w:color w:val="0000FF"/>
                <w:w w:val="91"/>
              </w:rPr>
            </w:pPr>
            <w:hyperlink r:id="rId694">
              <w:r>
                <w:rPr>
                  <w:rFonts w:ascii="Arial" w:cs="Arial" w:eastAsia="Arial" w:hAnsi="Arial"/>
                  <w:sz w:val="18"/>
                  <w:szCs w:val="18"/>
                  <w:color w:val="0000FF"/>
                  <w:w w:val="91"/>
                </w:rPr>
                <w:t>Commission on April 29, 2011 and incorporated herein by reference).</w:t>
              </w:r>
            </w:hyperlink>
          </w:p>
        </w:tc>
        <w:tc>
          <w:tcPr>
            <w:tcW w:w="332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360" w:type="dxa"/>
            <w:vAlign w:val="bottom"/>
          </w:tcPr>
          <w:p>
            <w:pPr>
              <w:ind w:left="10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20" w:type="dxa"/>
            <w:vAlign w:val="bottom"/>
            <w:gridSpan w:val="22"/>
          </w:tcPr>
          <w:p>
            <w:pPr>
              <w:spacing w:after="0"/>
              <w:rPr>
                <w:rFonts w:ascii="Arial" w:cs="Arial" w:eastAsia="Arial" w:hAnsi="Arial"/>
                <w:sz w:val="18"/>
                <w:szCs w:val="18"/>
                <w:color w:val="0000FF"/>
              </w:rPr>
            </w:pPr>
            <w:hyperlink r:id="rId695">
              <w:r>
                <w:rPr>
                  <w:rFonts w:ascii="Arial" w:cs="Arial" w:eastAsia="Arial" w:hAnsi="Arial"/>
                  <w:sz w:val="18"/>
                  <w:szCs w:val="18"/>
                  <w:color w:val="0000FF"/>
                </w:rPr>
                <w:t>Form of Stock Certificate of the Registrant (Filed as Exhibit (d) to Pre-Effective Amendment No. 2 to the</w:t>
              </w:r>
            </w:hyperlink>
          </w:p>
        </w:tc>
      </w:tr>
      <w:tr>
        <w:trPr>
          <w:trHeight w:val="155"/>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r:id="rId695">
              <w:r>
                <w:rPr>
                  <w:rFonts w:ascii="Arial" w:cs="Arial" w:eastAsia="Arial" w:hAnsi="Arial"/>
                  <w:sz w:val="18"/>
                  <w:szCs w:val="18"/>
                  <w:color w:val="0000FF"/>
                  <w:w w:val="99"/>
                </w:rPr>
                <w:t>Registrant’s Registration Statement on Form N-2 (File No. 333-172550) filed with the U.S. Securities and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80" w:type="dxa"/>
            <w:vAlign w:val="bottom"/>
            <w:tcBorders>
              <w:bottom w:val="single" w:sz="8" w:color="0000FF"/>
            </w:tcBorders>
            <w:gridSpan w:val="5"/>
          </w:tcPr>
          <w:p>
            <w:pPr>
              <w:spacing w:after="0" w:line="156" w:lineRule="exact"/>
              <w:rPr>
                <w:rFonts w:ascii="Arial" w:cs="Arial" w:eastAsia="Arial" w:hAnsi="Arial"/>
                <w:sz w:val="18"/>
                <w:szCs w:val="18"/>
                <w:color w:val="0000FF"/>
                <w:w w:val="90"/>
              </w:rPr>
            </w:pPr>
            <w:hyperlink r:id="rId695">
              <w:r>
                <w:rPr>
                  <w:rFonts w:ascii="Arial" w:cs="Arial" w:eastAsia="Arial" w:hAnsi="Arial"/>
                  <w:sz w:val="18"/>
                  <w:szCs w:val="18"/>
                  <w:color w:val="0000FF"/>
                  <w:w w:val="90"/>
                </w:rPr>
                <w:t>Exchange Commission on April 29, 2011 and incorporated herein by reference).</w:t>
              </w:r>
            </w:hyperlink>
          </w:p>
        </w:tc>
        <w:tc>
          <w:tcPr>
            <w:tcW w:w="25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98"/>
        </w:trPr>
        <w:tc>
          <w:tcPr>
            <w:tcW w:w="1360" w:type="dxa"/>
            <w:vAlign w:val="bottom"/>
          </w:tcPr>
          <w:p>
            <w:pPr>
              <w:ind w:left="10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20" w:type="dxa"/>
            <w:vAlign w:val="bottom"/>
            <w:gridSpan w:val="22"/>
          </w:tcPr>
          <w:p>
            <w:pPr>
              <w:spacing w:after="0"/>
              <w:rPr>
                <w:rFonts w:ascii="Arial" w:cs="Arial" w:eastAsia="Arial" w:hAnsi="Arial"/>
                <w:sz w:val="18"/>
                <w:szCs w:val="18"/>
                <w:color w:val="0000FF"/>
                <w:w w:val="99"/>
              </w:rPr>
            </w:pPr>
            <w:hyperlink r:id="rId696">
              <w:r>
                <w:rPr>
                  <w:rFonts w:ascii="Arial" w:cs="Arial" w:eastAsia="Arial" w:hAnsi="Arial"/>
                  <w:sz w:val="18"/>
                  <w:szCs w:val="18"/>
                  <w:color w:val="0000FF"/>
                  <w:w w:val="99"/>
                </w:rPr>
                <w:t>Agreement to Furnish Certain Instruments (Filed as Exhibit (f)(2) to Pre-Effective Amendment No. 3 to the</w:t>
              </w:r>
            </w:hyperlink>
          </w:p>
        </w:tc>
      </w:tr>
      <w:tr>
        <w:trPr>
          <w:trHeight w:val="156"/>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696">
              <w:r>
                <w:rPr>
                  <w:rFonts w:ascii="Arial" w:cs="Arial" w:eastAsia="Arial" w:hAnsi="Arial"/>
                  <w:sz w:val="18"/>
                  <w:szCs w:val="18"/>
                  <w:color w:val="0000FF"/>
                  <w:w w:val="99"/>
                </w:rPr>
                <w:t>Registrant’s Registration Statement on Form N-2 (File No. 333-172550) filed with the U.S.  Securities and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0" w:type="dxa"/>
            <w:vAlign w:val="bottom"/>
            <w:gridSpan w:val="21"/>
          </w:tcPr>
          <w:p>
            <w:pPr>
              <w:spacing w:after="0" w:line="156" w:lineRule="exact"/>
              <w:rPr>
                <w:rFonts w:ascii="Arial" w:cs="Arial" w:eastAsia="Arial" w:hAnsi="Arial"/>
                <w:sz w:val="18"/>
                <w:szCs w:val="18"/>
                <w:color w:val="0000FF"/>
              </w:rPr>
            </w:pPr>
            <w:hyperlink r:id="rId696">
              <w:r>
                <w:rPr>
                  <w:rFonts w:ascii="Arial" w:cs="Arial" w:eastAsia="Arial" w:hAnsi="Arial"/>
                  <w:sz w:val="18"/>
                  <w:szCs w:val="18"/>
                  <w:color w:val="0000FF"/>
                </w:rPr>
                <w:t>Exchange Commission on May 26, 2011 and incorporated herein by reference).</w:t>
              </w:r>
            </w:hyperlink>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98"/>
        </w:trPr>
        <w:tc>
          <w:tcPr>
            <w:tcW w:w="1360" w:type="dxa"/>
            <w:vAlign w:val="bottom"/>
          </w:tcPr>
          <w:p>
            <w:pPr>
              <w:ind w:left="10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20" w:type="dxa"/>
            <w:vAlign w:val="bottom"/>
            <w:gridSpan w:val="22"/>
          </w:tcPr>
          <w:p>
            <w:pPr>
              <w:spacing w:after="0"/>
              <w:rPr>
                <w:rFonts w:ascii="Arial" w:cs="Arial" w:eastAsia="Arial" w:hAnsi="Arial"/>
                <w:sz w:val="18"/>
                <w:szCs w:val="18"/>
                <w:color w:val="0000FF"/>
                <w:w w:val="97"/>
              </w:rPr>
            </w:pPr>
            <w:hyperlink r:id="rId697">
              <w:r>
                <w:rPr>
                  <w:rFonts w:ascii="Arial" w:cs="Arial" w:eastAsia="Arial" w:hAnsi="Arial"/>
                  <w:sz w:val="18"/>
                  <w:szCs w:val="18"/>
                  <w:color w:val="0000FF"/>
                  <w:w w:val="97"/>
                </w:rPr>
                <w:t>Form of Indenture (Filed as Exhibit (d)(5) to Post-Effective Amendment No. 2 to the Registrant’s Registration</w:t>
              </w:r>
            </w:hyperlink>
          </w:p>
        </w:tc>
      </w:tr>
      <w:tr>
        <w:trPr>
          <w:trHeight w:val="155"/>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4"/>
              </w:rPr>
            </w:pPr>
            <w:hyperlink r:id="rId697">
              <w:r>
                <w:rPr>
                  <w:rFonts w:ascii="Arial" w:cs="Arial" w:eastAsia="Arial" w:hAnsi="Arial"/>
                  <w:sz w:val="18"/>
                  <w:szCs w:val="18"/>
                  <w:color w:val="0000FF"/>
                  <w:w w:val="94"/>
                </w:rPr>
                <w:t>Statement on Form N-2 (File No. 333-202531) filed with the Securities and Exchange Commission on April 29,</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340" w:type="dxa"/>
            <w:vAlign w:val="bottom"/>
            <w:gridSpan w:val="18"/>
          </w:tcPr>
          <w:p>
            <w:pPr>
              <w:spacing w:after="0" w:line="156" w:lineRule="exact"/>
              <w:rPr>
                <w:rFonts w:ascii="Arial" w:cs="Arial" w:eastAsia="Arial" w:hAnsi="Arial"/>
                <w:sz w:val="18"/>
                <w:szCs w:val="18"/>
                <w:color w:val="0000FF"/>
              </w:rPr>
            </w:pPr>
            <w:hyperlink r:id="rId697">
              <w:r>
                <w:rPr>
                  <w:rFonts w:ascii="Arial" w:cs="Arial" w:eastAsia="Arial" w:hAnsi="Arial"/>
                  <w:sz w:val="18"/>
                  <w:szCs w:val="18"/>
                  <w:color w:val="0000FF"/>
                </w:rPr>
                <w:t>2016 and incorporated herein by reference).</w:t>
              </w:r>
            </w:hyperlink>
          </w:p>
        </w:tc>
        <w:tc>
          <w:tcPr>
            <w:tcW w:w="8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99"/>
        </w:trPr>
        <w:tc>
          <w:tcPr>
            <w:tcW w:w="1360" w:type="dxa"/>
            <w:vAlign w:val="bottom"/>
          </w:tcPr>
          <w:p>
            <w:pPr>
              <w:ind w:left="10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20" w:type="dxa"/>
            <w:vAlign w:val="bottom"/>
            <w:gridSpan w:val="22"/>
          </w:tcPr>
          <w:p>
            <w:pPr>
              <w:spacing w:after="0"/>
              <w:rPr>
                <w:rFonts w:ascii="Arial" w:cs="Arial" w:eastAsia="Arial" w:hAnsi="Arial"/>
                <w:sz w:val="18"/>
                <w:szCs w:val="18"/>
                <w:color w:val="0000FF"/>
                <w:w w:val="93"/>
              </w:rPr>
            </w:pPr>
            <w:hyperlink r:id="rId698">
              <w:r>
                <w:rPr>
                  <w:rFonts w:ascii="Arial" w:cs="Arial" w:eastAsia="Arial" w:hAnsi="Arial"/>
                  <w:sz w:val="18"/>
                  <w:szCs w:val="18"/>
                  <w:color w:val="0000FF"/>
                  <w:w w:val="93"/>
                </w:rPr>
                <w:t>Fourth Supplemental Indenture dated as of December 23, 2020 between Fidus Investment Corporation and U.S.</w:t>
              </w:r>
            </w:hyperlink>
          </w:p>
        </w:tc>
      </w:tr>
      <w:tr>
        <w:trPr>
          <w:trHeight w:val="155"/>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8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698">
              <w:r>
                <w:rPr>
                  <w:rFonts w:ascii="Arial" w:cs="Arial" w:eastAsia="Arial" w:hAnsi="Arial"/>
                  <w:sz w:val="18"/>
                  <w:szCs w:val="18"/>
                  <w:color w:val="0000FF"/>
                  <w:w w:val="92"/>
                </w:rPr>
                <w:t>Bank National Association, as trustee (Filed as Exhibit 4.1 to the Registrant’s Current report on Form 8-K filed</w:t>
              </w:r>
            </w:hyperlink>
          </w:p>
        </w:tc>
        <w:tc>
          <w:tcPr>
            <w:tcW w:w="1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8"/>
              </w:rPr>
            </w:pPr>
            <w:hyperlink r:id="rId698">
              <w:r>
                <w:rPr>
                  <w:rFonts w:ascii="Arial" w:cs="Arial" w:eastAsia="Arial" w:hAnsi="Arial"/>
                  <w:sz w:val="18"/>
                  <w:szCs w:val="18"/>
                  <w:color w:val="0000FF"/>
                  <w:w w:val="88"/>
                </w:rPr>
                <w:t>with the U.S. Securities and Exchange Commission on December 23, 2020 and incorporated herein by reference)</w:t>
              </w:r>
            </w:hyperlink>
          </w:p>
        </w:tc>
        <w:tc>
          <w:tcPr>
            <w:tcW w:w="160" w:type="dxa"/>
            <w:vAlign w:val="bottom"/>
            <w:tcBorders>
              <w:bottom w:val="single" w:sz="8" w:color="0000FF"/>
            </w:tcBorders>
            <w:gridSpan w:val="3"/>
          </w:tcPr>
          <w:p>
            <w:pPr>
              <w:jc w:val="right"/>
              <w:spacing w:after="0" w:line="156" w:lineRule="exact"/>
              <w:rPr>
                <w:rFonts w:ascii="Arial" w:cs="Arial" w:eastAsia="Arial" w:hAnsi="Arial"/>
                <w:sz w:val="18"/>
                <w:szCs w:val="18"/>
                <w:color w:val="0000FF"/>
              </w:rPr>
            </w:pPr>
            <w:hyperlink r:id="rId698">
              <w:r>
                <w:rPr>
                  <w:rFonts w:ascii="Arial" w:cs="Arial" w:eastAsia="Arial" w:hAnsi="Arial"/>
                  <w:sz w:val="18"/>
                  <w:szCs w:val="18"/>
                  <w:color w:val="0000FF"/>
                </w:rPr>
                <w:t>.</w:t>
              </w:r>
            </w:hyperlink>
          </w:p>
        </w:tc>
        <w:tc>
          <w:tcPr>
            <w:tcW w:w="220" w:type="dxa"/>
            <w:vAlign w:val="bottom"/>
            <w:gridSpan w:val="11"/>
          </w:tcPr>
          <w:p>
            <w:pPr>
              <w:spacing w:after="0"/>
              <w:rPr>
                <w:sz w:val="13"/>
                <w:szCs w:val="13"/>
                <w:color w:val="auto"/>
              </w:rPr>
            </w:pPr>
          </w:p>
        </w:tc>
      </w:tr>
      <w:tr>
        <w:trPr>
          <w:trHeight w:val="371"/>
        </w:trPr>
        <w:tc>
          <w:tcPr>
            <w:tcW w:w="1360" w:type="dxa"/>
            <w:vAlign w:val="bottom"/>
          </w:tcPr>
          <w:p>
            <w:pPr>
              <w:ind w:left="10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20" w:type="dxa"/>
            <w:vAlign w:val="bottom"/>
            <w:gridSpan w:val="22"/>
          </w:tcPr>
          <w:p>
            <w:pPr>
              <w:spacing w:after="0"/>
              <w:rPr>
                <w:rFonts w:ascii="Arial" w:cs="Arial" w:eastAsia="Arial" w:hAnsi="Arial"/>
                <w:sz w:val="18"/>
                <w:szCs w:val="18"/>
                <w:color w:val="0000FF"/>
                <w:w w:val="95"/>
              </w:rPr>
            </w:pPr>
            <w:hyperlink r:id="rId699">
              <w:r>
                <w:rPr>
                  <w:rFonts w:ascii="Arial" w:cs="Arial" w:eastAsia="Arial" w:hAnsi="Arial"/>
                  <w:sz w:val="18"/>
                  <w:szCs w:val="18"/>
                  <w:color w:val="0000FF"/>
                  <w:w w:val="95"/>
                </w:rPr>
                <w:t>Form of Global Note with respect to the 4.75% Notes due 2026 (Filed as Exhibit 4.1 to the Registrant’s Current</w:t>
              </w:r>
            </w:hyperlink>
          </w:p>
        </w:tc>
      </w:tr>
      <w:tr>
        <w:trPr>
          <w:trHeight w:val="156"/>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tcBorders>
              <w:top w:val="single" w:sz="8" w:color="0000FF"/>
            </w:tcBorders>
            <w:gridSpan w:val="9"/>
          </w:tcPr>
          <w:p>
            <w:pPr>
              <w:spacing w:after="0" w:line="156" w:lineRule="exact"/>
              <w:rPr>
                <w:rFonts w:ascii="Arial" w:cs="Arial" w:eastAsia="Arial" w:hAnsi="Arial"/>
                <w:sz w:val="18"/>
                <w:szCs w:val="18"/>
                <w:color w:val="0000FF"/>
                <w:w w:val="97"/>
              </w:rPr>
            </w:pPr>
            <w:hyperlink r:id="rId699">
              <w:r>
                <w:rPr>
                  <w:rFonts w:ascii="Arial" w:cs="Arial" w:eastAsia="Arial" w:hAnsi="Arial"/>
                  <w:sz w:val="18"/>
                  <w:szCs w:val="18"/>
                  <w:color w:val="0000FF"/>
                  <w:w w:val="97"/>
                </w:rPr>
                <w:t>report on Form 8-K filed with the U.S. Securities and Exchange Commission on December 23, 2020 and</w:t>
              </w:r>
            </w:hyperlink>
          </w:p>
        </w:tc>
        <w:tc>
          <w:tcPr>
            <w:tcW w:w="360" w:type="dxa"/>
            <w:vAlign w:val="bottom"/>
            <w:gridSpan w:val="1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5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699">
              <w:r>
                <w:rPr>
                  <w:rFonts w:ascii="Arial" w:cs="Arial" w:eastAsia="Arial" w:hAnsi="Arial"/>
                  <w:sz w:val="18"/>
                  <w:szCs w:val="18"/>
                  <w:color w:val="0000FF"/>
                </w:rPr>
                <w:t>incorporated herein by reference).</w:t>
              </w:r>
            </w:hyperlink>
          </w:p>
        </w:tc>
        <w:tc>
          <w:tcPr>
            <w:tcW w:w="840" w:type="dxa"/>
            <w:vAlign w:val="bottom"/>
            <w:gridSpan w:val="15"/>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auto"/>
              </w:rPr>
              <w:t>4.6</w:t>
            </w:r>
          </w:p>
        </w:tc>
        <w:tc>
          <w:tcPr>
            <w:tcW w:w="8140" w:type="dxa"/>
            <w:vAlign w:val="bottom"/>
            <w:tcBorders>
              <w:bottom w:val="single" w:sz="8" w:color="0000FF"/>
            </w:tcBorders>
            <w:gridSpan w:val="10"/>
          </w:tcPr>
          <w:p>
            <w:pPr>
              <w:spacing w:after="0"/>
              <w:rPr>
                <w:rFonts w:ascii="Arial" w:cs="Arial" w:eastAsia="Arial" w:hAnsi="Arial"/>
                <w:sz w:val="18"/>
                <w:szCs w:val="18"/>
                <w:color w:val="0000FF"/>
                <w:w w:val="90"/>
              </w:rPr>
            </w:pPr>
            <w:hyperlink r:id="rId701">
              <w:r>
                <w:rPr>
                  <w:rFonts w:ascii="Arial" w:cs="Arial" w:eastAsia="Arial" w:hAnsi="Arial"/>
                  <w:sz w:val="18"/>
                  <w:szCs w:val="18"/>
                  <w:color w:val="0000FF"/>
                  <w:w w:val="90"/>
                </w:rPr>
                <w:t>Fifth Supplemental Indenture dated as of October 8, 2021 between Fidus Investment Corporation and U.S. Bank</w:t>
              </w:r>
            </w:hyperlink>
          </w:p>
        </w:tc>
        <w:tc>
          <w:tcPr>
            <w:tcW w:w="380" w:type="dxa"/>
            <w:vAlign w:val="bottom"/>
            <w:gridSpan w:val="17"/>
          </w:tcPr>
          <w:p>
            <w:pPr>
              <w:spacing w:after="0"/>
              <w:rPr>
                <w:sz w:val="17"/>
                <w:szCs w:val="17"/>
                <w:color w:val="auto"/>
              </w:rPr>
            </w:pPr>
          </w:p>
        </w:tc>
      </w:tr>
      <w:tr>
        <w:trPr>
          <w:trHeight w:val="155"/>
        </w:trPr>
        <w:tc>
          <w:tcPr>
            <w:tcW w:w="1660" w:type="dxa"/>
            <w:vAlign w:val="bottom"/>
          </w:tcPr>
          <w:p>
            <w:pPr>
              <w:spacing w:after="0"/>
              <w:rPr>
                <w:sz w:val="13"/>
                <w:szCs w:val="13"/>
                <w:color w:val="auto"/>
              </w:rPr>
            </w:pPr>
          </w:p>
        </w:tc>
        <w:tc>
          <w:tcPr>
            <w:tcW w:w="8520" w:type="dxa"/>
            <w:vAlign w:val="bottom"/>
            <w:tcBorders>
              <w:bottom w:val="single" w:sz="8" w:color="0000FF"/>
            </w:tcBorders>
            <w:gridSpan w:val="27"/>
          </w:tcPr>
          <w:p>
            <w:pPr>
              <w:spacing w:after="0" w:line="156" w:lineRule="exact"/>
              <w:rPr>
                <w:rFonts w:ascii="Arial" w:cs="Arial" w:eastAsia="Arial" w:hAnsi="Arial"/>
                <w:sz w:val="18"/>
                <w:szCs w:val="18"/>
                <w:color w:val="0000FF"/>
                <w:w w:val="95"/>
              </w:rPr>
            </w:pPr>
            <w:hyperlink r:id="rId701">
              <w:r>
                <w:rPr>
                  <w:rFonts w:ascii="Arial" w:cs="Arial" w:eastAsia="Arial" w:hAnsi="Arial"/>
                  <w:sz w:val="18"/>
                  <w:szCs w:val="18"/>
                  <w:color w:val="0000FF"/>
                  <w:w w:val="95"/>
                </w:rPr>
                <w:t>National Association, as trustee (Filed as Exhibit 4.1 to the Registrant’s Current report on Form 8-K filed with the</w:t>
              </w:r>
            </w:hyperlink>
          </w:p>
        </w:tc>
      </w:tr>
      <w:tr>
        <w:trPr>
          <w:trHeight w:val="156"/>
        </w:trPr>
        <w:tc>
          <w:tcPr>
            <w:tcW w:w="1660" w:type="dxa"/>
            <w:vAlign w:val="bottom"/>
          </w:tcPr>
          <w:p>
            <w:pPr>
              <w:spacing w:after="0"/>
              <w:rPr>
                <w:sz w:val="13"/>
                <w:szCs w:val="13"/>
                <w:color w:val="auto"/>
              </w:rPr>
            </w:pPr>
          </w:p>
        </w:tc>
        <w:tc>
          <w:tcPr>
            <w:tcW w:w="7320" w:type="dxa"/>
            <w:vAlign w:val="bottom"/>
            <w:tcBorders>
              <w:bottom w:val="single" w:sz="8" w:color="0000FF"/>
            </w:tcBorders>
            <w:gridSpan w:val="7"/>
          </w:tcPr>
          <w:p>
            <w:pPr>
              <w:spacing w:after="0" w:line="156" w:lineRule="exact"/>
              <w:rPr>
                <w:rFonts w:ascii="Arial" w:cs="Arial" w:eastAsia="Arial" w:hAnsi="Arial"/>
                <w:sz w:val="18"/>
                <w:szCs w:val="18"/>
                <w:color w:val="0000FF"/>
                <w:w w:val="89"/>
              </w:rPr>
            </w:pPr>
            <w:hyperlink r:id="rId701">
              <w:r>
                <w:rPr>
                  <w:rFonts w:ascii="Arial" w:cs="Arial" w:eastAsia="Arial" w:hAnsi="Arial"/>
                  <w:sz w:val="18"/>
                  <w:szCs w:val="18"/>
                  <w:color w:val="0000FF"/>
                  <w:w w:val="89"/>
                </w:rPr>
                <w:t>U.S. Securities and Exchange Commission on October 8, 2021 and incorporated herein by reference).</w:t>
              </w:r>
            </w:hyperlink>
          </w:p>
        </w:tc>
        <w:tc>
          <w:tcPr>
            <w:tcW w:w="1200" w:type="dxa"/>
            <w:vAlign w:val="bottom"/>
            <w:gridSpan w:val="20"/>
          </w:tcPr>
          <w:p>
            <w:pPr>
              <w:spacing w:after="0"/>
              <w:rPr>
                <w:sz w:val="13"/>
                <w:szCs w:val="13"/>
                <w:color w:val="auto"/>
              </w:rPr>
            </w:pPr>
          </w:p>
        </w:tc>
      </w:tr>
      <w:tr>
        <w:trPr>
          <w:trHeight w:val="372"/>
        </w:trPr>
        <w:tc>
          <w:tcPr>
            <w:tcW w:w="1660" w:type="dxa"/>
            <w:vAlign w:val="bottom"/>
          </w:tcPr>
          <w:p>
            <w:pPr>
              <w:spacing w:after="0"/>
              <w:rPr>
                <w:sz w:val="20"/>
                <w:szCs w:val="20"/>
                <w:color w:val="auto"/>
              </w:rPr>
            </w:pPr>
            <w:r>
              <w:rPr>
                <w:rFonts w:ascii="Arial" w:cs="Arial" w:eastAsia="Arial" w:hAnsi="Arial"/>
                <w:sz w:val="18"/>
                <w:szCs w:val="18"/>
                <w:color w:val="auto"/>
              </w:rPr>
              <w:t>4.7</w:t>
            </w:r>
          </w:p>
        </w:tc>
        <w:tc>
          <w:tcPr>
            <w:tcW w:w="8520" w:type="dxa"/>
            <w:vAlign w:val="bottom"/>
            <w:gridSpan w:val="27"/>
          </w:tcPr>
          <w:p>
            <w:pPr>
              <w:spacing w:after="0"/>
              <w:rPr>
                <w:rFonts w:ascii="Arial" w:cs="Arial" w:eastAsia="Arial" w:hAnsi="Arial"/>
                <w:sz w:val="18"/>
                <w:szCs w:val="18"/>
                <w:color w:val="0000FF"/>
                <w:w w:val="96"/>
              </w:rPr>
            </w:pPr>
            <w:hyperlink r:id="rId701">
              <w:r>
                <w:rPr>
                  <w:rFonts w:ascii="Arial" w:cs="Arial" w:eastAsia="Arial" w:hAnsi="Arial"/>
                  <w:sz w:val="18"/>
                  <w:szCs w:val="18"/>
                  <w:color w:val="0000FF"/>
                  <w:w w:val="96"/>
                </w:rPr>
                <w:t>Form of Global Note with respect to the 3.50% Notes due 2026 (Filed as Exhibit 4.1 to the Registrant’s Current</w:t>
              </w:r>
            </w:hyperlink>
          </w:p>
        </w:tc>
      </w:tr>
      <w:tr>
        <w:trPr>
          <w:trHeight w:val="155"/>
        </w:trPr>
        <w:tc>
          <w:tcPr>
            <w:tcW w:w="1660" w:type="dxa"/>
            <w:vAlign w:val="bottom"/>
          </w:tcPr>
          <w:p>
            <w:pPr>
              <w:spacing w:after="0"/>
              <w:rPr>
                <w:sz w:val="13"/>
                <w:szCs w:val="13"/>
                <w:color w:val="auto"/>
              </w:rPr>
            </w:pPr>
          </w:p>
        </w:tc>
        <w:tc>
          <w:tcPr>
            <w:tcW w:w="80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701">
              <w:r>
                <w:rPr>
                  <w:rFonts w:ascii="Arial" w:cs="Arial" w:eastAsia="Arial" w:hAnsi="Arial"/>
                  <w:sz w:val="18"/>
                  <w:szCs w:val="18"/>
                  <w:color w:val="0000FF"/>
                </w:rPr>
                <w:t>report on Form 8-K filed with the U.S. Securities and Exchange Commission on October 8, 2021 and</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60" w:type="dxa"/>
            <w:vAlign w:val="bottom"/>
          </w:tcPr>
          <w:p>
            <w:pPr>
              <w:spacing w:after="0"/>
              <w:rPr>
                <w:sz w:val="13"/>
                <w:szCs w:val="13"/>
                <w:color w:val="auto"/>
              </w:rPr>
            </w:pPr>
          </w:p>
        </w:tc>
        <w:tc>
          <w:tcPr>
            <w:tcW w:w="73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701">
              <w:r>
                <w:rPr>
                  <w:rFonts w:ascii="Arial" w:cs="Arial" w:eastAsia="Arial" w:hAnsi="Arial"/>
                  <w:sz w:val="18"/>
                  <w:szCs w:val="18"/>
                  <w:color w:val="0000FF"/>
                </w:rPr>
                <w:t>incorporated herein by reference).</w:t>
              </w:r>
            </w:hyperlink>
          </w:p>
        </w:tc>
        <w:tc>
          <w:tcPr>
            <w:tcW w:w="460" w:type="dxa"/>
            <w:vAlign w:val="bottom"/>
          </w:tcPr>
          <w:p>
            <w:pPr>
              <w:spacing w:after="0"/>
              <w:rPr>
                <w:sz w:val="13"/>
                <w:szCs w:val="13"/>
                <w:color w:val="auto"/>
              </w:rPr>
            </w:pPr>
          </w:p>
        </w:tc>
        <w:tc>
          <w:tcPr>
            <w:tcW w:w="4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06"/>
        </w:trPr>
        <w:tc>
          <w:tcPr>
            <w:tcW w:w="1660" w:type="dxa"/>
            <w:vAlign w:val="bottom"/>
          </w:tcPr>
          <w:p>
            <w:pPr>
              <w:spacing w:after="0"/>
              <w:rPr>
                <w:sz w:val="20"/>
                <w:szCs w:val="20"/>
                <w:color w:val="auto"/>
              </w:rPr>
            </w:pPr>
            <w:r>
              <w:rPr>
                <w:rFonts w:ascii="Arial" w:cs="Arial" w:eastAsia="Arial" w:hAnsi="Arial"/>
                <w:sz w:val="18"/>
                <w:szCs w:val="18"/>
                <w:color w:val="auto"/>
              </w:rPr>
              <w:t>4.8</w:t>
            </w:r>
          </w:p>
        </w:tc>
        <w:tc>
          <w:tcPr>
            <w:tcW w:w="192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w:anchor="page130">
              <w:r>
                <w:rPr>
                  <w:rFonts w:ascii="Arial" w:cs="Arial" w:eastAsia="Arial" w:hAnsi="Arial"/>
                  <w:sz w:val="18"/>
                  <w:szCs w:val="18"/>
                  <w:color w:val="0000FF"/>
                  <w:w w:val="92"/>
                </w:rPr>
                <w:t>Description of Securities.*</w:t>
              </w:r>
            </w:hyperlink>
          </w:p>
        </w:tc>
        <w:tc>
          <w:tcPr>
            <w:tcW w:w="520" w:type="dxa"/>
            <w:vAlign w:val="bottom"/>
            <w:tcBorders>
              <w:top w:val="single" w:sz="8" w:color="0000FF"/>
            </w:tcBorders>
          </w:tcPr>
          <w:p>
            <w:pPr>
              <w:spacing w:after="0"/>
              <w:rPr>
                <w:sz w:val="24"/>
                <w:szCs w:val="24"/>
                <w:color w:val="auto"/>
              </w:rPr>
            </w:pPr>
          </w:p>
        </w:tc>
        <w:tc>
          <w:tcPr>
            <w:tcW w:w="6080" w:type="dxa"/>
            <w:vAlign w:val="bottom"/>
            <w:gridSpan w:val="25"/>
          </w:tcPr>
          <w:p>
            <w:pPr>
              <w:spacing w:after="0"/>
              <w:rPr>
                <w:sz w:val="24"/>
                <w:szCs w:val="24"/>
                <w:color w:val="auto"/>
              </w:rPr>
            </w:pPr>
          </w:p>
        </w:tc>
      </w:tr>
      <w:tr>
        <w:trPr>
          <w:trHeight w:val="399"/>
        </w:trPr>
        <w:tc>
          <w:tcPr>
            <w:tcW w:w="1660" w:type="dxa"/>
            <w:vAlign w:val="bottom"/>
          </w:tcPr>
          <w:p>
            <w:pPr>
              <w:spacing w:after="0"/>
              <w:rPr>
                <w:sz w:val="20"/>
                <w:szCs w:val="20"/>
                <w:color w:val="auto"/>
              </w:rPr>
            </w:pPr>
            <w:r>
              <w:rPr>
                <w:rFonts w:ascii="Arial" w:cs="Arial" w:eastAsia="Arial" w:hAnsi="Arial"/>
                <w:sz w:val="18"/>
                <w:szCs w:val="18"/>
                <w:color w:val="auto"/>
              </w:rPr>
              <w:t>10.1</w:t>
            </w:r>
          </w:p>
        </w:tc>
        <w:tc>
          <w:tcPr>
            <w:tcW w:w="8520" w:type="dxa"/>
            <w:vAlign w:val="bottom"/>
            <w:gridSpan w:val="27"/>
          </w:tcPr>
          <w:p>
            <w:pPr>
              <w:spacing w:after="0"/>
              <w:rPr>
                <w:rFonts w:ascii="Arial" w:cs="Arial" w:eastAsia="Arial" w:hAnsi="Arial"/>
                <w:sz w:val="18"/>
                <w:szCs w:val="18"/>
                <w:color w:val="0000FF"/>
                <w:w w:val="99"/>
              </w:rPr>
            </w:pPr>
            <w:hyperlink r:id="rId702">
              <w:r>
                <w:rPr>
                  <w:rFonts w:ascii="Arial" w:cs="Arial" w:eastAsia="Arial" w:hAnsi="Arial"/>
                  <w:sz w:val="18"/>
                  <w:szCs w:val="18"/>
                  <w:color w:val="0000FF"/>
                  <w:w w:val="99"/>
                </w:rPr>
                <w:t>Investment Advisory and Management Agreement between Registrant and Fidus Investment Advisors, LLC</w:t>
              </w:r>
            </w:hyperlink>
          </w:p>
        </w:tc>
      </w:tr>
      <w:tr>
        <w:trPr>
          <w:trHeight w:val="155"/>
        </w:trPr>
        <w:tc>
          <w:tcPr>
            <w:tcW w:w="1660" w:type="dxa"/>
            <w:vAlign w:val="bottom"/>
          </w:tcPr>
          <w:p>
            <w:pPr>
              <w:spacing w:after="0"/>
              <w:rPr>
                <w:sz w:val="13"/>
                <w:szCs w:val="13"/>
                <w:color w:val="auto"/>
              </w:rPr>
            </w:pPr>
          </w:p>
        </w:tc>
        <w:tc>
          <w:tcPr>
            <w:tcW w:w="8480" w:type="dxa"/>
            <w:vAlign w:val="bottom"/>
            <w:tcBorders>
              <w:top w:val="single" w:sz="8" w:color="0000FF"/>
            </w:tcBorders>
            <w:gridSpan w:val="25"/>
          </w:tcPr>
          <w:p>
            <w:pPr>
              <w:spacing w:after="0" w:line="156" w:lineRule="exact"/>
              <w:rPr>
                <w:rFonts w:ascii="Arial" w:cs="Arial" w:eastAsia="Arial" w:hAnsi="Arial"/>
                <w:sz w:val="18"/>
                <w:szCs w:val="18"/>
                <w:color w:val="0000FF"/>
                <w:w w:val="96"/>
              </w:rPr>
            </w:pPr>
            <w:hyperlink r:id="rId702">
              <w:r>
                <w:rPr>
                  <w:rFonts w:ascii="Arial" w:cs="Arial" w:eastAsia="Arial" w:hAnsi="Arial"/>
                  <w:sz w:val="18"/>
                  <w:szCs w:val="18"/>
                  <w:color w:val="0000FF"/>
                  <w:w w:val="96"/>
                </w:rPr>
                <w:t>(Filed as Exhibit (g) to Pre-Effective Amendment No. 2 to the Registrant’s Registration Statement on Form N-2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1660" w:type="dxa"/>
            <w:vAlign w:val="bottom"/>
          </w:tcPr>
          <w:p>
            <w:pPr>
              <w:spacing w:after="0"/>
              <w:rPr>
                <w:sz w:val="15"/>
                <w:szCs w:val="15"/>
                <w:color w:val="auto"/>
              </w:rPr>
            </w:pPr>
          </w:p>
        </w:tc>
        <w:tc>
          <w:tcPr>
            <w:tcW w:w="838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702">
              <w:r>
                <w:rPr>
                  <w:rFonts w:ascii="Arial" w:cs="Arial" w:eastAsia="Arial" w:hAnsi="Arial"/>
                  <w:sz w:val="18"/>
                  <w:szCs w:val="18"/>
                  <w:color w:val="0000FF"/>
                </w:rPr>
                <w:t>(File No. 333-172550) filed with the U.S. Securities and Exchange Commission on April 29, 2011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1660" w:type="dxa"/>
            <w:vAlign w:val="bottom"/>
          </w:tcPr>
          <w:p>
            <w:pPr>
              <w:spacing w:after="0"/>
              <w:rPr>
                <w:sz w:val="14"/>
                <w:szCs w:val="14"/>
                <w:color w:val="auto"/>
              </w:rPr>
            </w:pPr>
          </w:p>
        </w:tc>
        <w:tc>
          <w:tcPr>
            <w:tcW w:w="822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702">
              <w:r>
                <w:rPr>
                  <w:rFonts w:ascii="Arial" w:cs="Arial" w:eastAsia="Arial" w:hAnsi="Arial"/>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660" w:type="dxa"/>
            <w:vAlign w:val="bottom"/>
          </w:tcPr>
          <w:p>
            <w:pPr>
              <w:spacing w:after="0"/>
              <w:rPr>
                <w:sz w:val="20"/>
                <w:szCs w:val="20"/>
                <w:color w:val="auto"/>
              </w:rPr>
            </w:pPr>
            <w:r>
              <w:rPr>
                <w:rFonts w:ascii="Arial" w:cs="Arial" w:eastAsia="Arial" w:hAnsi="Arial"/>
                <w:sz w:val="18"/>
                <w:szCs w:val="18"/>
                <w:color w:val="auto"/>
              </w:rPr>
              <w:t>10.2</w:t>
            </w:r>
          </w:p>
        </w:tc>
        <w:tc>
          <w:tcPr>
            <w:tcW w:w="8520" w:type="dxa"/>
            <w:vAlign w:val="bottom"/>
            <w:gridSpan w:val="27"/>
          </w:tcPr>
          <w:p>
            <w:pPr>
              <w:spacing w:after="0"/>
              <w:rPr>
                <w:rFonts w:ascii="Arial" w:cs="Arial" w:eastAsia="Arial" w:hAnsi="Arial"/>
                <w:sz w:val="18"/>
                <w:szCs w:val="18"/>
                <w:color w:val="0000FF"/>
              </w:rPr>
            </w:pPr>
            <w:hyperlink r:id="rId703">
              <w:r>
                <w:rPr>
                  <w:rFonts w:ascii="Arial" w:cs="Arial" w:eastAsia="Arial" w:hAnsi="Arial"/>
                  <w:sz w:val="18"/>
                  <w:szCs w:val="18"/>
                  <w:color w:val="0000FF"/>
                </w:rPr>
                <w:t>Custody Agreement (Filed as Exhibit (j) to Pre-Effective Amendment No. 3 to the Registrant’s Registration</w:t>
              </w:r>
            </w:hyperlink>
          </w:p>
        </w:tc>
      </w:tr>
      <w:tr>
        <w:trPr>
          <w:trHeight w:val="156"/>
        </w:trPr>
        <w:tc>
          <w:tcPr>
            <w:tcW w:w="1660" w:type="dxa"/>
            <w:vAlign w:val="bottom"/>
          </w:tcPr>
          <w:p>
            <w:pPr>
              <w:spacing w:after="0"/>
              <w:rPr>
                <w:sz w:val="13"/>
                <w:szCs w:val="13"/>
                <w:color w:val="auto"/>
              </w:rPr>
            </w:pPr>
          </w:p>
        </w:tc>
        <w:tc>
          <w:tcPr>
            <w:tcW w:w="8320" w:type="dxa"/>
            <w:vAlign w:val="bottom"/>
            <w:tcBorders>
              <w:top w:val="single" w:sz="8" w:color="0000FF"/>
            </w:tcBorders>
            <w:gridSpan w:val="17"/>
          </w:tcPr>
          <w:p>
            <w:pPr>
              <w:spacing w:after="0" w:line="156" w:lineRule="exact"/>
              <w:rPr>
                <w:rFonts w:ascii="Arial" w:cs="Arial" w:eastAsia="Arial" w:hAnsi="Arial"/>
                <w:sz w:val="18"/>
                <w:szCs w:val="18"/>
                <w:color w:val="0000FF"/>
                <w:w w:val="93"/>
              </w:rPr>
            </w:pPr>
            <w:hyperlink r:id="rId703">
              <w:r>
                <w:rPr>
                  <w:rFonts w:ascii="Arial" w:cs="Arial" w:eastAsia="Arial" w:hAnsi="Arial"/>
                  <w:sz w:val="18"/>
                  <w:szCs w:val="18"/>
                  <w:color w:val="0000FF"/>
                  <w:w w:val="93"/>
                </w:rPr>
                <w:t>Statement on Form N-2 (File No. 333-172550) filed with the U.S. Securities and Exchange Commission on May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6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703">
              <w:r>
                <w:rPr>
                  <w:rFonts w:ascii="Arial" w:cs="Arial" w:eastAsia="Arial" w:hAnsi="Arial"/>
                  <w:sz w:val="18"/>
                  <w:szCs w:val="18"/>
                  <w:color w:val="0000FF"/>
                  <w:w w:val="89"/>
                </w:rPr>
                <w:t>26, 2011 and incorporated herein by reference).</w:t>
              </w:r>
            </w:hyperlink>
          </w:p>
        </w:tc>
        <w:tc>
          <w:tcPr>
            <w:tcW w:w="48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99"/>
        </w:trPr>
        <w:tc>
          <w:tcPr>
            <w:tcW w:w="1660" w:type="dxa"/>
            <w:vAlign w:val="bottom"/>
          </w:tcPr>
          <w:p>
            <w:pPr>
              <w:spacing w:after="0"/>
              <w:rPr>
                <w:sz w:val="20"/>
                <w:szCs w:val="20"/>
                <w:color w:val="auto"/>
              </w:rPr>
            </w:pPr>
            <w:r>
              <w:rPr>
                <w:rFonts w:ascii="Arial" w:cs="Arial" w:eastAsia="Arial" w:hAnsi="Arial"/>
                <w:sz w:val="18"/>
                <w:szCs w:val="18"/>
                <w:color w:val="auto"/>
              </w:rPr>
              <w:t>10.3</w:t>
            </w:r>
          </w:p>
        </w:tc>
        <w:tc>
          <w:tcPr>
            <w:tcW w:w="8520" w:type="dxa"/>
            <w:vAlign w:val="bottom"/>
            <w:gridSpan w:val="27"/>
          </w:tcPr>
          <w:p>
            <w:pPr>
              <w:spacing w:after="0"/>
              <w:rPr>
                <w:rFonts w:ascii="Arial" w:cs="Arial" w:eastAsia="Arial" w:hAnsi="Arial"/>
                <w:sz w:val="18"/>
                <w:szCs w:val="18"/>
                <w:color w:val="0000FF"/>
                <w:w w:val="98"/>
              </w:rPr>
            </w:pPr>
            <w:hyperlink r:id="rId704">
              <w:r>
                <w:rPr>
                  <w:rFonts w:ascii="Arial" w:cs="Arial" w:eastAsia="Arial" w:hAnsi="Arial"/>
                  <w:sz w:val="18"/>
                  <w:szCs w:val="18"/>
                  <w:color w:val="0000FF"/>
                  <w:w w:val="98"/>
                </w:rPr>
                <w:t>Administration Agreement between Registrant and Fidus Investment Advisors, LLC (Filed as Exhibit (k)(1) to</w:t>
              </w:r>
            </w:hyperlink>
          </w:p>
        </w:tc>
      </w:tr>
      <w:tr>
        <w:trPr>
          <w:trHeight w:val="155"/>
        </w:trPr>
        <w:tc>
          <w:tcPr>
            <w:tcW w:w="166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3"/>
              </w:rPr>
            </w:pPr>
            <w:hyperlink r:id="rId704">
              <w:r>
                <w:rPr>
                  <w:rFonts w:ascii="Arial" w:cs="Arial" w:eastAsia="Arial" w:hAnsi="Arial"/>
                  <w:sz w:val="18"/>
                  <w:szCs w:val="18"/>
                  <w:color w:val="0000FF"/>
                  <w:w w:val="93"/>
                </w:rPr>
                <w:t>Pre-Effective Amendment No. 2 to the Registrant’s Registration Statement on Form N-2 (File No. 333-172550)</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60" w:type="dxa"/>
            <w:vAlign w:val="bottom"/>
          </w:tcPr>
          <w:p>
            <w:pPr>
              <w:spacing w:after="0"/>
              <w:rPr>
                <w:sz w:val="13"/>
                <w:szCs w:val="13"/>
                <w:color w:val="auto"/>
              </w:rPr>
            </w:pPr>
          </w:p>
        </w:tc>
        <w:tc>
          <w:tcPr>
            <w:tcW w:w="8360" w:type="dxa"/>
            <w:vAlign w:val="bottom"/>
            <w:gridSpan w:val="19"/>
          </w:tcPr>
          <w:p>
            <w:pPr>
              <w:spacing w:after="0" w:line="156" w:lineRule="exact"/>
              <w:rPr>
                <w:rFonts w:ascii="Arial" w:cs="Arial" w:eastAsia="Arial" w:hAnsi="Arial"/>
                <w:sz w:val="18"/>
                <w:szCs w:val="18"/>
                <w:color w:val="0000FF"/>
                <w:w w:val="92"/>
              </w:rPr>
            </w:pPr>
            <w:hyperlink r:id="rId704">
              <w:r>
                <w:rPr>
                  <w:rFonts w:ascii="Arial" w:cs="Arial" w:eastAsia="Arial" w:hAnsi="Arial"/>
                  <w:sz w:val="18"/>
                  <w:szCs w:val="18"/>
                  <w:color w:val="0000FF"/>
                  <w:w w:val="92"/>
                </w:rPr>
                <w:t>filed with the U.S. Securities and Exchange Commission on April 29, 2011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456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660" w:type="dxa"/>
            <w:vAlign w:val="bottom"/>
          </w:tcPr>
          <w:p>
            <w:pPr>
              <w:spacing w:after="0"/>
              <w:rPr>
                <w:sz w:val="20"/>
                <w:szCs w:val="20"/>
                <w:color w:val="auto"/>
              </w:rPr>
            </w:pPr>
            <w:r>
              <w:rPr>
                <w:rFonts w:ascii="Arial" w:cs="Arial" w:eastAsia="Arial" w:hAnsi="Arial"/>
                <w:sz w:val="18"/>
                <w:szCs w:val="18"/>
                <w:color w:val="auto"/>
              </w:rPr>
              <w:t>10.4</w:t>
            </w:r>
          </w:p>
        </w:tc>
        <w:tc>
          <w:tcPr>
            <w:tcW w:w="8520" w:type="dxa"/>
            <w:vAlign w:val="bottom"/>
            <w:gridSpan w:val="27"/>
          </w:tcPr>
          <w:p>
            <w:pPr>
              <w:spacing w:after="0"/>
              <w:rPr>
                <w:rFonts w:ascii="Arial" w:cs="Arial" w:eastAsia="Arial" w:hAnsi="Arial"/>
                <w:sz w:val="18"/>
                <w:szCs w:val="18"/>
                <w:color w:val="0000FF"/>
              </w:rPr>
            </w:pPr>
            <w:hyperlink r:id="rId705">
              <w:r>
                <w:rPr>
                  <w:rFonts w:ascii="Arial" w:cs="Arial" w:eastAsia="Arial" w:hAnsi="Arial"/>
                  <w:sz w:val="18"/>
                  <w:szCs w:val="18"/>
                  <w:color w:val="0000FF"/>
                </w:rPr>
                <w:t>Trademark License Agreement between Registrant and Fidus Partners, LLC (Filed as Exhibit (k)(2) to Pre-</w:t>
              </w:r>
            </w:hyperlink>
          </w:p>
        </w:tc>
      </w:tr>
      <w:tr>
        <w:trPr>
          <w:trHeight w:val="155"/>
        </w:trPr>
        <w:tc>
          <w:tcPr>
            <w:tcW w:w="166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5"/>
              </w:rPr>
            </w:pPr>
            <w:hyperlink r:id="rId705">
              <w:r>
                <w:rPr>
                  <w:rFonts w:ascii="Arial" w:cs="Arial" w:eastAsia="Arial" w:hAnsi="Arial"/>
                  <w:sz w:val="18"/>
                  <w:szCs w:val="18"/>
                  <w:color w:val="0000FF"/>
                  <w:w w:val="95"/>
                </w:rPr>
                <w:t>Effective Amendment No. 3 to the Registrant’s Registration Statement on Form N-2 (File No. 333-172550) filed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60" w:type="dxa"/>
            <w:vAlign w:val="bottom"/>
          </w:tcPr>
          <w:p>
            <w:pPr>
              <w:spacing w:after="0"/>
              <w:rPr>
                <w:sz w:val="13"/>
                <w:szCs w:val="13"/>
                <w:color w:val="auto"/>
              </w:rPr>
            </w:pPr>
          </w:p>
        </w:tc>
        <w:tc>
          <w:tcPr>
            <w:tcW w:w="7780" w:type="dxa"/>
            <w:vAlign w:val="bottom"/>
            <w:tcBorders>
              <w:bottom w:val="single" w:sz="8" w:color="0000FF"/>
            </w:tcBorders>
            <w:gridSpan w:val="8"/>
          </w:tcPr>
          <w:p>
            <w:pPr>
              <w:spacing w:after="0" w:line="156" w:lineRule="exact"/>
              <w:rPr>
                <w:rFonts w:ascii="Arial" w:cs="Arial" w:eastAsia="Arial" w:hAnsi="Arial"/>
                <w:sz w:val="18"/>
                <w:szCs w:val="18"/>
                <w:color w:val="0000FF"/>
                <w:w w:val="90"/>
              </w:rPr>
            </w:pPr>
            <w:hyperlink r:id="rId705">
              <w:r>
                <w:rPr>
                  <w:rFonts w:ascii="Arial" w:cs="Arial" w:eastAsia="Arial" w:hAnsi="Arial"/>
                  <w:sz w:val="18"/>
                  <w:szCs w:val="18"/>
                  <w:color w:val="0000FF"/>
                  <w:w w:val="90"/>
                </w:rPr>
                <w:t>with the U.S. Securities and Exchange Commission on May 26, 2011 and incorporated herein by reference).</w:t>
              </w:r>
            </w:hyperlink>
          </w:p>
        </w:tc>
        <w:tc>
          <w:tcPr>
            <w:tcW w:w="72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660" w:type="dxa"/>
            <w:vAlign w:val="bottom"/>
          </w:tcPr>
          <w:p>
            <w:pPr>
              <w:spacing w:after="0"/>
              <w:rPr>
                <w:sz w:val="20"/>
                <w:szCs w:val="20"/>
                <w:color w:val="auto"/>
              </w:rPr>
            </w:pPr>
            <w:r>
              <w:rPr>
                <w:rFonts w:ascii="Arial" w:cs="Arial" w:eastAsia="Arial" w:hAnsi="Arial"/>
                <w:sz w:val="18"/>
                <w:szCs w:val="18"/>
                <w:color w:val="auto"/>
              </w:rPr>
              <w:t>10.5†</w:t>
            </w:r>
          </w:p>
        </w:tc>
        <w:tc>
          <w:tcPr>
            <w:tcW w:w="8520" w:type="dxa"/>
            <w:vAlign w:val="bottom"/>
            <w:gridSpan w:val="27"/>
          </w:tcPr>
          <w:p>
            <w:pPr>
              <w:spacing w:after="0"/>
              <w:rPr>
                <w:rFonts w:ascii="Arial" w:cs="Arial" w:eastAsia="Arial" w:hAnsi="Arial"/>
                <w:sz w:val="18"/>
                <w:szCs w:val="18"/>
                <w:color w:val="0000FF"/>
                <w:w w:val="94"/>
              </w:rPr>
            </w:pPr>
            <w:hyperlink r:id="rId706">
              <w:r>
                <w:rPr>
                  <w:rFonts w:ascii="Arial" w:cs="Arial" w:eastAsia="Arial" w:hAnsi="Arial"/>
                  <w:sz w:val="18"/>
                  <w:szCs w:val="18"/>
                  <w:color w:val="0000FF"/>
                  <w:w w:val="94"/>
                </w:rPr>
                <w:t>Form of Indemnification Agreement by and between Registrant and each of its directors (Filed as Exhibit (k)(3) to</w:t>
              </w:r>
            </w:hyperlink>
          </w:p>
        </w:tc>
      </w:tr>
      <w:tr>
        <w:trPr>
          <w:trHeight w:val="156"/>
        </w:trPr>
        <w:tc>
          <w:tcPr>
            <w:tcW w:w="1660" w:type="dxa"/>
            <w:vAlign w:val="bottom"/>
          </w:tcPr>
          <w:p>
            <w:pPr>
              <w:spacing w:after="0"/>
              <w:rPr>
                <w:sz w:val="13"/>
                <w:szCs w:val="13"/>
                <w:color w:val="auto"/>
              </w:rPr>
            </w:pPr>
          </w:p>
        </w:tc>
        <w:tc>
          <w:tcPr>
            <w:tcW w:w="8440" w:type="dxa"/>
            <w:vAlign w:val="bottom"/>
            <w:tcBorders>
              <w:top w:val="single" w:sz="8" w:color="0000FF"/>
            </w:tcBorders>
            <w:gridSpan w:val="23"/>
          </w:tcPr>
          <w:p>
            <w:pPr>
              <w:spacing w:after="0" w:line="156" w:lineRule="exact"/>
              <w:rPr>
                <w:rFonts w:ascii="Arial" w:cs="Arial" w:eastAsia="Arial" w:hAnsi="Arial"/>
                <w:sz w:val="18"/>
                <w:szCs w:val="18"/>
                <w:color w:val="0000FF"/>
                <w:w w:val="95"/>
              </w:rPr>
            </w:pPr>
            <w:hyperlink r:id="rId706">
              <w:r>
                <w:rPr>
                  <w:rFonts w:ascii="Arial" w:cs="Arial" w:eastAsia="Arial" w:hAnsi="Arial"/>
                  <w:sz w:val="18"/>
                  <w:szCs w:val="18"/>
                  <w:color w:val="0000FF"/>
                  <w:w w:val="95"/>
                </w:rPr>
                <w:t>Pre-Effective Amendment No. 4 to the Registrant’s Registration Statement on Form N-2 (File No. 333-172550)</w:t>
              </w:r>
            </w:hyperlink>
          </w:p>
        </w:tc>
        <w:tc>
          <w:tcPr>
            <w:tcW w:w="80" w:type="dxa"/>
            <w:vAlign w:val="bottom"/>
            <w:gridSpan w:val="4"/>
          </w:tcPr>
          <w:p>
            <w:pPr>
              <w:spacing w:after="0"/>
              <w:rPr>
                <w:sz w:val="13"/>
                <w:szCs w:val="13"/>
                <w:color w:val="auto"/>
              </w:rPr>
            </w:pPr>
          </w:p>
        </w:tc>
      </w:tr>
      <w:tr>
        <w:trPr>
          <w:trHeight w:val="156"/>
        </w:trPr>
        <w:tc>
          <w:tcPr>
            <w:tcW w:w="166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706">
              <w:r>
                <w:rPr>
                  <w:rFonts w:ascii="Arial" w:cs="Arial" w:eastAsia="Arial" w:hAnsi="Arial"/>
                  <w:sz w:val="18"/>
                  <w:szCs w:val="18"/>
                  <w:color w:val="0000FF"/>
                  <w:w w:val="90"/>
                </w:rPr>
                <w:t>filed with the U.S. Securities and Exchange Commission on June 10, 2011 and incorporated herein by reference).</w:t>
              </w:r>
            </w:hyperlink>
          </w:p>
        </w:tc>
        <w:tc>
          <w:tcPr>
            <w:tcW w:w="1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98"/>
        </w:trPr>
        <w:tc>
          <w:tcPr>
            <w:tcW w:w="1660" w:type="dxa"/>
            <w:vAlign w:val="bottom"/>
          </w:tcPr>
          <w:p>
            <w:pPr>
              <w:spacing w:after="0"/>
              <w:rPr>
                <w:sz w:val="20"/>
                <w:szCs w:val="20"/>
                <w:color w:val="auto"/>
              </w:rPr>
            </w:pPr>
            <w:r>
              <w:rPr>
                <w:rFonts w:ascii="Arial" w:cs="Arial" w:eastAsia="Arial" w:hAnsi="Arial"/>
                <w:sz w:val="18"/>
                <w:szCs w:val="18"/>
                <w:color w:val="auto"/>
              </w:rPr>
              <w:t>10.6</w:t>
            </w:r>
          </w:p>
        </w:tc>
        <w:tc>
          <w:tcPr>
            <w:tcW w:w="8520" w:type="dxa"/>
            <w:vAlign w:val="bottom"/>
            <w:gridSpan w:val="27"/>
          </w:tcPr>
          <w:p>
            <w:pPr>
              <w:spacing w:after="0"/>
              <w:rPr>
                <w:rFonts w:ascii="Arial" w:cs="Arial" w:eastAsia="Arial" w:hAnsi="Arial"/>
                <w:sz w:val="18"/>
                <w:szCs w:val="18"/>
                <w:color w:val="0000FF"/>
              </w:rPr>
            </w:pPr>
            <w:hyperlink r:id="rId707">
              <w:r>
                <w:rPr>
                  <w:rFonts w:ascii="Arial" w:cs="Arial" w:eastAsia="Arial" w:hAnsi="Arial"/>
                  <w:sz w:val="18"/>
                  <w:szCs w:val="18"/>
                  <w:color w:val="0000FF"/>
                </w:rPr>
                <w:t>Dividend Reinvestment Plan (Filed as Exhibit (e) to Pre-Effective Amendment No. 1 to the Registrant’s</w:t>
              </w:r>
            </w:hyperlink>
          </w:p>
        </w:tc>
      </w:tr>
      <w:tr>
        <w:trPr>
          <w:trHeight w:val="156"/>
        </w:trPr>
        <w:tc>
          <w:tcPr>
            <w:tcW w:w="166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707">
              <w:r>
                <w:rPr>
                  <w:rFonts w:ascii="Arial" w:cs="Arial" w:eastAsia="Arial" w:hAnsi="Arial"/>
                  <w:sz w:val="18"/>
                  <w:szCs w:val="18"/>
                  <w:color w:val="0000FF"/>
                </w:rPr>
                <w:t>Registration Statement on Form N-2 (File No. 333-182785) filed with the U.S. Securities and Exchange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1660" w:type="dxa"/>
            <w:vAlign w:val="bottom"/>
          </w:tcPr>
          <w:p>
            <w:pPr>
              <w:spacing w:after="0"/>
              <w:rPr>
                <w:sz w:val="13"/>
                <w:szCs w:val="13"/>
                <w:color w:val="auto"/>
              </w:rPr>
            </w:pPr>
          </w:p>
        </w:tc>
        <w:tc>
          <w:tcPr>
            <w:tcW w:w="8400" w:type="dxa"/>
            <w:vAlign w:val="bottom"/>
            <w:gridSpan w:val="21"/>
          </w:tcPr>
          <w:p>
            <w:pPr>
              <w:spacing w:after="0" w:line="156" w:lineRule="exact"/>
              <w:rPr>
                <w:rFonts w:ascii="Arial" w:cs="Arial" w:eastAsia="Arial" w:hAnsi="Arial"/>
                <w:sz w:val="18"/>
                <w:szCs w:val="18"/>
                <w:color w:val="0000FF"/>
              </w:rPr>
            </w:pPr>
            <w:hyperlink r:id="rId707">
              <w:r>
                <w:rPr>
                  <w:rFonts w:ascii="Arial" w:cs="Arial" w:eastAsia="Arial" w:hAnsi="Arial"/>
                  <w:sz w:val="18"/>
                  <w:szCs w:val="18"/>
                  <w:color w:val="0000FF"/>
                </w:rPr>
                <w:t>Commission on August 27, 2012 and incorporated herein by reference).</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456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58"/>
        </w:trPr>
        <w:tc>
          <w:tcPr>
            <w:tcW w:w="1660" w:type="dxa"/>
            <w:vAlign w:val="bottom"/>
          </w:tcPr>
          <w:p>
            <w:pPr>
              <w:spacing w:after="0"/>
              <w:rPr>
                <w:sz w:val="20"/>
                <w:szCs w:val="20"/>
                <w:color w:val="auto"/>
              </w:rPr>
            </w:pPr>
            <w:r>
              <w:rPr>
                <w:rFonts w:ascii="Arial" w:cs="Arial" w:eastAsia="Arial" w:hAnsi="Arial"/>
                <w:sz w:val="18"/>
                <w:szCs w:val="18"/>
                <w:color w:val="auto"/>
              </w:rPr>
              <w:t>10.7</w:t>
            </w:r>
          </w:p>
        </w:tc>
        <w:tc>
          <w:tcPr>
            <w:tcW w:w="8520" w:type="dxa"/>
            <w:vAlign w:val="bottom"/>
            <w:gridSpan w:val="27"/>
          </w:tcPr>
          <w:p>
            <w:pPr>
              <w:spacing w:after="0"/>
              <w:rPr>
                <w:rFonts w:ascii="Arial" w:cs="Arial" w:eastAsia="Arial" w:hAnsi="Arial"/>
                <w:sz w:val="18"/>
                <w:szCs w:val="18"/>
                <w:color w:val="0000FF"/>
                <w:w w:val="94"/>
              </w:rPr>
            </w:pPr>
            <w:hyperlink r:id="rId708">
              <w:r>
                <w:rPr>
                  <w:rFonts w:ascii="Arial" w:cs="Arial" w:eastAsia="Arial" w:hAnsi="Arial"/>
                  <w:sz w:val="18"/>
                  <w:szCs w:val="18"/>
                  <w:color w:val="0000FF"/>
                  <w:w w:val="94"/>
                </w:rPr>
                <w:t>First Amendment to Investment Advisory and Management Agreement between Registrant and Fidus Investment</w:t>
              </w:r>
            </w:hyperlink>
          </w:p>
        </w:tc>
      </w:tr>
      <w:tr>
        <w:trPr>
          <w:trHeight w:val="156"/>
        </w:trPr>
        <w:tc>
          <w:tcPr>
            <w:tcW w:w="166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708">
              <w:r>
                <w:rPr>
                  <w:rFonts w:ascii="Arial" w:cs="Arial" w:eastAsia="Arial" w:hAnsi="Arial"/>
                  <w:sz w:val="18"/>
                  <w:szCs w:val="18"/>
                  <w:color w:val="0000FF"/>
                </w:rPr>
                <w:t>Advisors, LLC (Filed as exhibit 10.7 to the Registrant’s annual report on Form 10-K, filed with the U.S.</w:t>
              </w:r>
            </w:hyperlink>
          </w:p>
        </w:tc>
        <w:tc>
          <w:tcPr>
            <w:tcW w:w="120" w:type="dxa"/>
            <w:vAlign w:val="bottom"/>
            <w:tcBorders>
              <w:bottom w:val="single" w:sz="8" w:color="0000FF"/>
            </w:tcBorders>
            <w:gridSpan w:val="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1660" w:type="dxa"/>
            <w:vAlign w:val="bottom"/>
          </w:tcPr>
          <w:p>
            <w:pPr>
              <w:spacing w:after="0"/>
              <w:rPr>
                <w:sz w:val="13"/>
                <w:szCs w:val="13"/>
                <w:color w:val="auto"/>
              </w:rPr>
            </w:pPr>
          </w:p>
        </w:tc>
        <w:tc>
          <w:tcPr>
            <w:tcW w:w="6840" w:type="dxa"/>
            <w:vAlign w:val="bottom"/>
            <w:tcBorders>
              <w:bottom w:val="single" w:sz="8" w:color="0000FF"/>
            </w:tcBorders>
            <w:gridSpan w:val="6"/>
          </w:tcPr>
          <w:p>
            <w:pPr>
              <w:spacing w:after="0" w:line="156" w:lineRule="exact"/>
              <w:rPr>
                <w:rFonts w:ascii="Arial" w:cs="Arial" w:eastAsia="Arial" w:hAnsi="Arial"/>
                <w:sz w:val="18"/>
                <w:szCs w:val="18"/>
                <w:color w:val="0000FF"/>
                <w:w w:val="89"/>
              </w:rPr>
            </w:pPr>
            <w:hyperlink r:id="rId708">
              <w:r>
                <w:rPr>
                  <w:rFonts w:ascii="Arial" w:cs="Arial" w:eastAsia="Arial" w:hAnsi="Arial"/>
                  <w:sz w:val="18"/>
                  <w:szCs w:val="18"/>
                  <w:color w:val="0000FF"/>
                  <w:w w:val="89"/>
                </w:rPr>
                <w:t>Securities and Exchange Commission on March 6, 2014 and incorporated herein by reference).</w:t>
              </w:r>
            </w:hyperlink>
          </w:p>
        </w:tc>
        <w:tc>
          <w:tcPr>
            <w:tcW w:w="1580" w:type="dxa"/>
            <w:vAlign w:val="bottom"/>
            <w:gridSpan w:val="1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58"/>
        </w:trPr>
        <w:tc>
          <w:tcPr>
            <w:tcW w:w="1660" w:type="dxa"/>
            <w:vAlign w:val="bottom"/>
          </w:tcPr>
          <w:p>
            <w:pPr>
              <w:spacing w:after="0"/>
              <w:rPr>
                <w:sz w:val="20"/>
                <w:szCs w:val="20"/>
                <w:color w:val="auto"/>
              </w:rPr>
            </w:pPr>
            <w:r>
              <w:rPr>
                <w:rFonts w:ascii="Arial" w:cs="Arial" w:eastAsia="Arial" w:hAnsi="Arial"/>
                <w:sz w:val="18"/>
                <w:szCs w:val="18"/>
                <w:color w:val="auto"/>
              </w:rPr>
              <w:t>10.8</w:t>
            </w:r>
          </w:p>
        </w:tc>
        <w:tc>
          <w:tcPr>
            <w:tcW w:w="8520" w:type="dxa"/>
            <w:vAlign w:val="bottom"/>
            <w:gridSpan w:val="27"/>
          </w:tcPr>
          <w:p>
            <w:pPr>
              <w:spacing w:after="0"/>
              <w:rPr>
                <w:rFonts w:ascii="Arial" w:cs="Arial" w:eastAsia="Arial" w:hAnsi="Arial"/>
                <w:sz w:val="18"/>
                <w:szCs w:val="18"/>
                <w:color w:val="0000FF"/>
                <w:w w:val="94"/>
              </w:rPr>
            </w:pPr>
            <w:hyperlink r:id="rId709">
              <w:r>
                <w:rPr>
                  <w:rFonts w:ascii="Arial" w:cs="Arial" w:eastAsia="Arial" w:hAnsi="Arial"/>
                  <w:sz w:val="18"/>
                  <w:szCs w:val="18"/>
                  <w:color w:val="0000FF"/>
                  <w:w w:val="94"/>
                </w:rPr>
                <w:t>Form of Indemnification Agreement between Fidus Investment Corporation and each officer and director of Fidus</w:t>
              </w:r>
            </w:hyperlink>
          </w:p>
        </w:tc>
      </w:tr>
      <w:tr>
        <w:trPr>
          <w:trHeight w:val="155"/>
        </w:trPr>
        <w:tc>
          <w:tcPr>
            <w:tcW w:w="1660" w:type="dxa"/>
            <w:vAlign w:val="bottom"/>
          </w:tcPr>
          <w:p>
            <w:pPr>
              <w:spacing w:after="0"/>
              <w:rPr>
                <w:sz w:val="13"/>
                <w:szCs w:val="13"/>
                <w:color w:val="auto"/>
              </w:rPr>
            </w:pPr>
          </w:p>
        </w:tc>
        <w:tc>
          <w:tcPr>
            <w:tcW w:w="8360" w:type="dxa"/>
            <w:vAlign w:val="bottom"/>
            <w:tcBorders>
              <w:top w:val="single" w:sz="8" w:color="0000FF"/>
            </w:tcBorders>
            <w:gridSpan w:val="19"/>
          </w:tcPr>
          <w:p>
            <w:pPr>
              <w:spacing w:after="0" w:line="156" w:lineRule="exact"/>
              <w:rPr>
                <w:rFonts w:ascii="Arial" w:cs="Arial" w:eastAsia="Arial" w:hAnsi="Arial"/>
                <w:sz w:val="18"/>
                <w:szCs w:val="18"/>
                <w:color w:val="0000FF"/>
                <w:w w:val="96"/>
              </w:rPr>
            </w:pPr>
            <w:hyperlink r:id="rId709">
              <w:r>
                <w:rPr>
                  <w:rFonts w:ascii="Arial" w:cs="Arial" w:eastAsia="Arial" w:hAnsi="Arial"/>
                  <w:sz w:val="18"/>
                  <w:szCs w:val="18"/>
                  <w:color w:val="0000FF"/>
                  <w:w w:val="96"/>
                </w:rPr>
                <w:t>Investment Corporation (Filed as Exhibit 10.1 of the Registrant’s quarterly report on Form 10-Q, filed with the</w:t>
              </w:r>
            </w:hyperlink>
          </w:p>
        </w:tc>
        <w:tc>
          <w:tcPr>
            <w:tcW w:w="160" w:type="dxa"/>
            <w:vAlign w:val="bottom"/>
            <w:gridSpan w:val="8"/>
          </w:tcPr>
          <w:p>
            <w:pPr>
              <w:spacing w:after="0"/>
              <w:rPr>
                <w:sz w:val="13"/>
                <w:szCs w:val="13"/>
                <w:color w:val="auto"/>
              </w:rPr>
            </w:pPr>
          </w:p>
        </w:tc>
      </w:tr>
      <w:tr>
        <w:trPr>
          <w:trHeight w:val="155"/>
        </w:trPr>
        <w:tc>
          <w:tcPr>
            <w:tcW w:w="1660" w:type="dxa"/>
            <w:vAlign w:val="bottom"/>
          </w:tcPr>
          <w:p>
            <w:pPr>
              <w:spacing w:after="0"/>
              <w:rPr>
                <w:sz w:val="13"/>
                <w:szCs w:val="13"/>
                <w:color w:val="auto"/>
              </w:rPr>
            </w:pPr>
          </w:p>
        </w:tc>
        <w:tc>
          <w:tcPr>
            <w:tcW w:w="82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709">
              <w:r>
                <w:rPr>
                  <w:rFonts w:ascii="Arial" w:cs="Arial" w:eastAsia="Arial" w:hAnsi="Arial"/>
                  <w:sz w:val="18"/>
                  <w:szCs w:val="18"/>
                  <w:color w:val="0000FF"/>
                </w:rPr>
                <w:t>U.S. Securities and Exchange Commission on August 5, 2021).</w:t>
              </w:r>
            </w:hyperlink>
          </w:p>
        </w:tc>
        <w:tc>
          <w:tcPr>
            <w:tcW w:w="280" w:type="dxa"/>
            <w:vAlign w:val="bottom"/>
            <w:gridSpan w:val="14"/>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-4088130</wp:posOffset>
            </wp:positionV>
            <wp:extent cx="2857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62230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1000" w:top="310" w:right="339" w:bottom="1440" w:gutter="0" w:footer="0" w:header="0"/>
        </w:sectPr>
      </w:pPr>
    </w:p>
    <w:bookmarkStart w:id="127" w:name="page128"/>
    <w:bookmarkEnd w:id="127"/>
    <w:tbl>
      <w:tblPr>
        <w:tblLayout w:type="fixed"/>
        <w:tblInd w:w="68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auto"/>
              </w:rPr>
              <w:t>10.9</w:t>
            </w:r>
          </w:p>
        </w:tc>
        <w:tc>
          <w:tcPr>
            <w:tcW w:w="8520" w:type="dxa"/>
            <w:vAlign w:val="bottom"/>
            <w:gridSpan w:val="23"/>
          </w:tcPr>
          <w:p>
            <w:pPr>
              <w:spacing w:after="0"/>
              <w:rPr>
                <w:rFonts w:ascii="Arial" w:cs="Arial" w:eastAsia="Arial" w:hAnsi="Arial"/>
                <w:sz w:val="18"/>
                <w:szCs w:val="18"/>
                <w:color w:val="0000FF"/>
                <w:w w:val="94"/>
              </w:rPr>
            </w:pPr>
            <w:hyperlink r:id="rId712">
              <w:r>
                <w:rPr>
                  <w:rFonts w:ascii="Arial" w:cs="Arial" w:eastAsia="Arial" w:hAnsi="Arial"/>
                  <w:sz w:val="18"/>
                  <w:szCs w:val="18"/>
                  <w:color w:val="0000FF"/>
                  <w:w w:val="94"/>
                </w:rPr>
                <w:t>Amended &amp; Restated Senior Secured Revolving Credit Agreement, dated as of April 24, 2019, by and among the</w:t>
              </w:r>
            </w:hyperlink>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712">
              <w:r>
                <w:rPr>
                  <w:rFonts w:ascii="Arial" w:cs="Arial" w:eastAsia="Arial" w:hAnsi="Arial"/>
                  <w:sz w:val="18"/>
                  <w:szCs w:val="18"/>
                  <w:color w:val="0000FF"/>
                  <w:w w:val="92"/>
                </w:rPr>
                <w:t>Company, as borrower, the lenders party thereto, and ING Capital LLC, as administrative agent (Filed as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8380" w:type="dxa"/>
            <w:vAlign w:val="bottom"/>
            <w:gridSpan w:val="16"/>
          </w:tcPr>
          <w:p>
            <w:pPr>
              <w:spacing w:after="0" w:line="156" w:lineRule="exact"/>
              <w:rPr>
                <w:rFonts w:ascii="Arial" w:cs="Arial" w:eastAsia="Arial" w:hAnsi="Arial"/>
                <w:sz w:val="18"/>
                <w:szCs w:val="18"/>
                <w:color w:val="0000FF"/>
                <w:w w:val="94"/>
              </w:rPr>
            </w:pPr>
            <w:hyperlink r:id="rId712">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1</w:t>
              </w:r>
              <w:r>
                <w:rPr>
                  <w:rFonts w:ascii="Arial" w:cs="Arial" w:eastAsia="Arial" w:hAnsi="Arial"/>
                  <w:sz w:val="18"/>
                  <w:szCs w:val="18"/>
                  <w:color w:val="0000FF"/>
                  <w:w w:val="94"/>
                </w:rPr>
                <w:t xml:space="preserve"> to the Registrant’s current report on Form 8-K filed with the U.S. Securities and Exchange Commission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83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712">
              <w:r>
                <w:rPr>
                  <w:rFonts w:ascii="Arial" w:cs="Arial" w:eastAsia="Arial" w:hAnsi="Arial"/>
                  <w:sz w:val="18"/>
                  <w:szCs w:val="18"/>
                  <w:color w:val="0000FF"/>
                </w:rPr>
                <w:t>April 24, 2019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660" w:type="dxa"/>
            <w:vAlign w:val="bottom"/>
            <w:vMerge w:val="restart"/>
          </w:tcPr>
          <w:p>
            <w:pPr>
              <w:spacing w:after="0"/>
              <w:rPr>
                <w:sz w:val="20"/>
                <w:szCs w:val="20"/>
                <w:color w:val="auto"/>
              </w:rPr>
            </w:pPr>
            <w:r>
              <w:rPr>
                <w:rFonts w:ascii="Arial" w:cs="Arial" w:eastAsia="Arial" w:hAnsi="Arial"/>
                <w:sz w:val="18"/>
                <w:szCs w:val="18"/>
                <w:color w:val="auto"/>
              </w:rPr>
              <w:t>10.10</w:t>
            </w:r>
          </w:p>
        </w:tc>
        <w:tc>
          <w:tcPr>
            <w:tcW w:w="8520" w:type="dxa"/>
            <w:vAlign w:val="bottom"/>
            <w:gridSpan w:val="23"/>
          </w:tcPr>
          <w:p>
            <w:pPr>
              <w:spacing w:after="0"/>
              <w:rPr>
                <w:rFonts w:ascii="Arial" w:cs="Arial" w:eastAsia="Arial" w:hAnsi="Arial"/>
                <w:sz w:val="18"/>
                <w:szCs w:val="18"/>
                <w:color w:val="0000FF"/>
                <w:w w:val="93"/>
              </w:rPr>
            </w:pPr>
            <w:hyperlink r:id="rId713">
              <w:r>
                <w:rPr>
                  <w:rFonts w:ascii="Arial" w:cs="Arial" w:eastAsia="Arial" w:hAnsi="Arial"/>
                  <w:sz w:val="18"/>
                  <w:szCs w:val="18"/>
                  <w:color w:val="0000FF"/>
                  <w:w w:val="93"/>
                </w:rPr>
                <w:t>Amended and Restated Guarantee, Pledge and Security Agreement, dated as of April 24, 2019, by and among the</w:t>
              </w:r>
            </w:hyperlink>
          </w:p>
        </w:tc>
        <w:tc>
          <w:tcPr>
            <w:tcW w:w="0" w:type="dxa"/>
            <w:vAlign w:val="bottom"/>
          </w:tcPr>
          <w:p>
            <w:pPr>
              <w:spacing w:after="0"/>
              <w:rPr>
                <w:sz w:val="1"/>
                <w:szCs w:val="1"/>
                <w:color w:val="auto"/>
              </w:rPr>
            </w:pPr>
          </w:p>
        </w:tc>
      </w:tr>
      <w:tr>
        <w:trPr>
          <w:trHeight w:val="155"/>
        </w:trPr>
        <w:tc>
          <w:tcPr>
            <w:tcW w:w="1660" w:type="dxa"/>
            <w:vAlign w:val="bottom"/>
            <w:vMerge w:val="continue"/>
          </w:tcPr>
          <w:p>
            <w:pPr>
              <w:spacing w:after="0"/>
              <w:rPr>
                <w:sz w:val="13"/>
                <w:szCs w:val="13"/>
                <w:color w:val="auto"/>
              </w:rPr>
            </w:pPr>
          </w:p>
        </w:tc>
        <w:tc>
          <w:tcPr>
            <w:tcW w:w="83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6"/>
              </w:rPr>
            </w:pPr>
            <w:hyperlink r:id="rId713">
              <w:r>
                <w:rPr>
                  <w:rFonts w:ascii="Arial" w:cs="Arial" w:eastAsia="Arial" w:hAnsi="Arial"/>
                  <w:sz w:val="18"/>
                  <w:szCs w:val="18"/>
                  <w:color w:val="0000FF"/>
                  <w:w w:val="96"/>
                </w:rPr>
                <w:t>Company, as borrower, the subsidiary guarantors party thereto, ING Capital LLC, as revolving administrative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8480" w:type="dxa"/>
            <w:vAlign w:val="bottom"/>
            <w:gridSpan w:val="21"/>
          </w:tcPr>
          <w:p>
            <w:pPr>
              <w:spacing w:after="0" w:line="156" w:lineRule="exact"/>
              <w:rPr>
                <w:rFonts w:ascii="Arial" w:cs="Arial" w:eastAsia="Arial" w:hAnsi="Arial"/>
                <w:sz w:val="18"/>
                <w:szCs w:val="18"/>
                <w:color w:val="0000FF"/>
                <w:w w:val="95"/>
              </w:rPr>
            </w:pPr>
            <w:hyperlink r:id="rId713">
              <w:r>
                <w:rPr>
                  <w:rFonts w:ascii="Arial" w:cs="Arial" w:eastAsia="Arial" w:hAnsi="Arial"/>
                  <w:sz w:val="18"/>
                  <w:szCs w:val="18"/>
                  <w:color w:val="0000FF"/>
                  <w:w w:val="95"/>
                </w:rPr>
                <w:t>agent, and ING Capital LLC, as collateral agent (Filed as Exhibit 10.2 to the Registrant’s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8400" w:type="dxa"/>
            <w:vAlign w:val="bottom"/>
            <w:tcBorders>
              <w:top w:val="single" w:sz="8" w:color="0000FF"/>
            </w:tcBorders>
            <w:gridSpan w:val="17"/>
          </w:tcPr>
          <w:p>
            <w:pPr>
              <w:spacing w:after="0" w:line="156" w:lineRule="exact"/>
              <w:rPr>
                <w:rFonts w:ascii="Arial" w:cs="Arial" w:eastAsia="Arial" w:hAnsi="Arial"/>
                <w:sz w:val="18"/>
                <w:szCs w:val="18"/>
                <w:color w:val="0000FF"/>
                <w:w w:val="99"/>
              </w:rPr>
            </w:pPr>
            <w:hyperlink r:id="rId713">
              <w:r>
                <w:rPr>
                  <w:rFonts w:ascii="Arial" w:cs="Arial" w:eastAsia="Arial" w:hAnsi="Arial"/>
                  <w:sz w:val="18"/>
                  <w:szCs w:val="18"/>
                  <w:color w:val="0000FF"/>
                  <w:w w:val="99"/>
                </w:rPr>
                <w:t>8-K filed with the U.S. Securities and Exchange Commission on April 24, 2019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83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713">
              <w:r>
                <w:rPr>
                  <w:rFonts w:ascii="Arial" w:cs="Arial" w:eastAsia="Arial" w:hAnsi="Arial"/>
                  <w:sz w:val="18"/>
                  <w:szCs w:val="18"/>
                  <w:color w:val="0000FF"/>
                </w:rPr>
                <w:t>reference).</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660" w:type="dxa"/>
            <w:vAlign w:val="bottom"/>
            <w:vMerge w:val="restart"/>
          </w:tcPr>
          <w:p>
            <w:pPr>
              <w:spacing w:after="0"/>
              <w:rPr>
                <w:sz w:val="20"/>
                <w:szCs w:val="20"/>
                <w:color w:val="auto"/>
              </w:rPr>
            </w:pPr>
            <w:r>
              <w:rPr>
                <w:rFonts w:ascii="Arial" w:cs="Arial" w:eastAsia="Arial" w:hAnsi="Arial"/>
                <w:sz w:val="18"/>
                <w:szCs w:val="18"/>
                <w:color w:val="auto"/>
              </w:rPr>
              <w:t>10.11</w:t>
            </w:r>
          </w:p>
        </w:tc>
        <w:tc>
          <w:tcPr>
            <w:tcW w:w="8520" w:type="dxa"/>
            <w:vAlign w:val="bottom"/>
            <w:gridSpan w:val="23"/>
          </w:tcPr>
          <w:p>
            <w:pPr>
              <w:spacing w:after="0"/>
              <w:rPr>
                <w:rFonts w:ascii="Arial" w:cs="Arial" w:eastAsia="Arial" w:hAnsi="Arial"/>
                <w:sz w:val="18"/>
                <w:szCs w:val="18"/>
                <w:color w:val="0000FF"/>
                <w:w w:val="93"/>
              </w:rPr>
            </w:pPr>
            <w:hyperlink r:id="rId714">
              <w:r>
                <w:rPr>
                  <w:rFonts w:ascii="Arial" w:cs="Arial" w:eastAsia="Arial" w:hAnsi="Arial"/>
                  <w:sz w:val="18"/>
                  <w:szCs w:val="18"/>
                  <w:color w:val="0000FF"/>
                  <w:w w:val="93"/>
                </w:rPr>
                <w:t>Amendment No. 1, dated June 26, 2020, to the Amended &amp; Restated Senior Secured Revolving Credit Agreement</w:t>
              </w:r>
            </w:hyperlink>
          </w:p>
        </w:tc>
        <w:tc>
          <w:tcPr>
            <w:tcW w:w="0" w:type="dxa"/>
            <w:vAlign w:val="bottom"/>
          </w:tcPr>
          <w:p>
            <w:pPr>
              <w:spacing w:after="0"/>
              <w:rPr>
                <w:sz w:val="1"/>
                <w:szCs w:val="1"/>
                <w:color w:val="auto"/>
              </w:rPr>
            </w:pPr>
          </w:p>
        </w:tc>
      </w:tr>
      <w:tr>
        <w:trPr>
          <w:trHeight w:val="156"/>
        </w:trPr>
        <w:tc>
          <w:tcPr>
            <w:tcW w:w="1660" w:type="dxa"/>
            <w:vAlign w:val="bottom"/>
            <w:vMerge w:val="continue"/>
          </w:tcPr>
          <w:p>
            <w:pPr>
              <w:spacing w:after="0"/>
              <w:rPr>
                <w:sz w:val="13"/>
                <w:szCs w:val="13"/>
                <w:color w:val="auto"/>
              </w:rPr>
            </w:pPr>
          </w:p>
        </w:tc>
        <w:tc>
          <w:tcPr>
            <w:tcW w:w="8420" w:type="dxa"/>
            <w:vAlign w:val="bottom"/>
            <w:tcBorders>
              <w:top w:val="single" w:sz="8" w:color="0000FF"/>
            </w:tcBorders>
            <w:gridSpan w:val="18"/>
          </w:tcPr>
          <w:p>
            <w:pPr>
              <w:spacing w:after="0" w:line="156" w:lineRule="exact"/>
              <w:rPr>
                <w:rFonts w:ascii="Arial" w:cs="Arial" w:eastAsia="Arial" w:hAnsi="Arial"/>
                <w:sz w:val="18"/>
                <w:szCs w:val="18"/>
                <w:color w:val="0000FF"/>
                <w:w w:val="97"/>
              </w:rPr>
            </w:pPr>
            <w:hyperlink r:id="rId714">
              <w:r>
                <w:rPr>
                  <w:rFonts w:ascii="Arial" w:cs="Arial" w:eastAsia="Arial" w:hAnsi="Arial"/>
                  <w:sz w:val="18"/>
                  <w:szCs w:val="18"/>
                  <w:color w:val="0000FF"/>
                  <w:w w:val="97"/>
                </w:rPr>
                <w:t>dated April 24, 2019, by and among the Company, as borrower, the subsidiary guarantors party thereto, ING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6"/>
              </w:rPr>
            </w:pPr>
            <w:hyperlink r:id="rId714">
              <w:r>
                <w:rPr>
                  <w:rFonts w:ascii="Arial" w:cs="Arial" w:eastAsia="Arial" w:hAnsi="Arial"/>
                  <w:sz w:val="18"/>
                  <w:szCs w:val="18"/>
                  <w:color w:val="0000FF"/>
                  <w:w w:val="96"/>
                </w:rPr>
                <w:t>Capital LLC, as administrative agent, and the lenders party thereto (Filed as Exhibit 10.1 to the Registrant’s</w:t>
              </w:r>
            </w:hyperlink>
          </w:p>
        </w:tc>
        <w:tc>
          <w:tcPr>
            <w:tcW w:w="60" w:type="dxa"/>
            <w:vAlign w:val="bottom"/>
            <w:tcBorders>
              <w:bottom w:val="single" w:sz="8" w:color="0000FF"/>
            </w:tcBorders>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8340" w:type="dxa"/>
            <w:vAlign w:val="bottom"/>
            <w:tcBorders>
              <w:bottom w:val="single" w:sz="8" w:color="0000FF"/>
            </w:tcBorders>
            <w:gridSpan w:val="14"/>
          </w:tcPr>
          <w:p>
            <w:pPr>
              <w:spacing w:after="0" w:line="156" w:lineRule="exact"/>
              <w:rPr>
                <w:rFonts w:ascii="Arial" w:cs="Arial" w:eastAsia="Arial" w:hAnsi="Arial"/>
                <w:sz w:val="18"/>
                <w:szCs w:val="18"/>
                <w:color w:val="0000FF"/>
                <w:w w:val="98"/>
              </w:rPr>
            </w:pPr>
            <w:hyperlink r:id="rId714">
              <w:r>
                <w:rPr>
                  <w:rFonts w:ascii="Arial" w:cs="Arial" w:eastAsia="Arial" w:hAnsi="Arial"/>
                  <w:sz w:val="18"/>
                  <w:szCs w:val="18"/>
                  <w:color w:val="0000FF"/>
                  <w:w w:val="98"/>
                </w:rPr>
                <w:t>current report on Form 8-K filed with the U.S. Securities and Exchange Commission on June 29, 2020 and</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2460" w:type="dxa"/>
            <w:vAlign w:val="bottom"/>
            <w:tcBorders>
              <w:bottom w:val="single" w:sz="8" w:color="0000FF"/>
            </w:tcBorders>
            <w:gridSpan w:val="5"/>
          </w:tcPr>
          <w:p>
            <w:pPr>
              <w:spacing w:after="0" w:line="156" w:lineRule="exact"/>
              <w:rPr>
                <w:rFonts w:ascii="Arial" w:cs="Arial" w:eastAsia="Arial" w:hAnsi="Arial"/>
                <w:sz w:val="18"/>
                <w:szCs w:val="18"/>
                <w:color w:val="0000FF"/>
                <w:w w:val="89"/>
              </w:rPr>
            </w:pPr>
            <w:hyperlink r:id="rId714">
              <w:r>
                <w:rPr>
                  <w:rFonts w:ascii="Arial" w:cs="Arial" w:eastAsia="Arial" w:hAnsi="Arial"/>
                  <w:sz w:val="18"/>
                  <w:szCs w:val="18"/>
                  <w:color w:val="0000FF"/>
                  <w:w w:val="89"/>
                </w:rPr>
                <w:t>incorporated herein by reference).</w:t>
              </w:r>
            </w:hyperlink>
          </w:p>
        </w:tc>
        <w:tc>
          <w:tcPr>
            <w:tcW w:w="6000" w:type="dxa"/>
            <w:vAlign w:val="bottom"/>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660" w:type="dxa"/>
            <w:vAlign w:val="bottom"/>
          </w:tcPr>
          <w:p>
            <w:pPr>
              <w:spacing w:after="0"/>
              <w:rPr>
                <w:sz w:val="20"/>
                <w:szCs w:val="20"/>
                <w:color w:val="auto"/>
              </w:rPr>
            </w:pPr>
            <w:r>
              <w:rPr>
                <w:rFonts w:ascii="Arial" w:cs="Arial" w:eastAsia="Arial" w:hAnsi="Arial"/>
                <w:sz w:val="18"/>
                <w:szCs w:val="18"/>
                <w:color w:val="auto"/>
              </w:rPr>
              <w:t>14.1</w:t>
            </w:r>
          </w:p>
        </w:tc>
        <w:tc>
          <w:tcPr>
            <w:tcW w:w="8520" w:type="dxa"/>
            <w:vAlign w:val="bottom"/>
            <w:gridSpan w:val="23"/>
          </w:tcPr>
          <w:p>
            <w:pPr>
              <w:spacing w:after="0"/>
              <w:rPr>
                <w:rFonts w:ascii="Arial" w:cs="Arial" w:eastAsia="Arial" w:hAnsi="Arial"/>
                <w:sz w:val="18"/>
                <w:szCs w:val="18"/>
                <w:color w:val="0000FF"/>
                <w:w w:val="94"/>
              </w:rPr>
            </w:pPr>
            <w:hyperlink r:id="rId715">
              <w:r>
                <w:rPr>
                  <w:rFonts w:ascii="Arial" w:cs="Arial" w:eastAsia="Arial" w:hAnsi="Arial"/>
                  <w:sz w:val="18"/>
                  <w:szCs w:val="18"/>
                  <w:color w:val="0000FF"/>
                  <w:w w:val="94"/>
                </w:rPr>
                <w:t>Code of Business Conduct of the Registrant (Filed as Exhibit 14.1 to the Registrant’s Annual Report on Form 10-</w:t>
              </w:r>
            </w:hyperlink>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84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15">
              <w:r>
                <w:rPr>
                  <w:rFonts w:ascii="Arial" w:cs="Arial" w:eastAsia="Arial" w:hAnsi="Arial"/>
                  <w:sz w:val="18"/>
                  <w:szCs w:val="18"/>
                  <w:color w:val="0000FF"/>
                </w:rPr>
                <w:t>K (File No. 814-00861) filed with the U.S. Securities and Exchange Commission on March 8, 2012 and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82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715">
              <w:r>
                <w:rPr>
                  <w:rFonts w:ascii="Arial" w:cs="Arial" w:eastAsia="Arial" w:hAnsi="Arial"/>
                  <w:sz w:val="18"/>
                  <w:szCs w:val="18"/>
                  <w:color w:val="0000FF"/>
                </w:rPr>
                <w:t>incorporated herein by reference).</w:t>
              </w:r>
            </w:hyperlink>
          </w:p>
        </w:tc>
        <w:tc>
          <w:tcPr>
            <w:tcW w:w="200" w:type="dxa"/>
            <w:vAlign w:val="bottom"/>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660" w:type="dxa"/>
            <w:vAlign w:val="bottom"/>
          </w:tcPr>
          <w:p>
            <w:pPr>
              <w:spacing w:after="0"/>
              <w:rPr>
                <w:sz w:val="20"/>
                <w:szCs w:val="20"/>
                <w:color w:val="auto"/>
              </w:rPr>
            </w:pPr>
            <w:r>
              <w:rPr>
                <w:rFonts w:ascii="Arial" w:cs="Arial" w:eastAsia="Arial" w:hAnsi="Arial"/>
                <w:sz w:val="18"/>
                <w:szCs w:val="18"/>
                <w:color w:val="auto"/>
              </w:rPr>
              <w:t>21.1</w:t>
            </w:r>
          </w:p>
        </w:tc>
        <w:tc>
          <w:tcPr>
            <w:tcW w:w="2440" w:type="dxa"/>
            <w:vAlign w:val="bottom"/>
            <w:tcBorders>
              <w:top w:val="single" w:sz="8" w:color="0000FF"/>
            </w:tcBorders>
            <w:gridSpan w:val="4"/>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List of Subsidiaries.*</w:t>
              </w:r>
            </w:hyperlink>
          </w:p>
        </w:tc>
        <w:tc>
          <w:tcPr>
            <w:tcW w:w="60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660" w:type="dxa"/>
            <w:vAlign w:val="bottom"/>
          </w:tcPr>
          <w:p>
            <w:pPr>
              <w:spacing w:after="0"/>
              <w:rPr>
                <w:sz w:val="20"/>
                <w:szCs w:val="20"/>
                <w:color w:val="auto"/>
              </w:rPr>
            </w:pPr>
            <w:r>
              <w:rPr>
                <w:rFonts w:ascii="Arial" w:cs="Arial" w:eastAsia="Arial" w:hAnsi="Arial"/>
                <w:sz w:val="18"/>
                <w:szCs w:val="18"/>
                <w:color w:val="auto"/>
              </w:rPr>
              <w:t>23.1</w:t>
            </w:r>
          </w:p>
        </w:tc>
        <w:tc>
          <w:tcPr>
            <w:tcW w:w="8520" w:type="dxa"/>
            <w:vAlign w:val="bottom"/>
            <w:gridSpan w:val="23"/>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60" w:type="dxa"/>
            <w:vAlign w:val="bottom"/>
          </w:tcPr>
          <w:p>
            <w:pPr>
              <w:spacing w:after="0"/>
              <w:rPr>
                <w:sz w:val="20"/>
                <w:szCs w:val="20"/>
                <w:color w:val="auto"/>
              </w:rPr>
            </w:pPr>
            <w:r>
              <w:rPr>
                <w:rFonts w:ascii="Arial" w:cs="Arial" w:eastAsia="Arial" w:hAnsi="Arial"/>
                <w:sz w:val="18"/>
                <w:szCs w:val="18"/>
                <w:color w:val="auto"/>
              </w:rPr>
              <w:t>31.1</w:t>
            </w:r>
          </w:p>
        </w:tc>
        <w:tc>
          <w:tcPr>
            <w:tcW w:w="8520" w:type="dxa"/>
            <w:vAlign w:val="bottom"/>
            <w:gridSpan w:val="23"/>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Certification of Chief Executive Officer pursuant to Rule 13a-14 of the Securities Exchange Act of 1934, as</w:t>
              </w:r>
            </w:hyperlink>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w:anchor="page136">
              <w:r>
                <w:rPr>
                  <w:rFonts w:ascii="Arial" w:cs="Arial" w:eastAsia="Arial" w:hAnsi="Arial"/>
                  <w:sz w:val="18"/>
                  <w:szCs w:val="18"/>
                  <w:color w:val="0000FF"/>
                  <w:w w:val="87"/>
                </w:rPr>
                <w:t>amended.*</w:t>
              </w:r>
            </w:hyperlink>
          </w:p>
        </w:tc>
        <w:tc>
          <w:tcPr>
            <w:tcW w:w="766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660" w:type="dxa"/>
            <w:vAlign w:val="bottom"/>
          </w:tcPr>
          <w:p>
            <w:pPr>
              <w:spacing w:after="0"/>
              <w:rPr>
                <w:sz w:val="20"/>
                <w:szCs w:val="20"/>
                <w:color w:val="auto"/>
              </w:rPr>
            </w:pPr>
            <w:r>
              <w:rPr>
                <w:rFonts w:ascii="Arial" w:cs="Arial" w:eastAsia="Arial" w:hAnsi="Arial"/>
                <w:sz w:val="18"/>
                <w:szCs w:val="18"/>
                <w:color w:val="auto"/>
              </w:rPr>
              <w:t>31.2</w:t>
            </w:r>
          </w:p>
        </w:tc>
        <w:tc>
          <w:tcPr>
            <w:tcW w:w="8520" w:type="dxa"/>
            <w:vAlign w:val="bottom"/>
            <w:gridSpan w:val="23"/>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Certification of Chief Financial Officer pursuant to Rule 13a-14 of the Securities Exchange Act of 1934, as</w:t>
              </w:r>
            </w:hyperlink>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w:anchor="page137">
              <w:r>
                <w:rPr>
                  <w:rFonts w:ascii="Arial" w:cs="Arial" w:eastAsia="Arial" w:hAnsi="Arial"/>
                  <w:sz w:val="18"/>
                  <w:szCs w:val="18"/>
                  <w:color w:val="0000FF"/>
                  <w:w w:val="87"/>
                </w:rPr>
                <w:t>amended.*</w:t>
              </w:r>
            </w:hyperlink>
          </w:p>
        </w:tc>
        <w:tc>
          <w:tcPr>
            <w:tcW w:w="77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660" w:type="dxa"/>
            <w:vAlign w:val="bottom"/>
          </w:tcPr>
          <w:p>
            <w:pPr>
              <w:spacing w:after="0"/>
              <w:rPr>
                <w:sz w:val="20"/>
                <w:szCs w:val="20"/>
                <w:color w:val="auto"/>
              </w:rPr>
            </w:pPr>
            <w:r>
              <w:rPr>
                <w:rFonts w:ascii="Arial" w:cs="Arial" w:eastAsia="Arial" w:hAnsi="Arial"/>
                <w:sz w:val="18"/>
                <w:szCs w:val="18"/>
                <w:color w:val="auto"/>
              </w:rPr>
              <w:t>32.1</w:t>
            </w:r>
          </w:p>
        </w:tc>
        <w:tc>
          <w:tcPr>
            <w:tcW w:w="8520" w:type="dxa"/>
            <w:vAlign w:val="bottom"/>
            <w:gridSpan w:val="23"/>
          </w:tcPr>
          <w:p>
            <w:pPr>
              <w:spacing w:after="0"/>
              <w:rPr>
                <w:rFonts w:ascii="Arial" w:cs="Arial" w:eastAsia="Arial" w:hAnsi="Arial"/>
                <w:sz w:val="18"/>
                <w:szCs w:val="18"/>
                <w:color w:val="0000FF"/>
                <w:w w:val="99"/>
              </w:rPr>
            </w:pPr>
            <w:hyperlink w:anchor="page138">
              <w:r>
                <w:rPr>
                  <w:rFonts w:ascii="Arial" w:cs="Arial" w:eastAsia="Arial" w:hAnsi="Arial"/>
                  <w:sz w:val="18"/>
                  <w:szCs w:val="18"/>
                  <w:color w:val="0000FF"/>
                  <w:w w:val="99"/>
                </w:rPr>
                <w:t>Certification of Chief Executive Officer and Chief Financial Officer pursuant to section 906 of The Sarbanes-</w:t>
              </w:r>
            </w:hyperlink>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6"/>
              </w:rPr>
            </w:pPr>
            <w:hyperlink w:anchor="page138">
              <w:r>
                <w:rPr>
                  <w:rFonts w:ascii="Arial" w:cs="Arial" w:eastAsia="Arial" w:hAnsi="Arial"/>
                  <w:sz w:val="18"/>
                  <w:szCs w:val="18"/>
                  <w:color w:val="0000FF"/>
                  <w:w w:val="96"/>
                </w:rPr>
                <w:t>Oxley Act of 2002.*</w:t>
              </w:r>
            </w:hyperlink>
          </w:p>
        </w:tc>
        <w:tc>
          <w:tcPr>
            <w:tcW w:w="6700" w:type="dxa"/>
            <w:vAlign w:val="bottom"/>
            <w:tcBorders>
              <w:top w:val="single" w:sz="8" w:color="0000FF"/>
            </w:tcBorders>
            <w:gridSpan w:val="5"/>
          </w:tcPr>
          <w:p>
            <w:pPr>
              <w:spacing w:after="0"/>
              <w:rPr>
                <w:sz w:val="13"/>
                <w:szCs w:val="13"/>
                <w:color w:val="auto"/>
              </w:rPr>
            </w:pPr>
          </w:p>
        </w:tc>
        <w:tc>
          <w:tcPr>
            <w:tcW w:w="30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00" w:hanging="479"/>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2" w:lineRule="exact"/>
        <w:rPr>
          <w:sz w:val="20"/>
          <w:szCs w:val="20"/>
          <w:color w:val="auto"/>
        </w:rPr>
      </w:pPr>
    </w:p>
    <w:p>
      <w:pPr>
        <w:ind w:left="500" w:hanging="479"/>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contract or arrangement.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958"/>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FIDUS INVESTMENT CORPORATION</w:t>
      </w:r>
    </w:p>
    <w:p>
      <w:pPr>
        <w:ind w:left="5900"/>
        <w:spacing w:after="0"/>
        <w:rPr>
          <w:sz w:val="20"/>
          <w:szCs w:val="20"/>
          <w:color w:val="auto"/>
        </w:rPr>
      </w:pPr>
      <w:r>
        <w:rPr>
          <w:rFonts w:ascii="Arial" w:cs="Arial" w:eastAsia="Arial" w:hAnsi="Arial"/>
          <w:sz w:val="18"/>
          <w:szCs w:val="18"/>
          <w:color w:val="auto"/>
        </w:rPr>
        <w:t>A Maryland Corporation</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 2022</w:t>
      </w:r>
    </w:p>
    <w:p>
      <w:pPr>
        <w:spacing w:after="0" w:line="23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-1905</wp:posOffset>
            </wp:positionV>
            <wp:extent cx="334327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Edward H. Ross</w:t>
      </w:r>
    </w:p>
    <w:p>
      <w:pPr>
        <w:ind w:left="5900"/>
        <w:spacing w:after="0"/>
        <w:rPr>
          <w:sz w:val="20"/>
          <w:szCs w:val="20"/>
          <w:color w:val="auto"/>
        </w:rPr>
      </w:pPr>
      <w:r>
        <w:rPr>
          <w:rFonts w:ascii="Arial" w:cs="Arial" w:eastAsia="Arial" w:hAnsi="Arial"/>
          <w:sz w:val="18"/>
          <w:szCs w:val="18"/>
          <w:color w:val="auto"/>
        </w:rPr>
        <w:t>Title: Chairman and Chief Executive Officer</w:t>
      </w:r>
    </w:p>
    <w:p>
      <w:pPr>
        <w:spacing w:after="0" w:line="142" w:lineRule="exact"/>
        <w:rPr>
          <w:sz w:val="20"/>
          <w:szCs w:val="20"/>
          <w:color w:val="auto"/>
        </w:rPr>
      </w:pPr>
    </w:p>
    <w:p>
      <w:pPr>
        <w:ind w:firstLine="95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1"/>
        </w:trPr>
        <w:tc>
          <w:tcPr>
            <w:tcW w:w="4120" w:type="dxa"/>
            <w:vAlign w:val="bottom"/>
            <w:tcBorders>
              <w:bottom w:val="single" w:sz="8" w:color="auto"/>
            </w:tcBorders>
            <w:gridSpan w:val="2"/>
          </w:tcPr>
          <w:p>
            <w:pPr>
              <w:ind w:left="1780"/>
              <w:spacing w:after="0"/>
              <w:rPr>
                <w:sz w:val="20"/>
                <w:szCs w:val="20"/>
                <w:color w:val="auto"/>
              </w:rPr>
            </w:pPr>
            <w:r>
              <w:rPr>
                <w:rFonts w:ascii="Arial" w:cs="Arial" w:eastAsia="Arial" w:hAnsi="Arial"/>
                <w:sz w:val="13"/>
                <w:szCs w:val="13"/>
                <w:b w:val="1"/>
                <w:bCs w:val="1"/>
                <w:color w:val="auto"/>
              </w:rPr>
              <w:t>Signature</w:t>
            </w:r>
          </w:p>
        </w:tc>
        <w:tc>
          <w:tcPr>
            <w:tcW w:w="260" w:type="dxa"/>
            <w:vAlign w:val="bottom"/>
          </w:tcPr>
          <w:p>
            <w:pPr>
              <w:spacing w:after="0"/>
              <w:rPr>
                <w:sz w:val="14"/>
                <w:szCs w:val="14"/>
                <w:color w:val="auto"/>
              </w:rPr>
            </w:pPr>
          </w:p>
        </w:tc>
        <w:tc>
          <w:tcPr>
            <w:tcW w:w="490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Title</w:t>
            </w:r>
          </w:p>
        </w:tc>
        <w:tc>
          <w:tcPr>
            <w:tcW w:w="26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345"/>
        </w:trPr>
        <w:tc>
          <w:tcPr>
            <w:tcW w:w="4120" w:type="dxa"/>
            <w:vAlign w:val="bottom"/>
            <w:gridSpan w:val="2"/>
          </w:tcPr>
          <w:p>
            <w:pPr>
              <w:spacing w:after="0"/>
              <w:rPr>
                <w:sz w:val="20"/>
                <w:szCs w:val="20"/>
                <w:color w:val="auto"/>
              </w:rPr>
            </w:pPr>
            <w:r>
              <w:rPr>
                <w:rFonts w:ascii="Arial" w:cs="Arial" w:eastAsia="Arial" w:hAnsi="Arial"/>
                <w:sz w:val="18"/>
                <w:szCs w:val="18"/>
                <w:color w:val="auto"/>
              </w:rPr>
              <w:t>/s/ EDWARD H. ROSS</w:t>
            </w:r>
          </w:p>
        </w:tc>
        <w:tc>
          <w:tcPr>
            <w:tcW w:w="2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490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00" w:type="dxa"/>
            <w:vAlign w:val="bottom"/>
          </w:tcPr>
          <w:p>
            <w:pPr>
              <w:spacing w:after="0"/>
              <w:rPr>
                <w:sz w:val="20"/>
                <w:szCs w:val="20"/>
                <w:color w:val="auto"/>
              </w:rPr>
            </w:pPr>
            <w:r>
              <w:rPr>
                <w:rFonts w:ascii="Arial" w:cs="Arial" w:eastAsia="Arial" w:hAnsi="Arial"/>
                <w:sz w:val="18"/>
                <w:szCs w:val="18"/>
                <w:color w:val="auto"/>
              </w:rPr>
              <w:t>Edward H. Ross</w:t>
            </w:r>
          </w:p>
        </w:tc>
        <w:tc>
          <w:tcPr>
            <w:tcW w:w="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gridSpan w:val="2"/>
          </w:tcPr>
          <w:p>
            <w:pPr>
              <w:spacing w:after="0"/>
              <w:rPr>
                <w:sz w:val="20"/>
                <w:szCs w:val="20"/>
                <w:color w:val="auto"/>
              </w:rPr>
            </w:pPr>
            <w:r>
              <w:rPr>
                <w:rFonts w:ascii="Arial" w:cs="Arial" w:eastAsia="Arial" w:hAnsi="Arial"/>
                <w:sz w:val="18"/>
                <w:szCs w:val="18"/>
                <w:color w:val="auto"/>
              </w:rPr>
              <w:t>/s/ THOMAS C. LAUER</w:t>
            </w:r>
          </w:p>
        </w:tc>
        <w:tc>
          <w:tcPr>
            <w:tcW w:w="2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President and Director</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24"/>
        </w:trPr>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C. Lauer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120" w:type="dxa"/>
            <w:vAlign w:val="bottom"/>
            <w:gridSpan w:val="2"/>
          </w:tcPr>
          <w:p>
            <w:pPr>
              <w:spacing w:after="0"/>
              <w:rPr>
                <w:sz w:val="20"/>
                <w:szCs w:val="20"/>
                <w:color w:val="auto"/>
              </w:rPr>
            </w:pPr>
            <w:r>
              <w:rPr>
                <w:rFonts w:ascii="Arial" w:cs="Arial" w:eastAsia="Arial" w:hAnsi="Arial"/>
                <w:sz w:val="18"/>
                <w:szCs w:val="18"/>
                <w:color w:val="auto"/>
              </w:rPr>
              <w:t>/s/ SHELBY E. SHERARD</w:t>
            </w:r>
          </w:p>
        </w:tc>
        <w:tc>
          <w:tcPr>
            <w:tcW w:w="2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4900" w:type="dxa"/>
            <w:vAlign w:val="bottom"/>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00" w:type="dxa"/>
            <w:vAlign w:val="bottom"/>
          </w:tcPr>
          <w:p>
            <w:pPr>
              <w:spacing w:after="0"/>
              <w:rPr>
                <w:sz w:val="20"/>
                <w:szCs w:val="20"/>
                <w:color w:val="auto"/>
              </w:rPr>
            </w:pPr>
            <w:r>
              <w:rPr>
                <w:rFonts w:ascii="Arial" w:cs="Arial" w:eastAsia="Arial" w:hAnsi="Arial"/>
                <w:sz w:val="18"/>
                <w:szCs w:val="18"/>
                <w:color w:val="auto"/>
              </w:rPr>
              <w:t>Shelby E. Sherard</w:t>
            </w:r>
          </w:p>
        </w:tc>
        <w:tc>
          <w:tcPr>
            <w:tcW w:w="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gridSpan w:val="2"/>
          </w:tcPr>
          <w:p>
            <w:pPr>
              <w:spacing w:after="0"/>
              <w:rPr>
                <w:sz w:val="20"/>
                <w:szCs w:val="20"/>
                <w:color w:val="auto"/>
              </w:rPr>
            </w:pPr>
            <w:r>
              <w:rPr>
                <w:rFonts w:ascii="Arial" w:cs="Arial" w:eastAsia="Arial" w:hAnsi="Arial"/>
                <w:sz w:val="18"/>
                <w:szCs w:val="18"/>
                <w:color w:val="auto"/>
              </w:rPr>
              <w:t>/s/ RAYMOND L. ANSTISS, JR.</w:t>
            </w:r>
          </w:p>
        </w:tc>
        <w:tc>
          <w:tcPr>
            <w:tcW w:w="2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24"/>
        </w:trPr>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Raymond L. Anstiss, Jr.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120" w:type="dxa"/>
            <w:vAlign w:val="bottom"/>
            <w:gridSpan w:val="2"/>
          </w:tcPr>
          <w:p>
            <w:pPr>
              <w:spacing w:after="0"/>
              <w:rPr>
                <w:sz w:val="20"/>
                <w:szCs w:val="20"/>
                <w:color w:val="auto"/>
              </w:rPr>
            </w:pPr>
            <w:r>
              <w:rPr>
                <w:rFonts w:ascii="Arial" w:cs="Arial" w:eastAsia="Arial" w:hAnsi="Arial"/>
                <w:sz w:val="18"/>
                <w:szCs w:val="18"/>
                <w:color w:val="auto"/>
              </w:rPr>
              <w:t>/s/ CHARLES D. HYMAN</w:t>
            </w:r>
          </w:p>
        </w:tc>
        <w:tc>
          <w:tcPr>
            <w:tcW w:w="2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24"/>
        </w:trPr>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Charles D. Hyman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gridSpan w:val="2"/>
          </w:tcPr>
          <w:p>
            <w:pPr>
              <w:spacing w:after="0"/>
              <w:rPr>
                <w:sz w:val="20"/>
                <w:szCs w:val="20"/>
                <w:color w:val="auto"/>
              </w:rPr>
            </w:pPr>
            <w:r>
              <w:rPr>
                <w:rFonts w:ascii="Arial" w:cs="Arial" w:eastAsia="Arial" w:hAnsi="Arial"/>
                <w:sz w:val="18"/>
                <w:szCs w:val="18"/>
                <w:color w:val="auto"/>
              </w:rPr>
              <w:t>/s/ EDWARD X. TUNE</w:t>
            </w:r>
          </w:p>
        </w:tc>
        <w:tc>
          <w:tcPr>
            <w:tcW w:w="2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24"/>
        </w:trPr>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Edward X. Tune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5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4.8</w:t>
      </w:r>
    </w:p>
    <w:p>
      <w:pPr>
        <w:spacing w:after="0" w:line="200" w:lineRule="exact"/>
        <w:rPr>
          <w:sz w:val="20"/>
          <w:szCs w:val="20"/>
          <w:color w:val="auto"/>
        </w:rPr>
      </w:pPr>
    </w:p>
    <w:p>
      <w:pPr>
        <w:spacing w:after="0" w:line="322"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DESCRIPTION OF SECURITIES</w:t>
      </w:r>
    </w:p>
    <w:p>
      <w:pPr>
        <w:spacing w:after="0" w:line="200" w:lineRule="exact"/>
        <w:rPr>
          <w:sz w:val="20"/>
          <w:szCs w:val="20"/>
          <w:color w:val="auto"/>
        </w:rPr>
      </w:pPr>
    </w:p>
    <w:p>
      <w:pPr>
        <w:spacing w:after="0" w:line="326" w:lineRule="exact"/>
        <w:rPr>
          <w:sz w:val="20"/>
          <w:szCs w:val="20"/>
          <w:color w:val="auto"/>
        </w:rPr>
      </w:pPr>
    </w:p>
    <w:p>
      <w:pPr>
        <w:jc w:val="both"/>
        <w:ind w:firstLine="374"/>
        <w:spacing w:after="0" w:line="324" w:lineRule="auto"/>
        <w:rPr>
          <w:sz w:val="20"/>
          <w:szCs w:val="20"/>
          <w:color w:val="auto"/>
        </w:rPr>
      </w:pPr>
      <w:r>
        <w:rPr>
          <w:rFonts w:ascii="Arial" w:cs="Arial" w:eastAsia="Arial" w:hAnsi="Arial"/>
          <w:sz w:val="16"/>
          <w:szCs w:val="16"/>
          <w:i w:val="1"/>
          <w:iCs w:val="1"/>
          <w:color w:val="auto"/>
        </w:rPr>
        <w:t>As of December 31, 2021, Fidus Investment Corporation (“we,” “our,” “us,” or the “Company”) has one class of securities registered under Section 12 of the Securities Exchange Act of 1934, as amended (the “Exchange Act”): its common stock, par value $0.001 per share (“common stock”).</w:t>
      </w:r>
    </w:p>
    <w:p>
      <w:pPr>
        <w:spacing w:after="0" w:line="70"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i w:val="1"/>
          <w:iCs w:val="1"/>
          <w:color w:val="auto"/>
        </w:rPr>
        <w:t>The following description of the common stock is as of December 31, 2021 and based on, as applicable, the relevant portions of the Maryland General Corporation Law (“MGCL”), the Company’s articles of amendment and restatement (“charter”), and our bylaws (“bylaws”). This summary is a description of the material terms of, and is qualified in its entirety by, the charter and the bylaws, each of which is incorporated by reference as an exhibit to this Annual Report on Form 10-K. As a result, this summary may not contain all of the information that is important to you. We refer you to the MGCL, the charter, and the bylaws for a more detailed description of the provisions summarized below. Capitalized terms used but not defined herein shall have the meaning ascribed to them in the Annual Report on Form 10-K to which this Description of Securities is an exhibit.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162"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authorized capital stock of Fidus Investment Corporation (the “Company,” “we,” “our” or “us”) consists of 100,000,000 shares of common stock, par value $0.001 per share.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w:t>
      </w:r>
    </w:p>
    <w:p>
      <w:pPr>
        <w:spacing w:after="0" w:line="134"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Under our charter, our board of directors is authorized to classify and reclassify any unissued shares of stock into other classes or series of stock without obtaining stockholder approval. As permitted by the MGCL,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34"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MGCL and our Charter and Bylaws</w:t>
      </w:r>
    </w:p>
    <w:p>
      <w:pPr>
        <w:spacing w:after="0" w:line="162" w:lineRule="exact"/>
        <w:rPr>
          <w:sz w:val="20"/>
          <w:szCs w:val="20"/>
          <w:color w:val="auto"/>
        </w:rPr>
      </w:pPr>
    </w:p>
    <w:p>
      <w:pPr>
        <w:jc w:val="both"/>
        <w:ind w:firstLine="419"/>
        <w:spacing w:after="0" w:line="241" w:lineRule="auto"/>
        <w:rPr>
          <w:sz w:val="20"/>
          <w:szCs w:val="20"/>
          <w:color w:val="auto"/>
        </w:rPr>
      </w:pPr>
      <w:r>
        <w:rPr>
          <w:rFonts w:ascii="Arial" w:cs="Arial" w:eastAsia="Arial" w:hAnsi="Arial"/>
          <w:sz w:val="18"/>
          <w:szCs w:val="18"/>
          <w:color w:val="auto"/>
        </w:rPr>
        <w:t>The MGCL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62" w:lineRule="exact"/>
        <w:rPr>
          <w:sz w:val="20"/>
          <w:szCs w:val="20"/>
          <w:color w:val="auto"/>
        </w:rPr>
      </w:pPr>
    </w:p>
    <w:p>
      <w:pPr>
        <w:jc w:val="both"/>
        <w:ind w:firstLine="419"/>
        <w:spacing w:after="0" w:line="284"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62" w:lineRule="exact"/>
        <w:rPr>
          <w:sz w:val="20"/>
          <w:szCs w:val="20"/>
          <w:color w:val="auto"/>
        </w:rPr>
      </w:pPr>
    </w:p>
    <w:p>
      <w:pPr>
        <w:jc w:val="both"/>
        <w:ind w:firstLine="419"/>
        <w:spacing w:after="0" w:line="248" w:lineRule="auto"/>
        <w:rPr>
          <w:sz w:val="20"/>
          <w:szCs w:val="20"/>
          <w:color w:val="auto"/>
        </w:rPr>
      </w:pPr>
      <w:r>
        <w:rPr>
          <w:rFonts w:ascii="Arial" w:cs="Arial" w:eastAsia="Arial" w:hAnsi="Arial"/>
          <w:sz w:val="18"/>
          <w:szCs w:val="18"/>
          <w:color w:val="auto"/>
        </w:rPr>
        <w:t>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Number of Directors; Vacancies; Removal</w:t>
      </w:r>
    </w:p>
    <w:p>
      <w:pPr>
        <w:spacing w:after="0" w:line="162" w:lineRule="exact"/>
        <w:rPr>
          <w:sz w:val="20"/>
          <w:szCs w:val="20"/>
          <w:color w:val="auto"/>
        </w:rPr>
      </w:pPr>
    </w:p>
    <w:p>
      <w:pPr>
        <w:jc w:val="both"/>
        <w:ind w:firstLine="374"/>
        <w:spacing w:after="0" w:line="276"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08"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Stockholders</w:t>
      </w:r>
    </w:p>
    <w:p>
      <w:pPr>
        <w:spacing w:after="0" w:line="162" w:lineRule="exact"/>
        <w:rPr>
          <w:sz w:val="20"/>
          <w:szCs w:val="20"/>
          <w:color w:val="auto"/>
        </w:rPr>
      </w:pPr>
    </w:p>
    <w:p>
      <w:pPr>
        <w:jc w:val="both"/>
        <w:ind w:firstLine="419"/>
        <w:spacing w:after="0" w:line="243" w:lineRule="auto"/>
        <w:rPr>
          <w:sz w:val="20"/>
          <w:szCs w:val="20"/>
          <w:color w:val="auto"/>
        </w:rPr>
      </w:pPr>
      <w:r>
        <w:rPr>
          <w:rFonts w:ascii="Arial" w:cs="Arial" w:eastAsia="Arial" w:hAnsi="Arial"/>
          <w:sz w:val="18"/>
          <w:szCs w:val="18"/>
          <w:color w:val="auto"/>
        </w:rPr>
        <w:t>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Provisions for Stockholder Nominations and Stockholder Proposals</w:t>
      </w:r>
    </w:p>
    <w:p>
      <w:pPr>
        <w:spacing w:after="0" w:line="162"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color w:val="auto"/>
        </w:rPr>
        <w:t>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the bylaws.</w:t>
      </w:r>
    </w:p>
    <w:p>
      <w:pPr>
        <w:spacing w:after="0" w:line="127"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of Special Meetings of Stockholders</w:t>
      </w:r>
    </w:p>
    <w:p>
      <w:pPr>
        <w:spacing w:after="0" w:line="162"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8"/>
          <w:szCs w:val="18"/>
          <w:color w:val="auto"/>
        </w:rPr>
        <w:t>Our bylaws provide that special meetings of stockholders may be called by the chairman of our board of directors, our President and our board of directors.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Extraordinary Corporate Action; Amendment of Charter and Bylaws</w:t>
      </w:r>
    </w:p>
    <w:p>
      <w:pPr>
        <w:spacing w:after="0" w:line="162"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ind w:firstLine="8"/>
        <w:spacing w:after="0" w:line="261" w:lineRule="auto"/>
        <w:tabs>
          <w:tab w:leader="none" w:pos="2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successor directors whose nomination for election by the stockholders or whose election by the directors to fill vacancies is approved by a majority of continuing directors or the successor continuing directors then in office.</w:t>
      </w:r>
    </w:p>
    <w:p>
      <w:pPr>
        <w:spacing w:after="0" w:line="117" w:lineRule="exact"/>
        <w:rPr>
          <w:sz w:val="20"/>
          <w:szCs w:val="20"/>
          <w:color w:val="auto"/>
        </w:rPr>
      </w:pPr>
    </w:p>
    <w:p>
      <w:pPr>
        <w:ind w:right="520" w:firstLine="374"/>
        <w:spacing w:after="0" w:line="422" w:lineRule="auto"/>
        <w:rPr>
          <w:sz w:val="20"/>
          <w:szCs w:val="20"/>
          <w:color w:val="auto"/>
        </w:rPr>
      </w:pPr>
      <w:r>
        <w:rPr>
          <w:rFonts w:ascii="Arial" w:cs="Arial" w:eastAsia="Arial" w:hAnsi="Arial"/>
          <w:sz w:val="18"/>
          <w:szCs w:val="18"/>
          <w:color w:val="auto"/>
        </w:rPr>
        <w:t xml:space="preserve">Our charter and bylaws provide that the board of directors has the exclusive power to make, alter, amend or repeal any provision of our bylaws. </w:t>
      </w:r>
      <w:r>
        <w:rPr>
          <w:rFonts w:ascii="Arial" w:cs="Arial" w:eastAsia="Arial" w:hAnsi="Arial"/>
          <w:sz w:val="18"/>
          <w:szCs w:val="18"/>
          <w:b w:val="1"/>
          <w:bCs w:val="1"/>
          <w:color w:val="auto"/>
        </w:rPr>
        <w:t>No Appraisal Rights</w:t>
      </w:r>
    </w:p>
    <w:p>
      <w:pPr>
        <w:spacing w:after="0" w:line="1" w:lineRule="exact"/>
        <w:rPr>
          <w:sz w:val="20"/>
          <w:szCs w:val="20"/>
          <w:color w:val="auto"/>
        </w:rPr>
      </w:pPr>
    </w:p>
    <w:p>
      <w:pPr>
        <w:jc w:val="both"/>
        <w:ind w:firstLine="433"/>
        <w:spacing w:after="0" w:line="291" w:lineRule="auto"/>
        <w:rPr>
          <w:sz w:val="20"/>
          <w:szCs w:val="20"/>
          <w:color w:val="auto"/>
        </w:rPr>
      </w:pPr>
      <w:r>
        <w:rPr>
          <w:rFonts w:ascii="Arial" w:cs="Arial" w:eastAsia="Arial" w:hAnsi="Arial"/>
          <w:sz w:val="17"/>
          <w:szCs w:val="17"/>
          <w:color w:val="auto"/>
        </w:rPr>
        <w:t>Except with respect to appraisal rights arising in connection with the Control Share Act discussed below, as permitted by the MGCL, our charter provides that stockholders will not be entitled to exercise appraisal rights unless a majority of the board of directors shall determine such rights apply.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162"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auto"/>
        </w:rPr>
        <w:t>The MGCL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135" w:lineRule="exact"/>
        <w:rPr>
          <w:sz w:val="20"/>
          <w:szCs w:val="20"/>
          <w:color w:val="auto"/>
        </w:rPr>
      </w:pPr>
    </w:p>
    <w:p>
      <w:pPr>
        <w:ind w:left="1780" w:hanging="380"/>
        <w:spacing w:after="0"/>
        <w:tabs>
          <w:tab w:leader="none" w:pos="1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57" w:lineRule="exact"/>
        <w:rPr>
          <w:rFonts w:ascii="Arial" w:cs="Arial" w:eastAsia="Arial" w:hAnsi="Arial"/>
          <w:sz w:val="18"/>
          <w:szCs w:val="18"/>
          <w:color w:val="auto"/>
        </w:rPr>
      </w:pPr>
    </w:p>
    <w:p>
      <w:pPr>
        <w:ind w:left="1780" w:hanging="380"/>
        <w:spacing w:after="0"/>
        <w:tabs>
          <w:tab w:leader="none" w:pos="1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57" w:lineRule="exact"/>
        <w:rPr>
          <w:rFonts w:ascii="Arial" w:cs="Arial" w:eastAsia="Arial" w:hAnsi="Arial"/>
          <w:sz w:val="18"/>
          <w:szCs w:val="18"/>
          <w:color w:val="auto"/>
        </w:rPr>
      </w:pPr>
    </w:p>
    <w:p>
      <w:pPr>
        <w:ind w:left="1780" w:hanging="380"/>
        <w:spacing w:after="0"/>
        <w:tabs>
          <w:tab w:leader="none" w:pos="1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28"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34"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27"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62" w:lineRule="exact"/>
        <w:rPr>
          <w:sz w:val="20"/>
          <w:szCs w:val="20"/>
          <w:color w:val="auto"/>
        </w:rPr>
      </w:pPr>
    </w:p>
    <w:p>
      <w:pPr>
        <w:jc w:val="both"/>
        <w:ind w:firstLine="446"/>
        <w:spacing w:after="0" w:line="262" w:lineRule="auto"/>
        <w:rPr>
          <w:sz w:val="20"/>
          <w:szCs w:val="20"/>
          <w:color w:val="auto"/>
        </w:rPr>
      </w:pPr>
      <w:r>
        <w:rPr>
          <w:rFonts w:ascii="Arial" w:cs="Arial" w:eastAsia="Arial" w:hAnsi="Arial"/>
          <w:sz w:val="17"/>
          <w:szCs w:val="17"/>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18" w:lineRule="exact"/>
        <w:rPr>
          <w:sz w:val="20"/>
          <w:szCs w:val="20"/>
          <w:color w:val="auto"/>
        </w:rPr>
      </w:pPr>
    </w:p>
    <w:p>
      <w:pPr>
        <w:ind w:left="1020" w:hanging="503"/>
        <w:spacing w:after="0"/>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person who beneficially owns 10.0% or more of the voting power of the corporation’s outstanding voting stock; or</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10.0% or more of the voting power of the then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jc w:val="both"/>
        <w:ind w:firstLine="374"/>
        <w:spacing w:after="0" w:line="248"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8"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17" w:lineRule="exact"/>
        <w:rPr>
          <w:sz w:val="20"/>
          <w:szCs w:val="20"/>
          <w:color w:val="auto"/>
        </w:rPr>
      </w:pPr>
    </w:p>
    <w:p>
      <w:pPr>
        <w:ind w:left="1020" w:hanging="503"/>
        <w:spacing w:after="0"/>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80.0% of the votes entitled to be cast by holders of outstanding shares of voting stock of the corporation; and</w:t>
      </w:r>
    </w:p>
    <w:p>
      <w:pPr>
        <w:spacing w:after="0" w:line="103"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11" w:lineRule="exact"/>
        <w:rPr>
          <w:sz w:val="20"/>
          <w:szCs w:val="20"/>
          <w:color w:val="auto"/>
        </w:rPr>
      </w:pPr>
    </w:p>
    <w:p>
      <w:pPr>
        <w:jc w:val="both"/>
        <w:ind w:right="20" w:firstLine="423"/>
        <w:spacing w:after="0" w:line="324"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70"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with 1940 Act</w:t>
      </w:r>
    </w:p>
    <w:p>
      <w:pPr>
        <w:spacing w:after="0" w:line="162" w:lineRule="exact"/>
        <w:rPr>
          <w:sz w:val="20"/>
          <w:szCs w:val="20"/>
          <w:color w:val="auto"/>
        </w:rPr>
      </w:pPr>
    </w:p>
    <w:p>
      <w:pPr>
        <w:jc w:val="both"/>
        <w:ind w:firstLine="419"/>
        <w:spacing w:after="0" w:line="248" w:lineRule="auto"/>
        <w:rPr>
          <w:sz w:val="20"/>
          <w:szCs w:val="20"/>
          <w:color w:val="auto"/>
        </w:rPr>
      </w:pPr>
      <w:r>
        <w:rPr>
          <w:rFonts w:ascii="Arial" w:cs="Arial" w:eastAsia="Arial" w:hAnsi="Arial"/>
          <w:sz w:val="18"/>
          <w:szCs w:val="18"/>
          <w:color w:val="auto"/>
        </w:rPr>
        <w:t>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7760" w:type="dxa"/>
            <w:vAlign w:val="bottom"/>
            <w:gridSpan w:val="2"/>
          </w:tcPr>
          <w:p>
            <w:pPr>
              <w:ind w:left="2300"/>
              <w:spacing w:after="0"/>
              <w:rPr>
                <w:sz w:val="20"/>
                <w:szCs w:val="20"/>
                <w:color w:val="auto"/>
              </w:rPr>
            </w:pPr>
            <w:r>
              <w:rPr>
                <w:rFonts w:ascii="Arial" w:cs="Arial" w:eastAsia="Arial" w:hAnsi="Arial"/>
                <w:sz w:val="18"/>
                <w:szCs w:val="18"/>
                <w:b w:val="1"/>
                <w:bCs w:val="1"/>
                <w:color w:val="auto"/>
              </w:rPr>
              <w:t>SUBSIDIARIES OF FIDUS INVESTMENT CORPORATION</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920" w:type="dxa"/>
            <w:vAlign w:val="bottom"/>
          </w:tcPr>
          <w:p>
            <w:pPr>
              <w:spacing w:after="0"/>
              <w:rPr>
                <w:sz w:val="24"/>
                <w:szCs w:val="24"/>
                <w:color w:val="auto"/>
              </w:rPr>
            </w:pPr>
          </w:p>
        </w:tc>
        <w:tc>
          <w:tcPr>
            <w:tcW w:w="77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3"/>
                <w:szCs w:val="13"/>
                <w:b w:val="1"/>
                <w:bCs w:val="1"/>
                <w:color w:val="auto"/>
              </w:rPr>
              <w:t>Jurisdiction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7760" w:type="dxa"/>
            <w:vAlign w:val="bottom"/>
            <w:gridSpan w:val="2"/>
          </w:tcPr>
          <w:p>
            <w:pPr>
              <w:spacing w:after="0" w:line="169" w:lineRule="exact"/>
              <w:rPr>
                <w:sz w:val="20"/>
                <w:szCs w:val="20"/>
                <w:color w:val="auto"/>
              </w:rPr>
            </w:pPr>
            <w:r>
              <w:rPr>
                <w:rFonts w:ascii="Arial" w:cs="Arial" w:eastAsia="Arial" w:hAnsi="Arial"/>
                <w:sz w:val="18"/>
                <w:szCs w:val="18"/>
                <w:color w:val="auto"/>
              </w:rPr>
              <w:t>BBRSS Blocker Corp.</w:t>
            </w:r>
          </w:p>
        </w:tc>
        <w:tc>
          <w:tcPr>
            <w:tcW w:w="280" w:type="dxa"/>
            <w:vAlign w:val="bottom"/>
            <w:vMerge w:val="continue"/>
          </w:tcPr>
          <w:p>
            <w:pPr>
              <w:spacing w:after="0"/>
              <w:rPr>
                <w:sz w:val="14"/>
                <w:szCs w:val="14"/>
                <w:color w:val="auto"/>
              </w:rPr>
            </w:pPr>
          </w:p>
        </w:tc>
        <w:tc>
          <w:tcPr>
            <w:tcW w:w="1120" w:type="dxa"/>
            <w:vAlign w:val="bottom"/>
          </w:tcPr>
          <w:p>
            <w:pPr>
              <w:ind w:left="400"/>
              <w:spacing w:after="0" w:line="169" w:lineRule="exact"/>
              <w:rPr>
                <w:sz w:val="20"/>
                <w:szCs w:val="20"/>
                <w:color w:val="auto"/>
              </w:rPr>
            </w:pPr>
            <w:r>
              <w:rPr>
                <w:rFonts w:ascii="Arial" w:cs="Arial" w:eastAsia="Arial" w:hAnsi="Arial"/>
                <w:sz w:val="18"/>
                <w:szCs w:val="18"/>
                <w:color w:val="auto"/>
                <w:w w:val="92"/>
              </w:rPr>
              <w:t>Delaware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FCDS Corp.</w:t>
            </w:r>
          </w:p>
        </w:tc>
        <w:tc>
          <w:tcPr>
            <w:tcW w:w="280" w:type="dxa"/>
            <w:vAlign w:val="bottom"/>
          </w:tcPr>
          <w:p>
            <w:pPr>
              <w:spacing w:after="0"/>
              <w:rPr>
                <w:sz w:val="17"/>
                <w:szCs w:val="17"/>
                <w:color w:val="auto"/>
              </w:rPr>
            </w:pPr>
          </w:p>
        </w:tc>
        <w:tc>
          <w:tcPr>
            <w:tcW w:w="1120" w:type="dxa"/>
            <w:vAlign w:val="bottom"/>
          </w:tcPr>
          <w:p>
            <w:pPr>
              <w:ind w:left="400"/>
              <w:spacing w:after="0" w:line="202" w:lineRule="exact"/>
              <w:rPr>
                <w:sz w:val="20"/>
                <w:szCs w:val="20"/>
                <w:color w:val="auto"/>
              </w:rPr>
            </w:pPr>
            <w:r>
              <w:rPr>
                <w:rFonts w:ascii="Arial" w:cs="Arial" w:eastAsia="Arial" w:hAnsi="Arial"/>
                <w:sz w:val="18"/>
                <w:szCs w:val="18"/>
                <w:color w:val="auto"/>
                <w:w w:val="92"/>
              </w:rPr>
              <w:t>Delaware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FCMH Equity Corp.</w:t>
            </w:r>
          </w:p>
        </w:tc>
        <w:tc>
          <w:tcPr>
            <w:tcW w:w="280" w:type="dxa"/>
            <w:vAlign w:val="bottom"/>
          </w:tcPr>
          <w:p>
            <w:pPr>
              <w:spacing w:after="0"/>
              <w:rPr>
                <w:sz w:val="17"/>
                <w:szCs w:val="17"/>
                <w:color w:val="auto"/>
              </w:rPr>
            </w:pPr>
          </w:p>
        </w:tc>
        <w:tc>
          <w:tcPr>
            <w:tcW w:w="1120" w:type="dxa"/>
            <w:vAlign w:val="bottom"/>
          </w:tcPr>
          <w:p>
            <w:pPr>
              <w:ind w:left="400"/>
              <w:spacing w:after="0" w:line="202" w:lineRule="exact"/>
              <w:rPr>
                <w:sz w:val="20"/>
                <w:szCs w:val="20"/>
                <w:color w:val="auto"/>
              </w:rPr>
            </w:pPr>
            <w:r>
              <w:rPr>
                <w:rFonts w:ascii="Arial" w:cs="Arial" w:eastAsia="Arial" w:hAnsi="Arial"/>
                <w:sz w:val="18"/>
                <w:szCs w:val="18"/>
                <w:color w:val="auto"/>
                <w:w w:val="92"/>
              </w:rPr>
              <w:t>Delaware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Fidus Capital GP, LLC</w:t>
            </w:r>
          </w:p>
        </w:tc>
        <w:tc>
          <w:tcPr>
            <w:tcW w:w="280" w:type="dxa"/>
            <w:vAlign w:val="bottom"/>
          </w:tcPr>
          <w:p>
            <w:pPr>
              <w:spacing w:after="0"/>
              <w:rPr>
                <w:sz w:val="17"/>
                <w:szCs w:val="17"/>
                <w:color w:val="auto"/>
              </w:rPr>
            </w:pPr>
          </w:p>
        </w:tc>
        <w:tc>
          <w:tcPr>
            <w:tcW w:w="1120" w:type="dxa"/>
            <w:vAlign w:val="bottom"/>
          </w:tcPr>
          <w:p>
            <w:pPr>
              <w:ind w:left="400"/>
              <w:spacing w:after="0" w:line="202" w:lineRule="exact"/>
              <w:rPr>
                <w:sz w:val="20"/>
                <w:szCs w:val="20"/>
                <w:color w:val="auto"/>
              </w:rPr>
            </w:pPr>
            <w:r>
              <w:rPr>
                <w:rFonts w:ascii="Arial" w:cs="Arial" w:eastAsia="Arial" w:hAnsi="Arial"/>
                <w:sz w:val="18"/>
                <w:szCs w:val="18"/>
                <w:color w:val="auto"/>
                <w:w w:val="92"/>
              </w:rPr>
              <w:t>Delaware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Fidus Investment GP, LLC</w:t>
            </w:r>
          </w:p>
        </w:tc>
        <w:tc>
          <w:tcPr>
            <w:tcW w:w="280" w:type="dxa"/>
            <w:vAlign w:val="bottom"/>
          </w:tcPr>
          <w:p>
            <w:pPr>
              <w:spacing w:after="0"/>
              <w:rPr>
                <w:sz w:val="17"/>
                <w:szCs w:val="17"/>
                <w:color w:val="auto"/>
              </w:rPr>
            </w:pPr>
          </w:p>
        </w:tc>
        <w:tc>
          <w:tcPr>
            <w:tcW w:w="1120" w:type="dxa"/>
            <w:vAlign w:val="bottom"/>
          </w:tcPr>
          <w:p>
            <w:pPr>
              <w:ind w:left="400"/>
              <w:spacing w:after="0" w:line="202" w:lineRule="exact"/>
              <w:rPr>
                <w:sz w:val="20"/>
                <w:szCs w:val="20"/>
                <w:color w:val="auto"/>
              </w:rPr>
            </w:pPr>
            <w:r>
              <w:rPr>
                <w:rFonts w:ascii="Arial" w:cs="Arial" w:eastAsia="Arial" w:hAnsi="Arial"/>
                <w:sz w:val="18"/>
                <w:szCs w:val="18"/>
                <w:color w:val="auto"/>
                <w:w w:val="92"/>
              </w:rPr>
              <w:t>Delaware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Fidus Mezzanine Capital, L.P.</w:t>
            </w:r>
          </w:p>
        </w:tc>
        <w:tc>
          <w:tcPr>
            <w:tcW w:w="280" w:type="dxa"/>
            <w:vAlign w:val="bottom"/>
          </w:tcPr>
          <w:p>
            <w:pPr>
              <w:spacing w:after="0"/>
              <w:rPr>
                <w:sz w:val="17"/>
                <w:szCs w:val="17"/>
                <w:color w:val="auto"/>
              </w:rPr>
            </w:pPr>
          </w:p>
        </w:tc>
        <w:tc>
          <w:tcPr>
            <w:tcW w:w="1120" w:type="dxa"/>
            <w:vAlign w:val="bottom"/>
          </w:tcPr>
          <w:p>
            <w:pPr>
              <w:ind w:left="400"/>
              <w:spacing w:after="0" w:line="202" w:lineRule="exact"/>
              <w:rPr>
                <w:sz w:val="20"/>
                <w:szCs w:val="20"/>
                <w:color w:val="auto"/>
              </w:rPr>
            </w:pPr>
            <w:r>
              <w:rPr>
                <w:rFonts w:ascii="Arial" w:cs="Arial" w:eastAsia="Arial" w:hAnsi="Arial"/>
                <w:sz w:val="18"/>
                <w:szCs w:val="18"/>
                <w:color w:val="auto"/>
                <w:w w:val="92"/>
              </w:rPr>
              <w:t>Delaware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Fidus Mezzanine Capital II, L.P.</w:t>
            </w:r>
          </w:p>
        </w:tc>
        <w:tc>
          <w:tcPr>
            <w:tcW w:w="280" w:type="dxa"/>
            <w:vAlign w:val="bottom"/>
          </w:tcPr>
          <w:p>
            <w:pPr>
              <w:spacing w:after="0"/>
              <w:rPr>
                <w:sz w:val="17"/>
                <w:szCs w:val="17"/>
                <w:color w:val="auto"/>
              </w:rPr>
            </w:pPr>
          </w:p>
        </w:tc>
        <w:tc>
          <w:tcPr>
            <w:tcW w:w="1120" w:type="dxa"/>
            <w:vAlign w:val="bottom"/>
          </w:tcPr>
          <w:p>
            <w:pPr>
              <w:ind w:left="400"/>
              <w:spacing w:after="0" w:line="202" w:lineRule="exact"/>
              <w:rPr>
                <w:sz w:val="20"/>
                <w:szCs w:val="20"/>
                <w:color w:val="auto"/>
              </w:rPr>
            </w:pPr>
            <w:r>
              <w:rPr>
                <w:rFonts w:ascii="Arial" w:cs="Arial" w:eastAsia="Arial" w:hAnsi="Arial"/>
                <w:sz w:val="18"/>
                <w:szCs w:val="18"/>
                <w:color w:val="auto"/>
                <w:w w:val="92"/>
              </w:rPr>
              <w:t>Delaware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Fidus Mezzanine Capital III, L.P.</w:t>
            </w:r>
          </w:p>
        </w:tc>
        <w:tc>
          <w:tcPr>
            <w:tcW w:w="280" w:type="dxa"/>
            <w:vAlign w:val="bottom"/>
          </w:tcPr>
          <w:p>
            <w:pPr>
              <w:spacing w:after="0"/>
              <w:rPr>
                <w:sz w:val="17"/>
                <w:szCs w:val="17"/>
                <w:color w:val="auto"/>
              </w:rPr>
            </w:pPr>
          </w:p>
        </w:tc>
        <w:tc>
          <w:tcPr>
            <w:tcW w:w="1120" w:type="dxa"/>
            <w:vAlign w:val="bottom"/>
          </w:tcPr>
          <w:p>
            <w:pPr>
              <w:ind w:left="400"/>
              <w:spacing w:after="0" w:line="202" w:lineRule="exact"/>
              <w:rPr>
                <w:sz w:val="20"/>
                <w:szCs w:val="20"/>
                <w:color w:val="auto"/>
              </w:rPr>
            </w:pPr>
            <w:r>
              <w:rPr>
                <w:rFonts w:ascii="Arial" w:cs="Arial" w:eastAsia="Arial" w:hAnsi="Arial"/>
                <w:sz w:val="18"/>
                <w:szCs w:val="18"/>
                <w:color w:val="auto"/>
                <w:w w:val="92"/>
              </w:rPr>
              <w:t>Delaware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Fidus Investment Holdings, Inc.</w:t>
            </w:r>
          </w:p>
        </w:tc>
        <w:tc>
          <w:tcPr>
            <w:tcW w:w="28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w w:val="92"/>
              </w:rPr>
              <w:t>Delaware</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9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consent to the incorporation by reference in the Registration Statement on Form N-2 (333-253525) of Fidus Investment Corporation of our report dated March 3, 2022, relating to the consolidated financial statements, including the senior securities table, of Fidus Investment Corporation, appearing in the Annual Report on Form 10-K of Fidus Investment Corporation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98" w:lineRule="exact"/>
        <w:rPr>
          <w:sz w:val="20"/>
          <w:szCs w:val="20"/>
          <w:color w:val="auto"/>
        </w:rPr>
      </w:pPr>
    </w:p>
    <w:p>
      <w:pPr>
        <w:ind w:left="500" w:hanging="479"/>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Fidus Investment Corporation;</w:t>
      </w:r>
    </w:p>
    <w:p>
      <w:pPr>
        <w:spacing w:after="0" w:line="23" w:lineRule="exact"/>
        <w:rPr>
          <w:rFonts w:ascii="Arial" w:cs="Arial" w:eastAsia="Arial" w:hAnsi="Arial"/>
          <w:sz w:val="18"/>
          <w:szCs w:val="18"/>
          <w:color w:val="auto"/>
        </w:rPr>
      </w:pPr>
    </w:p>
    <w:p>
      <w:pPr>
        <w:jc w:val="both"/>
        <w:ind w:left="500" w:right="40" w:hanging="456"/>
        <w:spacing w:after="0" w:line="219" w:lineRule="auto"/>
        <w:tabs>
          <w:tab w:leader="none" w:pos="5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40" w:hanging="456"/>
        <w:spacing w:after="0" w:line="258" w:lineRule="auto"/>
        <w:tabs>
          <w:tab w:leader="none" w:pos="5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40" w:hanging="456"/>
        <w:spacing w:after="0" w:line="224" w:lineRule="auto"/>
        <w:tabs>
          <w:tab w:leader="none" w:pos="5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960" w:right="20" w:hanging="466"/>
        <w:spacing w:after="0" w:line="224" w:lineRule="auto"/>
        <w:tabs>
          <w:tab w:leader="none" w:pos="9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jc w:val="both"/>
        <w:ind w:left="960" w:right="20" w:hanging="466"/>
        <w:spacing w:after="0" w:line="224" w:lineRule="auto"/>
        <w:tabs>
          <w:tab w:leader="none" w:pos="9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left="960" w:right="40" w:hanging="466"/>
        <w:spacing w:after="0" w:line="289" w:lineRule="auto"/>
        <w:tabs>
          <w:tab w:leader="none" w:pos="960" w:val="left"/>
        </w:tabs>
        <w:numPr>
          <w:ilvl w:val="2"/>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6"/>
          <w:szCs w:val="16"/>
          <w:color w:val="auto"/>
        </w:rPr>
      </w:pPr>
    </w:p>
    <w:p>
      <w:pPr>
        <w:jc w:val="both"/>
        <w:ind w:left="960" w:right="40" w:hanging="466"/>
        <w:spacing w:after="0" w:line="224" w:lineRule="auto"/>
        <w:tabs>
          <w:tab w:leader="none" w:pos="9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500" w:right="40" w:hanging="456"/>
        <w:spacing w:after="0" w:line="258" w:lineRule="auto"/>
        <w:tabs>
          <w:tab w:leader="none" w:pos="5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1" w:lineRule="exact"/>
        <w:rPr>
          <w:rFonts w:ascii="Arial" w:cs="Arial" w:eastAsia="Arial" w:hAnsi="Arial"/>
          <w:sz w:val="17"/>
          <w:szCs w:val="17"/>
          <w:color w:val="auto"/>
        </w:rPr>
      </w:pPr>
    </w:p>
    <w:p>
      <w:pPr>
        <w:ind w:left="960" w:right="40" w:hanging="466"/>
        <w:spacing w:after="0" w:line="258" w:lineRule="auto"/>
        <w:tabs>
          <w:tab w:leader="none" w:pos="960" w:val="left"/>
        </w:tabs>
        <w:numPr>
          <w:ilvl w:val="2"/>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60" w:right="40" w:hanging="466"/>
        <w:spacing w:after="0" w:line="235" w:lineRule="auto"/>
        <w:tabs>
          <w:tab w:leader="none" w:pos="9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11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-1905</wp:posOffset>
            </wp:positionV>
            <wp:extent cx="24599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Edward H. Ross</w:t>
      </w:r>
    </w:p>
    <w:p>
      <w:pPr>
        <w:ind w:left="6240"/>
        <w:spacing w:after="0" w:line="234" w:lineRule="auto"/>
        <w:rPr>
          <w:sz w:val="20"/>
          <w:szCs w:val="20"/>
          <w:color w:val="auto"/>
        </w:rPr>
      </w:pPr>
      <w:r>
        <w:rPr>
          <w:rFonts w:ascii="Arial" w:cs="Arial" w:eastAsia="Arial" w:hAnsi="Arial"/>
          <w:sz w:val="18"/>
          <w:szCs w:val="18"/>
          <w:color w:val="auto"/>
        </w:rPr>
        <w:t>Chairman and Chief Executive Officer</w:t>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360" w:lineRule="exact"/>
        <w:rPr>
          <w:sz w:val="20"/>
          <w:szCs w:val="20"/>
          <w:color w:val="auto"/>
        </w:rPr>
      </w:pPr>
    </w:p>
    <w:p>
      <w:pPr>
        <w:ind w:left="500" w:hanging="479"/>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Fidus Investment Corporation;</w:t>
      </w:r>
    </w:p>
    <w:p>
      <w:pPr>
        <w:spacing w:after="0" w:line="23" w:lineRule="exact"/>
        <w:rPr>
          <w:rFonts w:ascii="Arial" w:cs="Arial" w:eastAsia="Arial" w:hAnsi="Arial"/>
          <w:sz w:val="18"/>
          <w:szCs w:val="18"/>
          <w:color w:val="auto"/>
        </w:rPr>
      </w:pPr>
    </w:p>
    <w:p>
      <w:pPr>
        <w:jc w:val="both"/>
        <w:ind w:left="500" w:right="40" w:hanging="456"/>
        <w:spacing w:after="0" w:line="219" w:lineRule="auto"/>
        <w:tabs>
          <w:tab w:leader="none" w:pos="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500" w:right="40" w:hanging="456"/>
        <w:spacing w:after="0" w:line="258" w:lineRule="auto"/>
        <w:tabs>
          <w:tab w:leader="none" w:pos="5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jc w:val="both"/>
        <w:ind w:left="500" w:right="40" w:hanging="456"/>
        <w:spacing w:after="0" w:line="224" w:lineRule="auto"/>
        <w:tabs>
          <w:tab w:leader="none" w:pos="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960" w:right="20" w:hanging="466"/>
        <w:spacing w:after="0" w:line="224" w:lineRule="auto"/>
        <w:tabs>
          <w:tab w:leader="none" w:pos="960" w:val="left"/>
        </w:tabs>
        <w:numPr>
          <w:ilvl w:val="2"/>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960" w:right="20" w:hanging="466"/>
        <w:spacing w:after="0" w:line="224" w:lineRule="auto"/>
        <w:tabs>
          <w:tab w:leader="none" w:pos="960" w:val="left"/>
        </w:tabs>
        <w:numPr>
          <w:ilvl w:val="2"/>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960" w:right="40" w:hanging="466"/>
        <w:spacing w:after="0" w:line="289" w:lineRule="auto"/>
        <w:tabs>
          <w:tab w:leader="none" w:pos="960" w:val="left"/>
        </w:tabs>
        <w:numPr>
          <w:ilvl w:val="2"/>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8" w:lineRule="exact"/>
        <w:rPr>
          <w:rFonts w:ascii="Arial" w:cs="Arial" w:eastAsia="Arial" w:hAnsi="Arial"/>
          <w:sz w:val="16"/>
          <w:szCs w:val="16"/>
          <w:color w:val="auto"/>
        </w:rPr>
      </w:pPr>
    </w:p>
    <w:p>
      <w:pPr>
        <w:jc w:val="both"/>
        <w:ind w:left="960" w:right="40" w:hanging="466"/>
        <w:spacing w:after="0" w:line="224" w:lineRule="auto"/>
        <w:tabs>
          <w:tab w:leader="none" w:pos="960" w:val="left"/>
        </w:tabs>
        <w:numPr>
          <w:ilvl w:val="2"/>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00" w:right="40" w:hanging="456"/>
        <w:spacing w:after="0" w:line="258" w:lineRule="auto"/>
        <w:tabs>
          <w:tab w:leader="none" w:pos="5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7" w:lineRule="exact"/>
        <w:rPr>
          <w:rFonts w:ascii="Arial" w:cs="Arial" w:eastAsia="Arial" w:hAnsi="Arial"/>
          <w:sz w:val="17"/>
          <w:szCs w:val="17"/>
          <w:color w:val="auto"/>
        </w:rPr>
      </w:pPr>
    </w:p>
    <w:p>
      <w:pPr>
        <w:ind w:left="960" w:right="40" w:hanging="466"/>
        <w:spacing w:after="0" w:line="258" w:lineRule="auto"/>
        <w:tabs>
          <w:tab w:leader="none" w:pos="960" w:val="left"/>
        </w:tabs>
        <w:numPr>
          <w:ilvl w:val="2"/>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960" w:right="40" w:hanging="466"/>
        <w:spacing w:after="0" w:line="235" w:lineRule="auto"/>
        <w:tabs>
          <w:tab w:leader="none" w:pos="96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13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-1905</wp:posOffset>
            </wp:positionV>
            <wp:extent cx="252857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8">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connection with the Annual Report on Form 10-K of Fidus Investment Corporation (the “Company”) for the annual period ended December 31, 2021, as filed with the U.S.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174" w:lineRule="exact"/>
        <w:rPr>
          <w:sz w:val="20"/>
          <w:szCs w:val="20"/>
          <w:color w:val="auto"/>
        </w:rPr>
      </w:pPr>
    </w:p>
    <w:p>
      <w:pPr>
        <w:ind w:left="960" w:hanging="466"/>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960" w:right="20" w:hanging="466"/>
        <w:spacing w:after="0" w:line="235"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34632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4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-1905</wp:posOffset>
            </wp:positionV>
            <wp:extent cx="34632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1">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6">
    <w:nsid w:val="520EEDD1"/>
    <w:multiLevelType w:val="hybridMultilevel"/>
    <w:lvl w:ilvl="0">
      <w:lvlJc w:val="left"/>
      <w:lvlText w:val="\emdash "/>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lvl w:ilvl="1">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lowerLetter"/>
      <w:start w:val="1"/>
    </w:lvl>
  </w:abstractNum>
  <w:abstractNum w:abstractNumId="51">
    <w:nsid w:val="799D0247"/>
    <w:multiLevelType w:val="hybridMultilevel"/>
    <w:lvl w:ilvl="0">
      <w:lvlJc w:val="left"/>
      <w:lvlText w:val="(%1)"/>
      <w:numFmt w:val="lowerLetter"/>
      <w:start w:val="9"/>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1)"/>
      <w:numFmt w:val="decimal"/>
      <w:start w:val="1"/>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
      <w:numFmt w:val="bullet"/>
      <w:start w:val="1"/>
    </w:lvl>
    <w:lvl w:ilvl="1">
      <w:lvlJc w:val="left"/>
      <w:lvlText w:val="•"/>
      <w:numFmt w:val="bullet"/>
      <w:start w:val="1"/>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decimal"/>
      <w:start w:val="1"/>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2"/>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lowerRoman"/>
      <w:start w:val="1"/>
    </w:lvl>
  </w:abstractNum>
  <w:abstractNum w:abstractNumId="80">
    <w:nsid w:val="6F6DD9AC"/>
    <w:multiLevelType w:val="hybridMultilevel"/>
    <w:lvl w:ilvl="0">
      <w:lvlJc w:val="left"/>
      <w:lvlText w:val="(%1)"/>
      <w:numFmt w:val="decimal"/>
      <w:start w:val="3"/>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1)"/>
      <w:numFmt w:val="lowerLetter"/>
      <w:start w:val="3"/>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88">
    <w:nsid w:val="74DE0EE3"/>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700" Type="http://schemas.openxmlformats.org/officeDocument/2006/relationships/image" Target="media/image686.png"/><Relationship Id="rId710" Type="http://schemas.openxmlformats.org/officeDocument/2006/relationships/image" Target="media/image687.png"/><Relationship Id="rId711" Type="http://schemas.openxmlformats.org/officeDocument/2006/relationships/image" Target="media/image688.png"/><Relationship Id="rId716" Type="http://schemas.openxmlformats.org/officeDocument/2006/relationships/image" Target="media/image689.png"/><Relationship Id="rId717" Type="http://schemas.openxmlformats.org/officeDocument/2006/relationships/image" Target="media/image690.png"/><Relationship Id="rId718" Type="http://schemas.openxmlformats.org/officeDocument/2006/relationships/image" Target="media/image691.png"/><Relationship Id="rId719" Type="http://schemas.openxmlformats.org/officeDocument/2006/relationships/image" Target="media/image692.png"/><Relationship Id="rId720" Type="http://schemas.openxmlformats.org/officeDocument/2006/relationships/image" Target="media/image693.png"/><Relationship Id="rId721" Type="http://schemas.openxmlformats.org/officeDocument/2006/relationships/image" Target="media/image694.png"/><Relationship Id="rId722" Type="http://schemas.openxmlformats.org/officeDocument/2006/relationships/image" Target="media/image695.png"/><Relationship Id="rId723" Type="http://schemas.openxmlformats.org/officeDocument/2006/relationships/image" Target="media/image696.png"/><Relationship Id="rId724" Type="http://schemas.openxmlformats.org/officeDocument/2006/relationships/image" Target="media/image697.png"/><Relationship Id="rId725" Type="http://schemas.openxmlformats.org/officeDocument/2006/relationships/image" Target="media/image698.png"/><Relationship Id="rId726" Type="http://schemas.openxmlformats.org/officeDocument/2006/relationships/image" Target="media/image699.png"/><Relationship Id="rId727" Type="http://schemas.openxmlformats.org/officeDocument/2006/relationships/image" Target="media/image700.png"/><Relationship Id="rId728" Type="http://schemas.openxmlformats.org/officeDocument/2006/relationships/image" Target="media/image701.png"/><Relationship Id="rId729" Type="http://schemas.openxmlformats.org/officeDocument/2006/relationships/image" Target="media/image702.png"/><Relationship Id="rId730" Type="http://schemas.openxmlformats.org/officeDocument/2006/relationships/image" Target="media/image703.png"/><Relationship Id="rId731" Type="http://schemas.openxmlformats.org/officeDocument/2006/relationships/image" Target="media/image704.png"/><Relationship Id="rId732" Type="http://schemas.openxmlformats.org/officeDocument/2006/relationships/image" Target="media/image705.png"/><Relationship Id="rId693" Type="http://schemas.openxmlformats.org/officeDocument/2006/relationships/hyperlink" Target="https://www.sec.gov/Archives/edgar/data/1513363/000095012311041885/w81466a2exv99wxayx1y.htm" TargetMode="External"/><Relationship Id="rId694" Type="http://schemas.openxmlformats.org/officeDocument/2006/relationships/hyperlink" Target="https://www.sec.gov/Archives/edgar/data/1513363/000095012311041885/w81466a2exv99wxbyx1y.htm" TargetMode="External"/><Relationship Id="rId695" Type="http://schemas.openxmlformats.org/officeDocument/2006/relationships/hyperlink" Target="https://www.sec.gov/Archives/edgar/data/1513363/000095012311041885/w81466a2exv99wxdy.htm" TargetMode="External"/><Relationship Id="rId696" Type="http://schemas.openxmlformats.org/officeDocument/2006/relationships/hyperlink" Target="https://www.sec.gov/Archives/edgar/data/1513363/000095012311054001/w81466a3exv99wxfyx2y.htm" TargetMode="External"/><Relationship Id="rId697" Type="http://schemas.openxmlformats.org/officeDocument/2006/relationships/hyperlink" Target="https://www.sec.gov/Archives/edgar/data/0001513363/000119312516569246/d141023dpos8c.htm" TargetMode="External"/><Relationship Id="rId698" Type="http://schemas.openxmlformats.org/officeDocument/2006/relationships/hyperlink" Target="https://www.sec.gov/Archives/edgar/data/1513363/000119312516569246/d141023dex99d5.htm" TargetMode="External"/><Relationship Id="rId699" Type="http://schemas.openxmlformats.org/officeDocument/2006/relationships/hyperlink" Target="https://www.sec.gov/Archives/edgar/data/1513363/000119312520325989/d97521dex41.htm" TargetMode="External"/><Relationship Id="rId701" Type="http://schemas.openxmlformats.org/officeDocument/2006/relationships/hyperlink" Target="https://www.sec.gov/Archives/edgar/data/0001513363/000119312521295460/d193806dex41.htm" TargetMode="External"/><Relationship Id="rId702" Type="http://schemas.openxmlformats.org/officeDocument/2006/relationships/hyperlink" Target="https://www.sec.gov/Archives/edgar/data/1513363/000095012311041885/w81466a2exv99wxgy.htm" TargetMode="External"/><Relationship Id="rId703" Type="http://schemas.openxmlformats.org/officeDocument/2006/relationships/hyperlink" Target="https://www.sec.gov/Archives/edgar/data/1513363/000095012311054001/w81466a3exv99wxjy.htm" TargetMode="External"/><Relationship Id="rId704" Type="http://schemas.openxmlformats.org/officeDocument/2006/relationships/hyperlink" Target="https://www.sec.gov/Archives/edgar/data/1513363/000095012311041885/w81466a2exv99wxkyx1y.htm" TargetMode="External"/><Relationship Id="rId705" Type="http://schemas.openxmlformats.org/officeDocument/2006/relationships/hyperlink" Target="https://www.sec.gov/Archives/edgar/data/1513363/000095012311054001/w81466a3exv99wxkyx2y.htm" TargetMode="External"/><Relationship Id="rId706" Type="http://schemas.openxmlformats.org/officeDocument/2006/relationships/hyperlink" Target="https://www.sec.gov/Archives/edgar/data/1513363/000095012311058363/w81466a4exv99wxkyx3y.htm" TargetMode="External"/><Relationship Id="rId707" Type="http://schemas.openxmlformats.org/officeDocument/2006/relationships/hyperlink" Target="https://www.sec.gov/Archives/edgar/data/1513363/000119312512368556/d382647dex99e.htm" TargetMode="External"/><Relationship Id="rId708" Type="http://schemas.openxmlformats.org/officeDocument/2006/relationships/hyperlink" Target="https://www.sec.gov/Archives/edgar/data/1513363/000119312514086785/d685842dex107.htm" TargetMode="External"/><Relationship Id="rId709" Type="http://schemas.openxmlformats.org/officeDocument/2006/relationships/hyperlink" Target="https://www.sec.gov/Archives/edgar/data/1513363/000119312521237700/d197304dex101.htm" TargetMode="External"/><Relationship Id="rId712" Type="http://schemas.openxmlformats.org/officeDocument/2006/relationships/hyperlink" Target="https://www.sec.gov/Archives/edgar/data/1513363/000119312519117122/d737015dex101.htm" TargetMode="External"/><Relationship Id="rId713" Type="http://schemas.openxmlformats.org/officeDocument/2006/relationships/hyperlink" Target="https://www.sec.gov/Archives/edgar/data/1513363/000119312519117122/d737015dex102.htm" TargetMode="External"/><Relationship Id="rId714" Type="http://schemas.openxmlformats.org/officeDocument/2006/relationships/hyperlink" Target="https://www.sec.gov/Archives/edgar/data/0001513363/000119312520182488/d15014dex101.htm" TargetMode="External"/><Relationship Id="rId715" Type="http://schemas.openxmlformats.org/officeDocument/2006/relationships/hyperlink" Target="https://www.sec.gov/Archives/edgar/data/1513363/000119312512104127/d309911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2022-03-03T16:21:56Z</dcterms:created>
  <dcterms:modified xsi:type="dcterms:W3CDTF">2022-03-03T16:21:56Z</dcterms:modified>
</cp:coreProperties>
</file>