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80" w:after="283"/>
        <w:jc w:val="center"/>
        <w:rPr>
          <w:rFonts w:ascii="Times New Roman" w:hAnsi="Times New Roman"/>
          <w:sz w:val="20"/>
        </w:rPr>
      </w:pPr>
      <w:bookmarkStart w:id="0" w:name="fdus-20260226.htm"/>
      <w:bookmarkStart w:id="1" w:name="ksfdus20260226"/>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70" w:after="283"/>
        <w:jc w:val="center"/>
        <w:rPr>
          <w:rFonts w:ascii="Times New Roman" w:hAnsi="Times New Roman"/>
          <w:b/>
          <w:color w:val="000000"/>
          <w:sz w:val="36"/>
        </w:rPr>
      </w:pPr>
      <w:r>
        <w:rPr>
          <w:rFonts w:ascii="Times New Roman" w:hAnsi="Times New Roman"/>
          <w:b/>
          <w:color w:val="000000"/>
          <w:sz w:val="36"/>
        </w:rPr>
        <w:t xml:space="preserve">SCHEDULE 14A </w:t>
      </w:r>
    </w:p>
    <w:p>
      <w:pPr>
        <w:pStyle w:val="TextBody"/>
        <w:bidi w:val="0"/>
        <w:jc w:val="center"/>
        <w:rPr>
          <w:rFonts w:ascii="Times New Roman" w:hAnsi="Times New Roman"/>
          <w:sz w:val="20"/>
        </w:rPr>
      </w:pPr>
      <w:r>
        <w:rPr>
          <w:rFonts w:ascii="Times New Roman" w:hAnsi="Times New Roman"/>
          <w:b/>
          <w:color w:val="000000"/>
          <w:sz w:val="24"/>
        </w:rPr>
        <w:t>(RULE 14a-101)</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r>
        <w:rPr>
          <w:rFonts w:ascii="Times New Roman" w:hAnsi="Times New Roman"/>
          <w:b/>
          <w:color w:val="000000"/>
          <w:sz w:val="24"/>
        </w:rPr>
        <w:t>INFORMATION REQUIRED IN 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SCHEDULE 14A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w:t>
      </w:r>
    </w:p>
    <w:tbl>
      <w:tblPr>
        <w:tblW w:w="8746" w:type="dxa"/>
        <w:jc w:val="left"/>
        <w:tblInd w:w="0" w:type="dxa"/>
        <w:tblLayout w:type="fixed"/>
        <w:tblCellMar>
          <w:top w:w="28" w:type="dxa"/>
          <w:left w:w="28" w:type="dxa"/>
          <w:bottom w:w="28" w:type="dxa"/>
          <w:right w:w="28" w:type="dxa"/>
        </w:tblCellMar>
      </w:tblPr>
      <w:tblGrid>
        <w:gridCol w:w="331"/>
        <w:gridCol w:w="8098"/>
        <w:gridCol w:w="317"/>
      </w:tblGrid>
      <w:tr>
        <w:trPr/>
        <w:tc>
          <w:tcPr>
            <w:tcW w:w="331" w:type="dxa"/>
            <w:tcBorders/>
            <w:vAlign w:val="center"/>
          </w:tcPr>
          <w:p>
            <w:pPr>
              <w:pStyle w:val="TableContents"/>
              <w:bidi w:val="0"/>
              <w:spacing w:before="0" w:after="283"/>
              <w:jc w:val="left"/>
              <w:rPr>
                <w:sz w:val="4"/>
                <w:szCs w:val="4"/>
              </w:rPr>
            </w:pPr>
            <w:r>
              <w:rPr>
                <w:sz w:val="4"/>
                <w:szCs w:val="4"/>
              </w:rPr>
            </w:r>
          </w:p>
        </w:tc>
        <w:tc>
          <w:tcPr>
            <w:tcW w:w="80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5"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5"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5"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5"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Soliciting Material Pursuant to Section 240.14a-12</w:t>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48"/>
              </w:rPr>
            </w:pPr>
            <w:r>
              <w:rPr>
                <w:rFonts w:ascii="Times New Roman" w:hAnsi="Times New Roman"/>
                <w:b/>
                <w:color w:val="000000"/>
                <w:sz w:val="48"/>
              </w:rPr>
              <w:t>Fidus Investment Corporation</w:t>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Registrant as Specified in its Charter)</w:t>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Person(s) Filing Proxy Statement, if Other Than the Registrant)</w:t>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spacing w:before="0" w:after="20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180" w:after="283"/>
        <w:jc w:val="center"/>
        <w:rPr/>
      </w:pPr>
      <w:r>
        <w:rPr/>
        <w:drawing>
          <wp:inline distT="0" distB="0" distL="0" distR="0">
            <wp:extent cx="189547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942975"/>
                    </a:xfrm>
                    <a:prstGeom prst="rect">
                      <a:avLst/>
                    </a:prstGeom>
                  </pic:spPr>
                </pic:pic>
              </a:graphicData>
            </a:graphic>
          </wp:inline>
        </w:drawing>
      </w:r>
    </w:p>
    <w:p>
      <w:pPr>
        <w:pStyle w:val="TextBody"/>
        <w:bidi w:val="0"/>
        <w:spacing w:before="180" w:after="283"/>
        <w:jc w:val="center"/>
        <w:rPr>
          <w:rFonts w:ascii="Times New Roman" w:hAnsi="Times New Roman"/>
          <w:sz w:val="20"/>
        </w:rPr>
      </w:pPr>
      <w:r>
        <w:rPr>
          <w:rFonts w:ascii="Times New Roman" w:hAnsi="Times New Roman"/>
          <w:b/>
          <w:color w:val="000000"/>
          <w:sz w:val="20"/>
        </w:rPr>
        <w:t>1603 Orrington Avenue, Suite 1005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Evanston, Illinois, 60201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(847) 859-3940</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March [●],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Dear Stockholder: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You are cordially invited to attend Fidus Investment Corporation’s 2026 Annual Meeting of Stockholders (the “Annual Meeting”) to be held on Wednesday, June 10, 2026 at 8:30 a.m. Central Time, at 1603 Orrington Avenue, Suite 1005, Evanston, Illinois, 60201.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Notice of Annual Meeting and proxy statement accompanying this letter provide an outline of the business to be conducted at the Annual Meeting. I will also report on the progress of the Company during the past year and answer stockholders’ questions.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It is important that your shares be represented at the Annual Meeting. If you are a stockholder of record and are unable to attend the Annual Meeting in person, I urge you to vote your shares by completing, dating and signing the enclosed proxy card and promptly returning it in the envelope provided or, alternatively, by calling the toll-free telephone number or using the Internet as described on the proxy card. If a broker or other nominee holds your shares in “street name,” your broker has enclosed a voting instruction form, which you should use to vote those shares if you are unable to attend the Annual Meeting in person. The voting instruction form indicates whether you have the option to vote those shares by telephone or by using the Internet. Your vote is important. </w:t>
      </w:r>
    </w:p>
    <w:tbl>
      <w:tblPr>
        <w:tblW w:w="4241" w:type="dxa"/>
        <w:jc w:val="left"/>
        <w:tblInd w:w="0" w:type="dxa"/>
        <w:tblLayout w:type="fixed"/>
        <w:tblCellMar>
          <w:top w:w="28" w:type="dxa"/>
          <w:left w:w="28" w:type="dxa"/>
          <w:bottom w:w="28" w:type="dxa"/>
          <w:right w:w="28" w:type="dxa"/>
        </w:tblCellMar>
      </w:tblPr>
      <w:tblGrid>
        <w:gridCol w:w="4241"/>
      </w:tblGrid>
      <w:tr>
        <w:trPr/>
        <w:tc>
          <w:tcPr>
            <w:tcW w:w="4241" w:type="dxa"/>
            <w:tcBorders/>
            <w:vAlign w:val="center"/>
          </w:tcPr>
          <w:p>
            <w:pPr>
              <w:pStyle w:val="TableContents"/>
              <w:bidi w:val="0"/>
              <w:spacing w:before="0" w:after="283"/>
              <w:jc w:val="left"/>
              <w:rPr>
                <w:sz w:val="4"/>
                <w:szCs w:val="4"/>
              </w:rPr>
            </w:pPr>
            <w:r>
              <w:rPr>
                <w:sz w:val="4"/>
                <w:szCs w:val="4"/>
              </w:rPr>
            </w:r>
          </w:p>
        </w:tc>
      </w:tr>
      <w:tr>
        <w:trPr/>
        <w:tc>
          <w:tcPr>
            <w:tcW w:w="4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Sincerely yours,</w:t>
            </w:r>
          </w:p>
          <w:p>
            <w:pPr>
              <w:pStyle w:val="TableContents"/>
              <w:bidi w:val="0"/>
              <w:spacing w:before="0" w:after="283"/>
              <w:jc w:val="left"/>
              <w:rPr/>
            </w:pPr>
            <w:r>
              <w:rPr/>
              <w:drawing>
                <wp:inline distT="0" distB="0" distL="0" distR="0">
                  <wp:extent cx="2600325"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00325" cy="819150"/>
                          </a:xfrm>
                          <a:prstGeom prst="rect">
                            <a:avLst/>
                          </a:prstGeom>
                        </pic:spPr>
                      </pic:pic>
                    </a:graphicData>
                  </a:graphic>
                </wp:inline>
              </w:drawing>
            </w:r>
          </w:p>
        </w:tc>
      </w:tr>
      <w:tr>
        <w:trPr/>
        <w:tc>
          <w:tcPr>
            <w:tcW w:w="4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4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&amp; Chief Executive Officer</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spacing w:before="0" w:after="20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FIDUS INVESTMENT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1603 Orrington Avenue, Suite 1005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Evanston, Illinois, 60201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(847) 859-3940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bookmarkStart w:id="2" w:name="notice_annual_meeting_of_stockholders"/>
      <w:bookmarkEnd w:id="2"/>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Wednesday, June 10, 2026</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To the Stockholders of Fidus Investment Corporation: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2026 Annual Meeting of Stockholders (the “Annual Meeting”) of Fidus Investment Corporation (the “Company”) will be held at 1603 Orrington Avenue, Suite 1005, Evanston, Illinois, 60201, on Wednesday, June 10, 2026 at 8:30 a.m. (Central Time) for the following purposes: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1. To elect two Class III directors to serve until the 2029 annual meeting of stockholders and their respective successor has been duly elected and qualified (Proposal No. 1);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2. To approve a proposal to authorize the Company, subject to the approval of the Company’s Board of Directors, to sell or otherwise issue shares of its common stock during the next year at a price below the Company’s then current net asset value per share, subject to certain conditions as set forth in this proxy statement (including that the cumulative number of shares sold pursuant to such authority does not exceed 25% of its then outstanding common stock immediately prior to each such sale) (Proposal No. 2); and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3. To transact such other business as may properly come before the Annual Meeting, or any adjournments or postponements thereof.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You have the right to receive notice of and to vote at the Annual Meeting if you were a stockholder of record at the close of business on March 19, 2026. Whether or not you expect to be present in person at the Annual Meeting, please vote by signing the enclosed proxy card and returning it promptly in the self-addressed envelope provided or, alternatively, by calling the toll-free telephone number or using the Internet as described on the proxy card. If a broker or other nominee holds your shares in “street name,” your broker has enclosed a voting instruction form, which you should use to vote those shares. The voting instruction form indicates whether you have the option to vote those shares by telephone or by using the Internet. In the event there are not sufficient votes for a quorum or to approve or ratify any of the foregoing proposals at the time of the Annual Meeting, the Annual Meeting may be adjourned in order to permit further solicitation of proxies by the Company. </w:t>
      </w:r>
    </w:p>
    <w:tbl>
      <w:tblPr>
        <w:tblW w:w="6196" w:type="dxa"/>
        <w:jc w:val="left"/>
        <w:tblInd w:w="0" w:type="dxa"/>
        <w:tblLayout w:type="fixed"/>
        <w:tblCellMar>
          <w:top w:w="28" w:type="dxa"/>
          <w:left w:w="28" w:type="dxa"/>
          <w:bottom w:w="28" w:type="dxa"/>
          <w:right w:w="28" w:type="dxa"/>
        </w:tblCellMar>
      </w:tblPr>
      <w:tblGrid>
        <w:gridCol w:w="6196"/>
      </w:tblGrid>
      <w:tr>
        <w:trPr/>
        <w:tc>
          <w:tcPr>
            <w:tcW w:w="6196" w:type="dxa"/>
            <w:tcBorders/>
            <w:vAlign w:val="center"/>
          </w:tcPr>
          <w:p>
            <w:pPr>
              <w:pStyle w:val="TableContents"/>
              <w:bidi w:val="0"/>
              <w:spacing w:before="0" w:after="283"/>
              <w:jc w:val="left"/>
              <w:rPr>
                <w:sz w:val="4"/>
                <w:szCs w:val="4"/>
              </w:rPr>
            </w:pPr>
            <w:r>
              <w:rPr>
                <w:sz w:val="4"/>
                <w:szCs w:val="4"/>
              </w:rPr>
            </w:r>
          </w:p>
        </w:tc>
      </w:tr>
      <w:tr>
        <w:trPr/>
        <w:tc>
          <w:tcPr>
            <w:tcW w:w="619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By order of the Board of Directors,</w:t>
            </w:r>
          </w:p>
          <w:p>
            <w:pPr>
              <w:pStyle w:val="TableContents"/>
              <w:bidi w:val="0"/>
              <w:spacing w:before="0" w:after="283"/>
              <w:jc w:val="left"/>
              <w:rPr/>
            </w:pPr>
            <w:r>
              <w:rPr/>
              <w:drawing>
                <wp:inline distT="0" distB="0" distL="0" distR="0">
                  <wp:extent cx="1962150"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62150" cy="523875"/>
                          </a:xfrm>
                          <a:prstGeom prst="rect">
                            <a:avLst/>
                          </a:prstGeom>
                        </pic:spPr>
                      </pic:pic>
                    </a:graphicData>
                  </a:graphic>
                </wp:inline>
              </w:drawing>
            </w:r>
          </w:p>
        </w:tc>
      </w:tr>
      <w:tr>
        <w:trPr/>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Chief Compliance Officer and Corporate Secretary</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Evanston, Illinois </w:t>
      </w:r>
    </w:p>
    <w:p>
      <w:pPr>
        <w:pStyle w:val="TextBody"/>
        <w:bidi w:val="0"/>
        <w:jc w:val="left"/>
        <w:rPr>
          <w:rFonts w:ascii="Times New Roman" w:hAnsi="Times New Roman"/>
          <w:color w:val="000000"/>
          <w:sz w:val="20"/>
        </w:rPr>
      </w:pPr>
      <w:r>
        <w:rPr>
          <w:rFonts w:ascii="Times New Roman" w:hAnsi="Times New Roman"/>
          <w:color w:val="000000"/>
          <w:sz w:val="20"/>
        </w:rPr>
        <w:t>March [●],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This is an important meeting. To ensure proper representation at the Annual Meeting, please indicate your vote as to the matters to be acted on at the Annual Meeting by following the instructions provided in the enclosed proxy card or voting instruction form. Even if you vote your shares prior to the Annual Meeting, you still may attend the Annual Meeting and vote your shares in person.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TABLE OF CONTENTS </w:t>
      </w:r>
    </w:p>
    <w:tbl>
      <w:tblPr>
        <w:tblW w:w="8797" w:type="dxa"/>
        <w:jc w:val="left"/>
        <w:tblInd w:w="0" w:type="dxa"/>
        <w:tblLayout w:type="fixed"/>
        <w:tblCellMar>
          <w:top w:w="28" w:type="dxa"/>
          <w:left w:w="28" w:type="dxa"/>
          <w:bottom w:w="28" w:type="dxa"/>
          <w:right w:w="28" w:type="dxa"/>
        </w:tblCellMar>
      </w:tblPr>
      <w:tblGrid>
        <w:gridCol w:w="8191"/>
        <w:gridCol w:w="606"/>
      </w:tblGrid>
      <w:tr>
        <w:trPr/>
        <w:tc>
          <w:tcPr>
            <w:tcW w:w="81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ice_annual_meeting_of_stockholders">
              <w:r>
                <w:rPr>
                  <w:rStyle w:val="InternetLink"/>
                  <w:rFonts w:ascii="Times New Roman" w:hAnsi="Times New Roman"/>
                  <w:color w:val="0000FF"/>
                  <w:sz w:val="20"/>
                  <w:u w:val="single"/>
                </w:rPr>
                <w:t>Notice Of Annual Meeting Of Stockholders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5"/>
              </w:rPr>
            </w:pPr>
            <w:r>
              <w:rPr>
                <w:rFonts w:ascii="Times New Roman" w:hAnsi="Times New Roman"/>
                <w:color w:val="000000"/>
                <w:sz w:val="15"/>
              </w:rPr>
              <w:t>ii</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proxy_statement">
              <w:r>
                <w:rPr>
                  <w:rStyle w:val="InternetLink"/>
                  <w:rFonts w:ascii="Times New Roman" w:hAnsi="Times New Roman"/>
                  <w:color w:val="0000FF"/>
                  <w:sz w:val="20"/>
                  <w:u w:val="single"/>
                </w:rPr>
                <w:t>Proxy Statement</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1</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nformation_about_the_meeting">
              <w:r>
                <w:rPr>
                  <w:rStyle w:val="InternetLink"/>
                  <w:rFonts w:ascii="Times New Roman" w:hAnsi="Times New Roman"/>
                  <w:color w:val="0000FF"/>
                  <w:sz w:val="20"/>
                  <w:u w:val="single"/>
                </w:rPr>
                <w:t>Information About The Meeting</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2</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nformation_about_voting">
              <w:r>
                <w:rPr>
                  <w:rStyle w:val="InternetLink"/>
                  <w:rFonts w:ascii="Times New Roman" w:hAnsi="Times New Roman"/>
                  <w:color w:val="0000FF"/>
                  <w:sz w:val="20"/>
                  <w:u w:val="single"/>
                </w:rPr>
                <w:t>Information About Voting</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3</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additional_information">
              <w:r>
                <w:rPr>
                  <w:rStyle w:val="InternetLink"/>
                  <w:rFonts w:ascii="Times New Roman" w:hAnsi="Times New Roman"/>
                  <w:color w:val="0000FF"/>
                  <w:sz w:val="20"/>
                  <w:u w:val="single"/>
                </w:rPr>
                <w:t>Additional Information</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6</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proposal_no1_election_of_directors">
              <w:r>
                <w:rPr>
                  <w:rStyle w:val="InternetLink"/>
                  <w:rFonts w:ascii="Times New Roman" w:hAnsi="Times New Roman"/>
                  <w:color w:val="0000FF"/>
                  <w:sz w:val="20"/>
                  <w:u w:val="single"/>
                </w:rPr>
                <w:t>Proposal No. 1 Election of Class III Directors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8</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nformation_about_executive_not_director">
              <w:r>
                <w:rPr>
                  <w:rStyle w:val="InternetLink"/>
                  <w:rFonts w:ascii="Times New Roman" w:hAnsi="Times New Roman"/>
                  <w:color w:val="0000FF"/>
                  <w:sz w:val="20"/>
                  <w:u w:val="single"/>
                </w:rPr>
                <w:t>Information About Executive Officer Who is not a Director</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11</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rporate_governance">
              <w:r>
                <w:rPr>
                  <w:rStyle w:val="InternetLink"/>
                  <w:rFonts w:ascii="Times New Roman" w:hAnsi="Times New Roman"/>
                  <w:color w:val="0000FF"/>
                  <w:sz w:val="20"/>
                  <w:u w:val="single"/>
                </w:rPr>
                <w:t>Corporate Governance</w:t>
              </w:r>
            </w:hyperlink>
          </w:p>
        </w:tc>
        <w:tc>
          <w:tcPr>
            <w:tcW w:w="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hyperlink w:anchor="insider_trading_arrangements_policies">
              <w:r>
                <w:rPr>
                  <w:rStyle w:val="InternetLink"/>
                  <w:rFonts w:ascii="Times New Roman" w:hAnsi="Times New Roman"/>
                  <w:color w:val="0000FF"/>
                  <w:sz w:val="20"/>
                  <w:u w:val="single"/>
                </w:rPr>
                <w:t>Insider Trading Arrangements and Policies</w:t>
              </w:r>
            </w:hyperlink>
          </w:p>
        </w:tc>
        <w:tc>
          <w:tcPr>
            <w:tcW w:w="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hyperlink w:anchor="hedging_transactions">
              <w:r>
                <w:rPr>
                  <w:rStyle w:val="InternetLink"/>
                  <w:rFonts w:ascii="Times New Roman" w:hAnsi="Times New Roman"/>
                  <w:color w:val="0000FF"/>
                  <w:sz w:val="20"/>
                  <w:u w:val="single"/>
                </w:rPr>
                <w:t>Hedging Transactions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18</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mpensation_discussion_analysis">
              <w:r>
                <w:rPr>
                  <w:rStyle w:val="InternetLink"/>
                  <w:rFonts w:ascii="Times New Roman" w:hAnsi="Times New Roman"/>
                  <w:color w:val="0000FF"/>
                  <w:sz w:val="20"/>
                  <w:u w:val="single"/>
                </w:rPr>
                <w:t>Compensation Discussion and Analysis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19</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director_compensation_table">
              <w:r>
                <w:rPr>
                  <w:rStyle w:val="InternetLink"/>
                  <w:rFonts w:ascii="Times New Roman" w:hAnsi="Times New Roman"/>
                  <w:color w:val="0000FF"/>
                  <w:sz w:val="20"/>
                  <w:u w:val="single"/>
                </w:rPr>
                <w:t>2025 Director Compensation Table</w:t>
              </w:r>
            </w:hyperlink>
            <w:r>
              <w:rPr>
                <w:rFonts w:ascii="Times New Roman" w:hAnsi="Times New Roman"/>
                <w:color w:val="000000"/>
                <w:sz w:val="20"/>
              </w:rPr>
              <w:t xml:space="preserve">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20</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ertain_relationship_related_transaction">
              <w:r>
                <w:rPr>
                  <w:rStyle w:val="InternetLink"/>
                  <w:rFonts w:ascii="Times New Roman" w:hAnsi="Times New Roman"/>
                  <w:color w:val="0000FF"/>
                  <w:sz w:val="20"/>
                  <w:u w:val="single"/>
                </w:rPr>
                <w:t>Certain Relationships and Related Transactions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21</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ecurity_ownership_of_mgmt">
              <w:r>
                <w:rPr>
                  <w:rStyle w:val="InternetLink"/>
                  <w:rFonts w:ascii="Times New Roman" w:hAnsi="Times New Roman"/>
                  <w:color w:val="0000FF"/>
                  <w:sz w:val="20"/>
                  <w:u w:val="single"/>
                </w:rPr>
                <w:t>Security Ownership Of Certain Beneficial Owners And Management</w:t>
              </w:r>
            </w:hyperlink>
          </w:p>
        </w:tc>
        <w:tc>
          <w:tcPr>
            <w:tcW w:w="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hyperlink w:anchor="proposal_number_2">
              <w:r>
                <w:rPr>
                  <w:rStyle w:val="InternetLink"/>
                  <w:rFonts w:ascii="Times New Roman" w:hAnsi="Times New Roman"/>
                  <w:color w:val="0000FF"/>
                  <w:sz w:val="20"/>
                  <w:u w:val="single"/>
                </w:rPr>
                <w:t>Proposal No. 2 Approval to Sell or Otherwise Issue Shares of Common Stock Below Net Asset Value</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27</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ndependent_public_auditor">
              <w:r>
                <w:rPr>
                  <w:rStyle w:val="InternetLink"/>
                  <w:rFonts w:ascii="Times New Roman" w:hAnsi="Times New Roman"/>
                  <w:color w:val="0000FF"/>
                  <w:sz w:val="20"/>
                  <w:u w:val="single"/>
                </w:rPr>
                <w:t>Independent Registered Public Accounting Firm</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32</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audit_committee_report">
              <w:r>
                <w:rPr>
                  <w:rStyle w:val="InternetLink"/>
                  <w:rFonts w:ascii="Times New Roman" w:hAnsi="Times New Roman"/>
                  <w:color w:val="0000FF"/>
                  <w:sz w:val="20"/>
                  <w:u w:val="single"/>
                </w:rPr>
                <w:t>Audit Committee Report</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33</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privacy_notice">
              <w:r>
                <w:rPr>
                  <w:rStyle w:val="InternetLink"/>
                  <w:rFonts w:ascii="Times New Roman" w:hAnsi="Times New Roman"/>
                  <w:color w:val="0000FF"/>
                  <w:sz w:val="20"/>
                  <w:u w:val="single"/>
                </w:rPr>
                <w:t>Privacy Notice</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34</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other_business">
              <w:r>
                <w:rPr>
                  <w:rStyle w:val="InternetLink"/>
                  <w:rFonts w:ascii="Times New Roman" w:hAnsi="Times New Roman"/>
                  <w:color w:val="0000FF"/>
                  <w:sz w:val="20"/>
                  <w:u w:val="single"/>
                </w:rPr>
                <w:t>Other Business</w:t>
              </w:r>
            </w:hyperlink>
          </w:p>
        </w:tc>
        <w:tc>
          <w:tcPr>
            <w:tcW w:w="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bl>
    <w:p>
      <w:pPr>
        <w:pStyle w:val="TextBody"/>
        <w:bidi w:val="0"/>
        <w:jc w:val="left"/>
        <w:rPr>
          <w:rFonts w:ascii="sans-serif" w:hAnsi="sans-serif"/>
          <w:color w:val="000000"/>
          <w:sz w:val="22"/>
        </w:rPr>
      </w:pPr>
      <w:r>
        <w:rPr>
          <w:rFonts w:ascii="sans-serif" w:hAnsi="sans-serif"/>
          <w:color w:val="000000"/>
          <w:sz w:val="22"/>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jc w:val="center"/>
        <w:rPr>
          <w:rFonts w:ascii="Times New Roman" w:hAnsi="Times New Roman"/>
          <w:sz w:val="20"/>
        </w:rPr>
      </w:pPr>
      <w:bookmarkStart w:id="3" w:name="toc510126_1"/>
      <w:bookmarkEnd w:id="3"/>
      <w:r>
        <w:rPr>
          <w:rFonts w:ascii="Times New Roman" w:hAnsi="Times New Roman"/>
          <w:b/>
          <w:color w:val="000000"/>
          <w:sz w:val="20"/>
        </w:rPr>
        <w:t>FIDUS INVESTMENT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1603 Orrington Avenue, Suite 1005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Evanston, Illinois, 60201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(847) 859-3940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bookmarkStart w:id="4" w:name="toc510126_2"/>
      <w:bookmarkStart w:id="5" w:name="proxy_statement"/>
      <w:bookmarkEnd w:id="4"/>
      <w:bookmarkEnd w:id="5"/>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2026 Annual Meeting of Stockholders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This proxy statement is furnished in connection with the solicitation of proxies by the Board of Directors of Fidus Investment Corporation (the “Company,” “Fidus,” “we,” “us” or “our”) for use at our 2026 Annual Meeting of Stockholders to be held on June 10, 2026, at 8:30 a.m. (Central Time) at 1603 Orrington Avenue, Suite 1005, Evanston, Illinois, 60201 and at any adjournments thereof (the “Annual Meeting”). The Notice of Annual Meeting, this proxy statement, the accompanying proxy card and our Annual Report on Form 10-K for the fiscal year ended December 31, 2025 (the “Annual Report”) are first being sent to stockholders on or about March [●], 2026.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We encourage you to vote your shares, either by voting in person at the Annual Meeting or by granting a proxy (i.e., authorizing someone else to vote your shares). If you vote by mail, Internet or telephone as described in the instructions on the proxy card or voting instruction form, and we receive your vote in time for the Annual Meeting, the persons named as proxies will vote the shares registered directly in your name in the manner that you specified. </w:t>
      </w:r>
      <w:r>
        <w:rPr>
          <w:rFonts w:ascii="Times New Roman" w:hAnsi="Times New Roman"/>
          <w:b/>
          <w:color w:val="000000"/>
          <w:sz w:val="20"/>
        </w:rPr>
        <w:t>If you give no instructions on the proxy card, the shares covered by the proxy card will be voted FOR the election of the director nominees and FOR the other matters listed in the accompanying Notice of Annual Meeting of Stockholders.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YOUR VOTE IS IMPORTANT. WHETHER OR NOT YOU PLAN TO ATTEND THE ANNUAL MEETING, PLEASE PROMPTLY VOTE YOUR SHARES EITHER BY MAIL, INTERNET OR TELEPHONE.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IMPORTANT NOTICE REGARDING THE AVAILABILITY OF PROXY MATERIALS FOR THE ANNUAL MEETING TO BE HELD ON June 10, 2026:</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The Notice of Annual Meeting, proxy statement, and our Annual Report are available at the following Internet address: https://web.</w:t>
      </w:r>
      <w:r>
        <w:rPr>
          <w:rFonts w:ascii="Times New Roman" w:hAnsi="Times New Roman"/>
          <w:b/>
          <w:i/>
          <w:color w:val="000000"/>
          <w:sz w:val="20"/>
        </w:rPr>
        <w:t>viewproxy.com/fidusinv/2026/</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toc510126_3"/>
      <w:bookmarkStart w:id="7" w:name="information_about_the_meeting"/>
      <w:bookmarkEnd w:id="6"/>
      <w:bookmarkEnd w:id="7"/>
      <w:r>
        <w:rPr>
          <w:rFonts w:ascii="Times New Roman" w:hAnsi="Times New Roman"/>
          <w:b/>
          <w:color w:val="000000"/>
          <w:sz w:val="20"/>
        </w:rPr>
        <w:t>INFORMATION ABOUT THE MEETING</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When is the Annual Meeting?</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Annual Meeting will be held on Wednesday, June 10, 2026, at 8:30 a.m. (Central Time). </w:t>
      </w:r>
    </w:p>
    <w:p>
      <w:pPr>
        <w:pStyle w:val="TextBody"/>
        <w:bidi w:val="0"/>
        <w:spacing w:before="270" w:after="283"/>
        <w:jc w:val="left"/>
        <w:rPr>
          <w:rFonts w:ascii="Times New Roman" w:hAnsi="Times New Roman"/>
          <w:sz w:val="20"/>
        </w:rPr>
      </w:pPr>
      <w:r>
        <w:rPr>
          <w:rFonts w:ascii="Times New Roman" w:hAnsi="Times New Roman"/>
          <w:b/>
          <w:color w:val="000000"/>
          <w:sz w:val="20"/>
        </w:rPr>
        <w:t>Where will the Annual Meeting be held?</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Annual Meeting will be held at 1603 Orrington Avenue, Suite 1005, Evanston, Illinois, 60201. </w:t>
      </w:r>
    </w:p>
    <w:p>
      <w:pPr>
        <w:pStyle w:val="TextBody"/>
        <w:bidi w:val="0"/>
        <w:spacing w:before="270" w:after="283"/>
        <w:jc w:val="left"/>
        <w:rPr>
          <w:rFonts w:ascii="Times New Roman" w:hAnsi="Times New Roman"/>
          <w:sz w:val="20"/>
        </w:rPr>
      </w:pPr>
      <w:r>
        <w:rPr>
          <w:rFonts w:ascii="Times New Roman" w:hAnsi="Times New Roman"/>
          <w:b/>
          <w:color w:val="000000"/>
          <w:sz w:val="20"/>
        </w:rPr>
        <w:t>What items will be voted on at the Annual Meeting?</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There are two matters scheduled for a vote: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1. To elect two Class III directors to serve until the 2029 annual meeting of stockholders or their respective successor has been duly elected and qualified (Proposal No. 1); and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2. To approve a proposal to authorize the Company, subject to the approval of the Company’s Board of Directors, to sell or otherwise issue shares of its common stock during the next year at a price below the Company’s then current net asset value (“NAV”) per share, subject to certain conditions as set forth in this proxy statement (including that the cumulative number of shares sold pursuant to such authority does not exceed 25% of its then outstanding common stock immediately prior to each such sale) (Proposal No. 2).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the date of this proxy statement, we are not aware of any other matters that will be presented for consideration at the Annual Meeting. Stockholders have no dissenters’ or appraisal rights in connection with any of the proposals described herein.</w:t>
      </w:r>
    </w:p>
    <w:p>
      <w:pPr>
        <w:pStyle w:val="TextBody"/>
        <w:bidi w:val="0"/>
        <w:spacing w:before="270" w:after="283"/>
        <w:jc w:val="left"/>
        <w:rPr>
          <w:rFonts w:ascii="Times New Roman" w:hAnsi="Times New Roman"/>
          <w:sz w:val="20"/>
        </w:rPr>
      </w:pPr>
      <w:r>
        <w:rPr>
          <w:rFonts w:ascii="Times New Roman" w:hAnsi="Times New Roman"/>
          <w:b/>
          <w:color w:val="000000"/>
          <w:sz w:val="20"/>
        </w:rPr>
        <w:t>What are the Board of Directors’ recommendations?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Our Board of Directors recommends that you vote: </w:t>
      </w:r>
    </w:p>
    <w:p>
      <w:pPr>
        <w:pStyle w:val="TextBody"/>
        <w:bidi w:val="0"/>
        <w:spacing w:before="90" w:after="283"/>
        <w:jc w:val="left"/>
        <w:rPr/>
      </w:pPr>
      <w:r>
        <w:rPr>
          <w:color w:val="000000"/>
        </w:rPr>
        <w:t>“</w:t>
      </w:r>
      <w:r>
        <w:rPr>
          <w:rFonts w:ascii="Times New Roman" w:hAnsi="Times New Roman"/>
          <w:i/>
          <w:color w:val="000000"/>
          <w:sz w:val="20"/>
        </w:rPr>
        <w:t>FOR</w:t>
      </w:r>
      <w:r>
        <w:rPr>
          <w:rFonts w:ascii="Times New Roman" w:hAnsi="Times New Roman"/>
          <w:color w:val="000000"/>
          <w:sz w:val="20"/>
        </w:rPr>
        <w:t xml:space="preserve">” the election of the two Class III director nominees named herein to serve on the Board of Directors; and </w:t>
      </w:r>
    </w:p>
    <w:p>
      <w:pPr>
        <w:pStyle w:val="TextBody"/>
        <w:bidi w:val="0"/>
        <w:spacing w:before="180" w:after="283"/>
        <w:jc w:val="left"/>
        <w:rPr/>
      </w:pPr>
      <w:r>
        <w:rPr>
          <w:color w:val="000000"/>
        </w:rPr>
        <w:t>“</w:t>
      </w:r>
      <w:r>
        <w:rPr>
          <w:rFonts w:ascii="Times New Roman" w:hAnsi="Times New Roman"/>
          <w:i/>
          <w:color w:val="000000"/>
          <w:sz w:val="20"/>
        </w:rPr>
        <w:t>FOR</w:t>
      </w:r>
      <w:r>
        <w:rPr>
          <w:rFonts w:ascii="Times New Roman" w:hAnsi="Times New Roman"/>
          <w:color w:val="000000"/>
          <w:sz w:val="20"/>
        </w:rPr>
        <w:t xml:space="preserve">” the proposal to authorize the Company, subject to the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 </w:t>
      </w:r>
    </w:p>
    <w:p>
      <w:pPr>
        <w:pStyle w:val="TextBody"/>
        <w:bidi w:val="0"/>
        <w:spacing w:before="270" w:after="283"/>
        <w:jc w:val="left"/>
        <w:rPr>
          <w:rFonts w:ascii="Times New Roman" w:hAnsi="Times New Roman"/>
          <w:sz w:val="20"/>
        </w:rPr>
      </w:pPr>
      <w:r>
        <w:rPr>
          <w:rFonts w:ascii="Times New Roman" w:hAnsi="Times New Roman"/>
          <w:b/>
          <w:color w:val="000000"/>
          <w:sz w:val="20"/>
        </w:rPr>
        <w:t>Will Fidus’ directors be in attendance at the Annual Meeting?</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Fidus encourages, but does not require, its directors to attend annual meetings of stockholders. However, Fidus anticipates that all of its directors will attend the Annual Meeting.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toc510126_4"/>
      <w:bookmarkStart w:id="9" w:name="information_about_voting"/>
      <w:bookmarkEnd w:id="8"/>
      <w:bookmarkEnd w:id="9"/>
      <w:r>
        <w:rPr>
          <w:rFonts w:ascii="Times New Roman" w:hAnsi="Times New Roman"/>
          <w:b/>
          <w:color w:val="000000"/>
          <w:sz w:val="20"/>
        </w:rPr>
        <w:t>INFORMATION ABOUT VOTING</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Who is entitled to vote at the Annual Meeting?</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Only stockholders of record at the close of business on the record date, March 19, 2026, are entitled to receive notice of the Annual Meeting and to vote the shares for which they were stockholders of record on that date at the Annual Meeting, or any postponement or adjournment of the Annual Meeting. As of the close of business on March 19, 2026, we had [●] shares of common stock outstanding. </w:t>
      </w:r>
    </w:p>
    <w:p>
      <w:pPr>
        <w:pStyle w:val="TextBody"/>
        <w:bidi w:val="0"/>
        <w:spacing w:before="27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With respect to Proposal No. 1, you may either vote “FOR” each Class III nominee to the Board of Directors, or you may vote “WITHHOLD AUTHORITY” for each nominee. For Proposal No. 2, you may vote “FOR” or “AGAINST,” or abstain from voting altogether. The procedures for voting are fairly simple: </w:t>
      </w:r>
    </w:p>
    <w:p>
      <w:pPr>
        <w:pStyle w:val="TextBody"/>
        <w:bidi w:val="0"/>
        <w:spacing w:before="90" w:after="283"/>
        <w:jc w:val="left"/>
        <w:rPr>
          <w:rFonts w:ascii="Times New Roman" w:hAnsi="Times New Roman"/>
          <w:sz w:val="20"/>
        </w:rPr>
      </w:pPr>
      <w:r>
        <w:rPr>
          <w:rFonts w:ascii="Times New Roman" w:hAnsi="Times New Roman"/>
          <w:i/>
          <w:color w:val="000000"/>
          <w:sz w:val="20"/>
        </w:rPr>
        <w:t>Stockholders of Record: Shares Registered in Your Name</w:t>
      </w:r>
      <w:r>
        <w:rPr>
          <w:rFonts w:ascii="Times New Roman" w:hAnsi="Times New Roman"/>
          <w:color w:val="000000"/>
          <w:sz w:val="20"/>
        </w:rPr>
        <w:t xml:space="preserve">. If on March 19, 2026, your shares were registered directly in your name with Fidus’ transfer agent, Equiniti Trust Company, LLC, then you are a stockholder of record. If you are a stockholder of record, you may vote in person at the Annual Meeting or vote by giving us your proxy. You may give us your proxy by completing the enclosed proxy card and returning it in the enclosed postage-prepaid envelope, or by calling a toll-free telephone number or using the Internet as further described below and on the enclosed proxy card. </w:t>
      </w:r>
      <w:r>
        <w:rPr>
          <w:rFonts w:ascii="Times New Roman" w:hAnsi="Times New Roman"/>
          <w:b/>
          <w:color w:val="000000"/>
          <w:sz w:val="20"/>
        </w:rPr>
        <w:t>Whether or not you plan to attend the Annual Meeting, we urge you to sign and return the enclosed proxy card or to otherwise give your proxy authorization by telephone or Internet, as specified on the proxy card, to ensure your vote is counted.</w:t>
      </w:r>
      <w:r>
        <w:rPr>
          <w:rFonts w:ascii="Times New Roman" w:hAnsi="Times New Roman"/>
          <w:color w:val="000000"/>
          <w:sz w:val="20"/>
        </w:rPr>
        <w:t xml:space="preserve"> You may still attend the Annual Meeting and vote in person if you have already signed and returned your proxy card. </w:t>
      </w:r>
    </w:p>
    <w:tbl>
      <w:tblPr>
        <w:tblW w:w="9335" w:type="dxa"/>
        <w:jc w:val="left"/>
        <w:tblInd w:w="0" w:type="dxa"/>
        <w:tblLayout w:type="fixed"/>
        <w:tblCellMar>
          <w:top w:w="28" w:type="dxa"/>
          <w:left w:w="28" w:type="dxa"/>
          <w:bottom w:w="28" w:type="dxa"/>
          <w:right w:w="28" w:type="dxa"/>
        </w:tblCellMar>
      </w:tblPr>
      <w:tblGrid>
        <w:gridCol w:w="124"/>
        <w:gridCol w:w="109"/>
        <w:gridCol w:w="14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IN PERSON:</w:t>
            </w:r>
            <w:r>
              <w:rPr>
                <w:rFonts w:ascii="Times New Roman" w:hAnsi="Times New Roman"/>
                <w:color w:val="000000"/>
                <w:sz w:val="20"/>
              </w:rPr>
              <w:t> To vote in person, come to the Annual Meeting, and we will give you a ballot when you arrive.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BY MAIL:</w:t>
            </w:r>
            <w:r>
              <w:rPr>
                <w:rFonts w:ascii="Times New Roman" w:hAnsi="Times New Roman"/>
                <w:color w:val="000000"/>
                <w:sz w:val="20"/>
              </w:rPr>
              <w:t xml:space="preserve"> To vote using the enclosed proxy card, simply complete, sign and date the enclosed proxy card and return it promptly in the postage paid envelope provided. If you return your signed proxy card to us before the Annual Meeting, we will vote your shares as you direct, unless, after returning your signed proxy card, you attend the Annual Meeting and vote in person or otherwise revoke your proxy as set forth under the heading “Can I change my vote after submitting my proxy card?” below.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BY INTERNET</w:t>
            </w:r>
            <w:r>
              <w:rPr>
                <w:rFonts w:ascii="Times New Roman" w:hAnsi="Times New Roman"/>
                <w:color w:val="000000"/>
                <w:sz w:val="20"/>
              </w:rPr>
              <w:t xml:space="preserve">: To vote by Internet, go to </w:t>
            </w:r>
            <w:r>
              <w:rPr>
                <w:rFonts w:ascii="Times New Roman" w:hAnsi="Times New Roman"/>
                <w:i/>
                <w:color w:val="000000"/>
                <w:sz w:val="20"/>
              </w:rPr>
              <w:t>www.cesvote.com</w:t>
            </w:r>
            <w:r>
              <w:rPr>
                <w:rFonts w:ascii="Times New Roman" w:hAnsi="Times New Roman"/>
                <w:color w:val="000000"/>
                <w:sz w:val="20"/>
              </w:rPr>
              <w:t xml:space="preserve"> to transmit your voting instructions </w:t>
            </w:r>
            <w:r>
              <w:rPr>
                <w:rFonts w:ascii="Times New Roman" w:hAnsi="Times New Roman"/>
                <w:b/>
                <w:color w:val="000000"/>
                <w:sz w:val="20"/>
                <w:u w:val="single"/>
              </w:rPr>
              <w:t>until</w:t>
            </w:r>
            <w:r>
              <w:rPr>
                <w:rFonts w:ascii="Times New Roman" w:hAnsi="Times New Roman"/>
                <w:color w:val="000000"/>
                <w:sz w:val="20"/>
              </w:rPr>
              <w:t xml:space="preserve"> 11:59 p.m. Eastern Time on June 9, 2026. Have your proxy card available when you access the website and then follow the instructions.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BY TELEPHONE</w:t>
            </w:r>
            <w:r>
              <w:rPr>
                <w:rFonts w:ascii="Times New Roman" w:hAnsi="Times New Roman"/>
                <w:color w:val="000000"/>
                <w:sz w:val="20"/>
              </w:rPr>
              <w:t xml:space="preserve">: To vote by telephone, call 1-888-693-8683 and use any touch-tone telephone to transmit your voting instructions </w:t>
            </w:r>
            <w:r>
              <w:rPr>
                <w:rFonts w:ascii="Times New Roman" w:hAnsi="Times New Roman"/>
                <w:b/>
                <w:color w:val="000000"/>
                <w:sz w:val="20"/>
                <w:u w:val="single"/>
              </w:rPr>
              <w:t>until</w:t>
            </w:r>
            <w:r>
              <w:rPr>
                <w:rFonts w:ascii="Times New Roman" w:hAnsi="Times New Roman"/>
                <w:color w:val="000000"/>
                <w:sz w:val="20"/>
              </w:rPr>
              <w:t xml:space="preserve"> 11:59 p.m. Eastern Time on June 9, 2026. Have your proxy card available when you call the phone number above and then follow the instructions. </w:t>
            </w:r>
          </w:p>
        </w:tc>
      </w:tr>
    </w:tbl>
    <w:p>
      <w:pPr>
        <w:pStyle w:val="TextBody"/>
        <w:bidi w:val="0"/>
        <w:spacing w:before="180" w:after="283"/>
        <w:jc w:val="left"/>
        <w:rPr>
          <w:rFonts w:ascii="Times New Roman" w:hAnsi="Times New Roman"/>
          <w:sz w:val="20"/>
        </w:rPr>
      </w:pPr>
      <w:r>
        <w:rPr>
          <w:rFonts w:ascii="Times New Roman" w:hAnsi="Times New Roman"/>
          <w:i/>
          <w:color w:val="000000"/>
          <w:sz w:val="20"/>
        </w:rPr>
        <w:t>Beneficial Owners: Shares Registered in the Name of a Broker or Bank</w:t>
      </w:r>
      <w:r>
        <w:rPr>
          <w:rFonts w:ascii="Times New Roman" w:hAnsi="Times New Roman"/>
          <w:color w:val="000000"/>
          <w:sz w:val="20"/>
        </w:rPr>
        <w:t xml:space="preserve">. If on March 19, 2026, your shares were held in an account at a brokerage firm, bank, dealer or other similar organization, then you are the beneficial owner of shares held in “street name,” and these proxy materials are being forwarded to you by that organization. If you are a beneficial owner of shares registered in the name of your broker, bank or other agent, you should have received from that organization rather than from Fidus, a proxy card and voting instructions with these proxy materials. Simply complete and mail the proxy card to ensure that your vote is counted. Alternatively, you may be able to vote by telephone or over the Internet if permitted by your broker or bank. To vote in person at the Annual Meeting, you must obtain a valid proxy from your broker, bank or other agent. Follow the voting instruction form from your broker or bank included with these proxy materials, or contact your broker or bank to request a proxy card. </w:t>
      </w:r>
    </w:p>
    <w:p>
      <w:pPr>
        <w:pStyle w:val="TextBody"/>
        <w:bidi w:val="0"/>
        <w:jc w:val="left"/>
        <w:rPr>
          <w:rFonts w:ascii="Times New Roman" w:hAnsi="Times New Roman"/>
          <w:sz w:val="20"/>
        </w:rPr>
      </w:pPr>
      <w:r>
        <w:rPr>
          <w:rFonts w:ascii="Times New Roman" w:hAnsi="Times New Roman"/>
          <w:b/>
          <w:color w:val="000000"/>
          <w:sz w:val="20"/>
        </w:rPr>
        <w:t>How many votes do I have?</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On each matter to be voted upon, you have one vote for each share of common stock for which you were the stockholder of record as of March 19, 2026. </w:t>
      </w:r>
    </w:p>
    <w:p>
      <w:pPr>
        <w:pStyle w:val="TextBody"/>
        <w:bidi w:val="0"/>
        <w:spacing w:before="270" w:after="283"/>
        <w:jc w:val="left"/>
        <w:rPr>
          <w:rFonts w:ascii="Times New Roman" w:hAnsi="Times New Roman"/>
          <w:sz w:val="20"/>
        </w:rPr>
      </w:pPr>
      <w:r>
        <w:rPr>
          <w:rFonts w:ascii="Times New Roman" w:hAnsi="Times New Roman"/>
          <w:b/>
          <w:color w:val="000000"/>
          <w:sz w:val="20"/>
        </w:rPr>
        <w:t>What does it mean if I receive more than one proxy card?</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If you receive more than one proxy card, your shares are registered in more than one name or are registered in different accounts. Please provide a response (by telephone, Internet or mail as provided for on the proxy card accompanying this proxy statement or on the voting instruction form from your broker or bank) for each proxy card you receive to ensure that all of your shares are voted.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Times New Roman" w:hAnsi="Times New Roman"/>
          <w:b/>
          <w:color w:val="000000"/>
          <w:sz w:val="20"/>
        </w:rPr>
        <w:t>What if I return a proxy card but do not make specific choices?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If you return a signed and dated proxy card without marking any voting selections, your shares will be voted in accordance with the recommendation of the Board of Directors: “FOR” the election of each nominee named herein to serve as a Class III director on the Board of Directors and “FOR” the proposal to authorize the Company, subject to the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any other matter is properly presented at the Annual Meeting, your proxy (one of the individuals named on your proxy card) will vote your shares as recommended by the Board of Directors or, if no recommendation is given, will vote your shares using his or her discretion. </w:t>
      </w:r>
    </w:p>
    <w:p>
      <w:pPr>
        <w:pStyle w:val="TextBody"/>
        <w:bidi w:val="0"/>
        <w:spacing w:before="270" w:after="283"/>
        <w:jc w:val="left"/>
        <w:rPr>
          <w:rFonts w:ascii="Times New Roman" w:hAnsi="Times New Roman"/>
          <w:sz w:val="20"/>
        </w:rPr>
      </w:pPr>
      <w:r>
        <w:rPr>
          <w:rFonts w:ascii="Times New Roman" w:hAnsi="Times New Roman"/>
          <w:b/>
          <w:color w:val="000000"/>
          <w:sz w:val="20"/>
        </w:rPr>
        <w:t>Can I change my vote after submitting my proxy card?</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Yes. You can revoke your proxy at any time before the final vote at the Annual Meeting. If you are the stockholder of record of your shares, you may revoke your proxy in any one of three ways: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You may change your vote using the same method that you first used to vote your shares (by telephone, Internet or mail);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You may send a written notice that you are revoking your proxy to Fidus Investment Corporation, 1603 Orrington Avenue, Suite 1005, Evanston, Illinois 60201, Attention: Shelby E. Sherard, Corporate Secretary;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You may attend the Annual Meeting and notify the election officials at the Annual Meeting that you wish to revoke your proxy and vote in person. Simply attending the Annual Meeting, however, will not, by itself, revoke your proxy.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your shares are held by your broker or bank as a nominee or agent, you should follow the instructions on the voting instruction form provided by your broker or bank. </w:t>
      </w:r>
    </w:p>
    <w:p>
      <w:pPr>
        <w:pStyle w:val="TextBody"/>
        <w:bidi w:val="0"/>
        <w:spacing w:before="270" w:after="283"/>
        <w:jc w:val="left"/>
        <w:rPr>
          <w:rFonts w:ascii="Times New Roman" w:hAnsi="Times New Roman"/>
          <w:sz w:val="20"/>
        </w:rPr>
      </w:pPr>
      <w:r>
        <w:rPr>
          <w:rFonts w:ascii="Times New Roman" w:hAnsi="Times New Roman"/>
          <w:b/>
          <w:color w:val="000000"/>
          <w:sz w:val="20"/>
        </w:rPr>
        <w:t>How are votes counted?</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Votes will be counted by the inspector of election appointed for the Annual Meeting, who will separately count each vote marked “FOR” or “WITHHOLD AUTHORITY” for each nominee for Class III director identified in Proposal No. 1 and, with respect to Proposal No. 2, will separately count each vote marked “FOR,” “AGAINST” or “ABSTAIN.” Abstentions and broker non-votes will be deemed to be present for the purpose of determining a quorum for the Annual Meeting. However, abstentions and broker non-votes are not counted as votes cast. A “broker non-vote” with respect to a matter occurs when a broker, bank or other institution or nominee holding shares on behalf of a beneficial owner has not received voting instructions from the beneficial owner on a particular proposal and does not have, or chooses not to exercise, discretionary authority to vote the shares on such proposals. Notwithstanding the foregoing, the Company will not have any broker non-votes at the Annual Meeting because there are only non-routine proposals to be voted on at the Annual Meeting.</w:t>
      </w:r>
    </w:p>
    <w:p>
      <w:pPr>
        <w:pStyle w:val="TextBody"/>
        <w:bidi w:val="0"/>
        <w:spacing w:before="270" w:after="283"/>
        <w:jc w:val="left"/>
        <w:rPr>
          <w:rFonts w:ascii="Times New Roman" w:hAnsi="Times New Roman"/>
          <w:sz w:val="20"/>
        </w:rPr>
      </w:pPr>
      <w:r>
        <w:rPr>
          <w:rFonts w:ascii="Times New Roman" w:hAnsi="Times New Roman"/>
          <w:b/>
          <w:color w:val="000000"/>
          <w:sz w:val="20"/>
        </w:rPr>
        <w:t>How many votes are needed to approve each proposal?</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Proposal No. 1, the two nominees receiving a plurality of the vote will be elected. In other words, the two nominees receiving the most “FOR” votes among votes properly cast in person or by proxy at the Annual Meeting will be elected. If you vote “WITHHOLD AUTHORITY” with respect to one or more nominees, your shares will not be included in determining the number of votes cast and, as a result, will have no effect on this proposal.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Proposal No. 2 must be approved by (1) a majority of the outstanding shares of common stock entitled to vote at the Annual Meeting, and (2) a majority of the outstanding shares of common stock entitled to vote at the Annual Meeting that are not held by affiliated persons of the Company, which includes directors, officers, employees, and 5% stockholders. For purposes of Proposal No. 2 only, “a majority of the outstanding shares” is defined in Section 2(a)(42) of the Investment Company Act of 1940, as amended (the “1940 Act”), to be the lesser of: (1) 67% or more of the common stock of the Company present or represented by proxy at the Annual Meeting, if the holders of more than 50% of the Company’s common stock are present or represented by proxy; or (2) more than 50% of the outstanding common stock of the Company (the voting requirements in (1) and (2), a “1940 Act Majority”). For purposes of the vote on this proposal, abstentions will have the effect of votes against the proposal, although they will be considered present for purposes of determining the presence of a quorum.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Times New Roman" w:hAnsi="Times New Roman"/>
          <w:b/>
          <w:color w:val="000000"/>
          <w:sz w:val="20"/>
        </w:rPr>
        <w:t>How many shares must be present to constitute a quorum for the Annual Meeting?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Times New Roman" w:hAnsi="Times New Roman"/>
          <w:color w:val="000000"/>
          <w:sz w:val="20"/>
        </w:rPr>
        <w:t>A quorum of stockholders is necessary to hold a valid meeting. A quorum will be present if at least a simple majority (</w:t>
      </w:r>
      <w:r>
        <w:rPr>
          <w:rFonts w:ascii="Times New Roman" w:hAnsi="Times New Roman"/>
          <w:i/>
          <w:color w:val="000000"/>
          <w:sz w:val="20"/>
        </w:rPr>
        <w:t>i.e.</w:t>
      </w:r>
      <w:r>
        <w:rPr>
          <w:rFonts w:ascii="Times New Roman" w:hAnsi="Times New Roman"/>
          <w:color w:val="000000"/>
          <w:sz w:val="20"/>
        </w:rPr>
        <w:t xml:space="preserve">, greater than 50%) of the outstanding shares entitled to vote are represented at the Annual Meeting either in person or by proxy. On March 19, 2026, the record date, there were [●] shares outstanding and entitled to vote. Thus [●] shares must be represented at the Annual Meeting either in person or by proxy to constitute a quorum.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Your shares will be counted towards the quorum only if you submit a valid proxy by mail, Internet or telephone (or one is submitted on your behalf by your broker, bank or other nominee) or if you vote in person at the Annual Meeting. Abstentions will be counted towards the quorum requirement.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 quorum is not present at the Annual Meeting, or if a quorum is present but there are not enough votes to approve one or more of the proposals, the person named as chairman of the Annual Meeting may adjourn the meeting to permit further solicitation of proxies. A stockholder vote may be taken on one or more of the proposals in this proxy statement prior to any such adjournment if there are sufficient votes for approval on such proposal(s). </w:t>
      </w:r>
    </w:p>
    <w:p>
      <w:pPr>
        <w:pStyle w:val="TextBody"/>
        <w:bidi w:val="0"/>
        <w:spacing w:before="270" w:after="283"/>
        <w:jc w:val="left"/>
        <w:rPr>
          <w:rFonts w:ascii="Times New Roman" w:hAnsi="Times New Roman"/>
          <w:sz w:val="20"/>
        </w:rPr>
      </w:pPr>
      <w:r>
        <w:rPr>
          <w:rFonts w:ascii="Times New Roman" w:hAnsi="Times New Roman"/>
          <w:b/>
          <w:color w:val="000000"/>
          <w:sz w:val="20"/>
        </w:rPr>
        <w:t>How can I find out the results of the voting at the Annual Meeting?</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Preliminary voting results will be announced at the Annual Meeting and filed on Form 8-K within four business days of the Annual Meeting. Final results, if different from the preliminary results, will be published on an amended Form 8-K within four days after the final voting results are established.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toc510126_5"/>
      <w:bookmarkStart w:id="11" w:name="additional_information"/>
      <w:bookmarkEnd w:id="10"/>
      <w:bookmarkEnd w:id="11"/>
      <w:r>
        <w:rPr>
          <w:rFonts w:ascii="Times New Roman" w:hAnsi="Times New Roman"/>
          <w:b/>
          <w:color w:val="000000"/>
          <w:sz w:val="20"/>
        </w:rPr>
        <w:t>ADDITIONAL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How and when may I submit a stockholder proposal for Fidus’ 2027 Annual Meeting?</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We will consider for inclusion in our proxy materials for the 2027 Annual Meeting of Stockholders, stockholder proposals that are received at our executive offices, in writing, no earlier than [●], 2026 and no later than 5:00 p.m. (Eastern Time) on [●], 2026, and that comply with our bylaws and all applicable requirements of Rule 14a-8 promulgated under the Securities Exchange Act of 1934, as amended (the “Exchange Act”). Proposals must be sent to our Corporate Secretary at Fidus Investment Corporation, 1603 Orrington Avenue, Suite 1005, Evanston, Illinois 60201.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Pursuant to our bylaws, stockholders wishing to nominate persons for election as directors or to introduce an item of business at an annual meeting that are not to be included in our proxy materials must have given timely notice thereof in writing to our Corporate Secretary. To be timely for the 2027 Annual Meeting of Stockholders, you must notify our Corporate Secretary, in writing, no earlier than [●], 2026, and no later than 5:00 p.m. (Eastern Time) on [●], 2026. We also advise you to review our bylaws, which contain additional requirements about advance notice of stockholder proposals and director nominations, including the different notice submission date requirements in the event that our 2027 Annual Meeting of Stockholders is held more than 30 days before or after the first anniversary of the date the notice for the 2026 annual meeting is mailed. In accordance with our bylaws, the chairman of the 2027 Annual Meeting of Stockholders may determine, if the facts warrant, that a matter has not been properly brought before the meeting and, therefore, may not be considered at the meeting.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Pursuant to the Company’s bylaws, among other things, a stockholder’s notice shall set forth as to each individual whom the stockholder proposes to nominate for election or reelection as a director: </w:t>
      </w:r>
    </w:p>
    <w:tbl>
      <w:tblPr>
        <w:tblW w:w="6463" w:type="dxa"/>
        <w:jc w:val="left"/>
        <w:tblInd w:w="0" w:type="dxa"/>
        <w:tblLayout w:type="fixed"/>
        <w:tblCellMar>
          <w:top w:w="28" w:type="dxa"/>
          <w:left w:w="28" w:type="dxa"/>
          <w:bottom w:w="28" w:type="dxa"/>
          <w:right w:w="28" w:type="dxa"/>
        </w:tblCellMar>
      </w:tblPr>
      <w:tblGrid>
        <w:gridCol w:w="124"/>
        <w:gridCol w:w="109"/>
        <w:gridCol w:w="109"/>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name, age, business address and residence address of such individual; </w:t>
            </w:r>
          </w:p>
        </w:tc>
      </w:tr>
    </w:tbl>
    <w:tbl>
      <w:tblPr>
        <w:tblW w:w="9793" w:type="dxa"/>
        <w:jc w:val="left"/>
        <w:tblInd w:w="0" w:type="dxa"/>
        <w:tblLayout w:type="fixed"/>
        <w:tblCellMar>
          <w:top w:w="28" w:type="dxa"/>
          <w:left w:w="28" w:type="dxa"/>
          <w:bottom w:w="28" w:type="dxa"/>
          <w:right w:w="28" w:type="dxa"/>
        </w:tblCellMar>
      </w:tblPr>
      <w:tblGrid>
        <w:gridCol w:w="124"/>
        <w:gridCol w:w="109"/>
        <w:gridCol w:w="109"/>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class, series and number of any shares of stock of the Company that are beneficially owned by such individual; </w:t>
            </w:r>
          </w:p>
        </w:tc>
      </w:tr>
    </w:tbl>
    <w:tbl>
      <w:tblPr>
        <w:tblW w:w="7078" w:type="dxa"/>
        <w:jc w:val="left"/>
        <w:tblInd w:w="0" w:type="dxa"/>
        <w:tblLayout w:type="fixed"/>
        <w:tblCellMar>
          <w:top w:w="28" w:type="dxa"/>
          <w:left w:w="28" w:type="dxa"/>
          <w:bottom w:w="28" w:type="dxa"/>
          <w:right w:w="28" w:type="dxa"/>
        </w:tblCellMar>
      </w:tblPr>
      <w:tblGrid>
        <w:gridCol w:w="124"/>
        <w:gridCol w:w="109"/>
        <w:gridCol w:w="109"/>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date such shares were acquired and the investment intent of such acquisition;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such stockholder believes any such individual is or is not an “interested person” of the Company, as defined in Section 2(a)(19) of the 1940 Act, and information regarding such individual that is sufficient, in the discretion of the Board of Directors or any committee thereof or any authorized officer of the Company, to make either such determination;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other information relating to such individual that is required to be disclosed in solicitations of proxies for election of directors in an election contest (even if an election contest is not involved), or is otherwise required, in each case pursuant to Regulation 14A under the Exchange Act and the rules thereunder (including such individual’s written consent to being named in the proxy statement as a nominee and to serving as a director if elected).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above procedures summarize the stockholder nomination procedures contained in our bylaws, and any stockholder desiring to submit a nominee should consult our bylaws regarding these requirements.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All nominees properly submitted to the Company (or which the nominating and corporate governance committee (“Nominating Committee”) otherwise elects to consider) will be evaluated and considered by the members of the Nominating Committee using the same criteria as nominees identified by the Nominating Committee itself. </w:t>
      </w:r>
    </w:p>
    <w:p>
      <w:pPr>
        <w:pStyle w:val="TextBody"/>
        <w:bidi w:val="0"/>
        <w:spacing w:before="180" w:after="283"/>
        <w:jc w:val="left"/>
        <w:rPr>
          <w:rFonts w:ascii="Times New Roman" w:hAnsi="Times New Roman"/>
          <w:sz w:val="20"/>
        </w:rPr>
      </w:pPr>
      <w:r>
        <w:rPr>
          <w:rFonts w:ascii="Times New Roman" w:hAnsi="Times New Roman"/>
          <w:b/>
          <w:color w:val="000000"/>
          <w:sz w:val="20"/>
        </w:rPr>
        <w:t>How can I obtain the Annual Report?</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A copy of our Annual Report is being mailed with this proxy statement. Our Annual Report is not incorporated into this proxy statement and shall not be considered proxy solicitation material. </w:t>
      </w:r>
    </w:p>
    <w:p>
      <w:pPr>
        <w:pStyle w:val="TextBody"/>
        <w:bidi w:val="0"/>
        <w:jc w:val="left"/>
        <w:rPr>
          <w:rFonts w:ascii="Times New Roman" w:hAnsi="Times New Roman"/>
          <w:sz w:val="20"/>
        </w:rPr>
      </w:pPr>
      <w:r>
        <w:rPr>
          <w:rFonts w:ascii="Times New Roman" w:hAnsi="Times New Roman"/>
          <w:b/>
          <w:color w:val="000000"/>
          <w:sz w:val="20"/>
        </w:rPr>
        <w:t>We will also mail to you, without charge and upon your written request, a copy of any specifically requested exhibit to our Annual Report.</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Requests should be sent to: Corporate Secretary, Fidus Investment Corporation, 1603 Orrington Avenue, Suite 1005, Evanston, Illinois 60201. A copy of our Annual Report has also been filed with the Securities and Exchange Commission, or the SEC, and may be accessed from the SEC’s website (www.sec.gov).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Times New Roman" w:hAnsi="Times New Roman"/>
          <w:b/>
          <w:color w:val="000000"/>
          <w:sz w:val="20"/>
        </w:rPr>
        <w:t>Who is paying for this proxy solicitation?</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Fidus will pay for the entire cost of soliciting proxies. We estimate that we will pay Alliance Advisors, LLC, our proxy solicitor, a fee of approximately $300,000, plus reimbursement for out of pocket expenses, to solicit proxies, though the costs of this proxy solicitation process could be lower or higher than our estimate. In addition to these written proxy materials, our proxy solicitor, directors, officers and employees of Fidus Investment Advisors, LLC, the Company’s investment adviser and administrator (our “Investment Advisor”), may also solicit proxies in person, by telephone or by other means of communication; however, our directors, officers and employees of our Investment Advisor will not be paid any additional compensation for soliciting proxies. In addition to the solicitation of proxies by the use of the mail, proxies may be solicited in person and/or by telephone or facsimile transmission by our proxy solicitor, directors, officers or employees of our Investment Advisor. Our Investment Advisor is located at 1603 Orrington Avenue, Suite 1005, Evanston, Illinois 60201.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may also reimburse brokerage firms, banks and other agents for the cost of forwarding proxy materials to beneficial owners and obtaining your voting instructions. </w:t>
      </w:r>
    </w:p>
    <w:p>
      <w:pPr>
        <w:pStyle w:val="TextBody"/>
        <w:bidi w:val="0"/>
        <w:spacing w:before="270" w:after="283"/>
        <w:jc w:val="left"/>
        <w:rPr>
          <w:rFonts w:ascii="Times New Roman" w:hAnsi="Times New Roman"/>
          <w:sz w:val="20"/>
        </w:rPr>
      </w:pPr>
      <w:r>
        <w:rPr>
          <w:rFonts w:ascii="Times New Roman" w:hAnsi="Times New Roman"/>
          <w:b/>
          <w:color w:val="000000"/>
          <w:sz w:val="20"/>
        </w:rPr>
        <w:t>How many copies should I receive if I share an address with another stockholder?</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SEC has adopted rules that permit companies and intermediaries, such as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Brokers may be householding our proxy materials by delivering a single proxy statement and Annual Report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did not respond that you did not want to participate in householding, you were deemed to have consented to the process.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are held in a brokerage account or us if you are a stockholder of record. You can notify us by sending a written request to: Shelby E. Sherard, Corporate Secretary, Fidus Investment Corporation, 1603 Orrington Avenue, Suite 1005, Evanston, Illinois 60201, or by calling (847) 859-3940. In addition, Fidus will promptly deliver, upon written or oral request to the address or telephone number above, a separate copy of the Annual Report and proxy statement to a stockholder at a shared address to which a single copy of the documents was delivered. </w:t>
      </w:r>
    </w:p>
    <w:p>
      <w:pPr>
        <w:pStyle w:val="TextBody"/>
        <w:bidi w:val="0"/>
        <w:spacing w:before="270" w:after="283"/>
        <w:jc w:val="left"/>
        <w:rPr>
          <w:rFonts w:ascii="Times New Roman" w:hAnsi="Times New Roman"/>
          <w:sz w:val="20"/>
        </w:rPr>
      </w:pPr>
      <w:r>
        <w:rPr>
          <w:rFonts w:ascii="Times New Roman" w:hAnsi="Times New Roman"/>
          <w:b/>
          <w:color w:val="000000"/>
          <w:sz w:val="20"/>
        </w:rPr>
        <w:t>Whom should I contact if I have any questions?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If you have any questions about the Annual Meeting, these proxy materials or your ownership of our common stock, please contact Shelby E. Sherard c/o Fidus Investment Corporation, 1603 Orrington Avenue, Suite 1005, Evanston, Illinois 60201, Telephone (847) 859-3940, or Fax: (847) 859-3953. </w:t>
      </w:r>
    </w:p>
    <w:p>
      <w:pPr>
        <w:pStyle w:val="TextBody"/>
        <w:bidi w:val="0"/>
        <w:spacing w:before="9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toc510126_6"/>
      <w:bookmarkStart w:id="13" w:name="proposal_no1_election_of_directors"/>
      <w:bookmarkEnd w:id="12"/>
      <w:bookmarkEnd w:id="13"/>
      <w:r>
        <w:rPr>
          <w:rFonts w:ascii="Times New Roman" w:hAnsi="Times New Roman"/>
          <w:b/>
          <w:color w:val="000000"/>
          <w:sz w:val="20"/>
        </w:rPr>
        <w:t>PROPOSAL NO. 1</w:t>
      </w:r>
    </w:p>
    <w:p>
      <w:pPr>
        <w:pStyle w:val="TextBody"/>
        <w:bidi w:val="0"/>
        <w:spacing w:before="180" w:after="283"/>
        <w:jc w:val="center"/>
        <w:rPr>
          <w:rFonts w:ascii="Times New Roman" w:hAnsi="Times New Roman"/>
          <w:sz w:val="20"/>
        </w:rPr>
      </w:pPr>
      <w:r>
        <w:rPr>
          <w:rFonts w:ascii="Times New Roman" w:hAnsi="Times New Roman"/>
          <w:b/>
          <w:color w:val="000000"/>
          <w:sz w:val="20"/>
        </w:rPr>
        <w:t>ELECTION OF CLASS III DIRECTORS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Board of Directors is divided into three classes. Each class has a three-year term. Each director holds office for the term to which he or she is elected and until his or her successor is duly elected and qualified. Vacancies on the Board of Directors may be filled by persons elected by a majority of the remaining directors. A director elected by the Board of Directors to fill a vacancy in a class, including any vacancies created by an increase in the number of directors, shall serve for the remainder of the full term of that class or until the director’s successor is duly elected and qualified.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Board of Directors has five members. There are two members of the class of directors whose term expires in 2026 (Class III), Messrs. Ross and Anstiss. Each of Mr. Ross and Mr. Anstiss was selected by the Nominating Committee for re-election at the Annual Meeting and approved by the Board of Directors for submission to stockholders. If elected at the Annual Meeting, each nominee will serve until the 2029 Annual Meeting of Stockholders or until his respective successor is elected and qualified or, if sooner, until his death, resignation or removal. Neither Mr. Ross nor Mr. Anstiss is being nominated for election pursuant to any agreement or understanding between either Mr. Ross or Mr. Anstiss, on the one hand, and the Company or any other person or entity, on the other hand. Messrs. Ross and Anstiss have indicated their willingness to continue to serve if elected and have consented to be named as nominees. Mr. Ross is an “interested person” (as defined in Section 2(a)(19) of the 1940 Act) of the Company due to his position as the Chief Executive Officer of the Company and Chief Executive Officer and a manager of the Investment Advisor. Mr. Anstiss is not an “interested person” (as defined in Section 2(a)(19) of the 1940 Act) of the Company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 stockholder can vote for or withhold his or her vote for each nominee. </w:t>
      </w:r>
      <w:r>
        <w:rPr>
          <w:rFonts w:ascii="Times New Roman" w:hAnsi="Times New Roman"/>
          <w:b/>
          <w:color w:val="000000"/>
          <w:sz w:val="20"/>
        </w:rPr>
        <w:t>In the absence of instructions to the contrary, it is the intention of the persons named as proxies to vote each such proxy for the election of the nominees named below in accordance with the recommendation of the Board of Directors. If either of the nominees should decline or be unable to serve as a director, it is intended that the proxy will be voted for the election of such person(s) who is nominated as a replacement. The Board of Directors has no reason to believe that the Class III director nominees named will be unable or unwilling to serve.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14" w:name="ole_link8"/>
      <w:bookmarkEnd w:id="14"/>
      <w:r>
        <w:rPr>
          <w:rFonts w:ascii="Times New Roman" w:hAnsi="Times New Roman"/>
          <w:color w:val="000000"/>
          <w:sz w:val="20"/>
        </w:rPr>
        <w:t xml:space="preserve">Certain of our directors who are also officers of the Company may serve as directors of, or on the boards of managers of, certain of our portfolio companies. In addition, the Board of Directors of Fidus Mezzanine Capital, L.P., or Fund I, a wholly-owned consolidated subsidiary that has elected to be treated as a </w:t>
      </w:r>
      <w:bookmarkStart w:id="15" w:name="ole_link7"/>
      <w:bookmarkEnd w:id="15"/>
      <w:r>
        <w:rPr>
          <w:rFonts w:ascii="Times New Roman" w:hAnsi="Times New Roman"/>
          <w:color w:val="000000"/>
          <w:sz w:val="20"/>
        </w:rPr>
        <w:t xml:space="preserve">business development company (“BDC”) under the 1940 Act, is composed of all of the Company’s directors.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business address of each nominee and director listed below is 1603 Orrington Avenue, Suite 1005, Evanston, Illinois 60201.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information as of March 19, 2026, with respect to each Class III director nominee is set forth below.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Nominees for Class III Directors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Interested Director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09"/>
        <w:gridCol w:w="346"/>
        <w:gridCol w:w="109"/>
        <w:gridCol w:w="109"/>
        <w:gridCol w:w="8745"/>
      </w:tblGrid>
      <w:tr>
        <w:trPr/>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5" w:type="dxa"/>
            <w:tcBorders/>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Age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Background Information</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Mr. Ross has served as chairman of our board of directors and our chief executive officer, and as chairman of our Investment Advisor’s investment committees, since our initial public offering in June 2011. Additionally, Mr. Ross is the chief executive officer and a manager of our Investment Advisor. Mr. Ross is an interested director due to his positions with the Company and our Investment Advisor. Mr. Ross has more than 30 years of debt and equity capital investing experience with lower middle-market companies. Mr. Ross co-founded Fidus Capital, LLC, the predecessor firm to our Investment Advisor, in 2005. From February 2007 to June 2011, Mr. Ross served as a member of the investment committee of Fidus Mezzanine Capital GP, LLC, Fund I’s former general partner. From 2002 to 2005, Mr. Ross was a managing director and the head of the Chicago office for Allied Capital Corporation, a publicly-traded business development company, where he focused on making debt and equity investments in middle-market companies. Prior to joining Allied Capital Corporation, Mr. Ross co-founded Middle Market Capital, a merchant banking group of Wachovia Securities </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2"/>
        <w:gridCol w:w="146"/>
        <w:gridCol w:w="346"/>
        <w:gridCol w:w="146"/>
        <w:gridCol w:w="146"/>
        <w:gridCol w:w="7959"/>
      </w:tblGrid>
      <w:tr>
        <w:trPr/>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14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9"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0"/>
              </w:rPr>
            </w:pPr>
            <w:r>
              <w:rPr>
                <w:rFonts w:ascii="Times New Roman" w:hAnsi="Times New Roman"/>
                <w:color w:val="000000"/>
                <w:sz w:val="20"/>
              </w:rPr>
              <w:t>and its predecessor, First Union Securities, Inc., a retail brokerage and institutional capital markets and investment banking firm. Mr. Ross earned a bachelor of arts from Southern Methodist University and a master of business administration from the University of Notre Dame’s Mendoza College of Business. Mr. Ross is the brother of John J. Ross, II, a manager of our Investment Advisor and a member of its investment committee.</w:t>
            </w:r>
          </w:p>
        </w:tc>
      </w:tr>
      <w:tr>
        <w:trPr/>
        <w:tc>
          <w:tcPr>
            <w:tcW w:w="1462"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Independent Director</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3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7959"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462" w:type="dxa"/>
            <w:tcBorders/>
            <w:tcMar>
              <w:top w:w="0" w:type="dxa"/>
              <w:left w:w="0" w:type="dxa"/>
              <w:bottom w:w="0" w:type="dxa"/>
              <w:right w:w="0" w:type="dxa"/>
            </w:tcMar>
            <w:vAlign w:val="center"/>
          </w:tcPr>
          <w:p>
            <w:pPr>
              <w:pStyle w:val="TableContents"/>
              <w:bidi w:val="0"/>
              <w:jc w:val="left"/>
              <w:rPr/>
            </w:pPr>
            <w:r>
              <w:rPr/>
              <w:t> </w:t>
            </w:r>
          </w:p>
          <w:p>
            <w:pPr>
              <w:pStyle w:val="TableContents"/>
              <w:pBdr>
                <w:bottom w:val="single" w:sz="6" w:space="1" w:color="000000"/>
              </w:pBdr>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Background Information</w:t>
            </w:r>
          </w:p>
        </w:tc>
      </w:tr>
      <w:tr>
        <w:trPr/>
        <w:tc>
          <w:tcPr>
            <w:tcW w:w="1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L. Anstiss, Jr.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Mr. Anstiss has been a member of our Board of Directors since September 2011. He serves as Chairman of the Audit Committee and is a member of our Nominating Committee. Mr. Anstiss is a Partner and the Boston Market Leader at Grassi Advisory Group, Inc., a nationally ranked advisory and accounting firm, following its merger with Anstiss &amp; Co. in January 2025. Based in Chelmsford, Massachusetts, he brings extensive experience in financial oversight and strategic advisory. Before joining Anstiss &amp; Co. in 1993, Mr. Anstiss worked on the audit staff at KPMG Peat Marwick from 1988 to 1992. In addition to his corporate leadership roles, he has served on the board of directors for several not-for-profit organizations.</w:t>
            </w:r>
          </w:p>
        </w:tc>
      </w:tr>
    </w:tbl>
    <w:p>
      <w:pPr>
        <w:pStyle w:val="TextBody"/>
        <w:bidi w:val="0"/>
        <w:spacing w:before="180" w:after="283"/>
        <w:jc w:val="center"/>
        <w:rPr>
          <w:rFonts w:ascii="Times New Roman" w:hAnsi="Times New Roman"/>
          <w:sz w:val="20"/>
        </w:rPr>
      </w:pPr>
      <w:r>
        <w:rPr>
          <w:rFonts w:ascii="Times New Roman" w:hAnsi="Times New Roman"/>
          <w:b/>
          <w:i/>
          <w:color w:val="000000"/>
          <w:sz w:val="20"/>
        </w:rPr>
        <w:t>The Board of Directors recommends a vote “for” the Class III director nominees named above.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Certain information as of March 19, 2026, with respect to each incumbent Class I and Class II director is set forth below.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Class I Director continuing in office until the 2027 Annual Meeting of Stockholders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Independent Director</w:t>
      </w:r>
    </w:p>
    <w:tbl>
      <w:tblPr>
        <w:tblW w:w="10205" w:type="dxa"/>
        <w:jc w:val="left"/>
        <w:tblInd w:w="0" w:type="dxa"/>
        <w:tblLayout w:type="fixed"/>
        <w:tblCellMar>
          <w:top w:w="28" w:type="dxa"/>
          <w:left w:w="28" w:type="dxa"/>
          <w:bottom w:w="28" w:type="dxa"/>
          <w:right w:w="28" w:type="dxa"/>
        </w:tblCellMar>
      </w:tblPr>
      <w:tblGrid>
        <w:gridCol w:w="1350"/>
        <w:gridCol w:w="109"/>
        <w:gridCol w:w="346"/>
        <w:gridCol w:w="109"/>
        <w:gridCol w:w="109"/>
        <w:gridCol w:w="8182"/>
      </w:tblGrid>
      <w:tr>
        <w:trPr/>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2" w:type="dxa"/>
            <w:tcBorders/>
            <w:vAlign w:val="center"/>
          </w:tcPr>
          <w:p>
            <w:pPr>
              <w:pStyle w:val="TableContents"/>
              <w:bidi w:val="0"/>
              <w:spacing w:before="0" w:after="283"/>
              <w:jc w:val="left"/>
              <w:rPr>
                <w:sz w:val="4"/>
                <w:szCs w:val="4"/>
              </w:rPr>
            </w:pPr>
            <w:r>
              <w:rPr>
                <w:sz w:val="4"/>
                <w:szCs w:val="4"/>
              </w:rPr>
            </w:r>
          </w:p>
        </w:tc>
      </w:tr>
      <w:tr>
        <w:trPr/>
        <w:tc>
          <w:tcPr>
            <w:tcW w:w="1350" w:type="dxa"/>
            <w:tcBorders/>
            <w:tcMar>
              <w:top w:w="0" w:type="dxa"/>
              <w:left w:w="0" w:type="dxa"/>
              <w:bottom w:w="0" w:type="dxa"/>
              <w:right w:w="0" w:type="dxa"/>
            </w:tcMar>
            <w:vAlign w:val="center"/>
          </w:tcPr>
          <w:p>
            <w:pPr>
              <w:pStyle w:val="TableContents"/>
              <w:bidi w:val="0"/>
              <w:jc w:val="left"/>
              <w:rPr/>
            </w:pPr>
            <w:r>
              <w:rPr/>
              <w:t> </w:t>
            </w:r>
          </w:p>
          <w:p>
            <w:pPr>
              <w:pStyle w:val="TableContents"/>
              <w:pBdr>
                <w:bottom w:val="single" w:sz="6" w:space="1" w:color="000000"/>
              </w:pBdr>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Age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5"/>
              </w:rPr>
            </w:pPr>
            <w:r>
              <w:rPr>
                <w:rFonts w:ascii="Times New Roman" w:hAnsi="Times New Roman"/>
                <w:b/>
                <w:color w:val="000000"/>
                <w:sz w:val="15"/>
              </w:rPr>
              <w:t>Background Information</w:t>
            </w:r>
          </w:p>
        </w:tc>
      </w:tr>
      <w:tr>
        <w:trPr/>
        <w:tc>
          <w:tcPr>
            <w:tcW w:w="135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Kelly McNamara Corley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tcBorders/>
            <w:tcMar>
              <w:top w:w="0" w:type="dxa"/>
              <w:left w:w="0" w:type="dxa"/>
              <w:bottom w:w="0" w:type="dxa"/>
              <w:right w:w="0" w:type="dxa"/>
            </w:tcMar>
            <w:vAlign w:val="center"/>
          </w:tcPr>
          <w:p>
            <w:pPr>
              <w:pStyle w:val="TableContents"/>
              <w:bidi w:val="0"/>
              <w:spacing w:before="90" w:after="283"/>
              <w:jc w:val="both"/>
              <w:rPr>
                <w:rFonts w:ascii="Times New Roman" w:hAnsi="Times New Roman"/>
                <w:color w:val="000000"/>
                <w:sz w:val="20"/>
              </w:rPr>
            </w:pPr>
            <w:r>
              <w:rPr>
                <w:rFonts w:ascii="Times New Roman" w:hAnsi="Times New Roman"/>
                <w:color w:val="000000"/>
                <w:sz w:val="20"/>
              </w:rPr>
              <w:t>Ms. Corley has served on our Board of Directors since July 2022, is a member of our Nominating Committee and Audit Committee, and serves as the chairman of our Nominating Committee. Ms. Corley currently serves as Principal and Co-Founder of The Red Bee Group LLC, a women owned consulting group providing diversity equity and inclusion advice, public company board governance and strategic leadership advice to executive officers and chief legal officers. Prior to co-founding The Red Bee Group, Ms. Corley was the Chief Legal Officer of Discover Financial Services for 19 years. Prior to that, she served in a variety of legal and regulatory roles at Morgan Stanley. Ms. Corley currently serves on the boards of Goldman Sachs Bank USA, Rush University Medical Center, and Squeeze LLC. Ms. Corley brings to the Board extensive board, legal and regulatory experience in the financial services industry.</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Class II Directors continuing in office until the 2028 Annual Meeting of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4"/>
        <w:gridCol w:w="109"/>
        <w:gridCol w:w="346"/>
        <w:gridCol w:w="109"/>
        <w:gridCol w:w="109"/>
        <w:gridCol w:w="8658"/>
      </w:tblGrid>
      <w:tr>
        <w:trPr/>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Interested Director</w:t>
            </w:r>
            <w:r>
              <w:rPr>
                <w:rFonts w:ascii="Times New Roman" w:hAnsi="Times New Roman"/>
                <w:color w:val="000000"/>
                <w:sz w:val="20"/>
              </w:rPr>
              <w:t xml:space="preserve"> </w:t>
            </w:r>
          </w:p>
        </w:tc>
      </w:tr>
      <w:tr>
        <w:trPr/>
        <w:tc>
          <w:tcPr>
            <w:tcW w:w="874" w:type="dxa"/>
            <w:tcBorders/>
            <w:tcMar>
              <w:top w:w="0" w:type="dxa"/>
              <w:left w:w="0" w:type="dxa"/>
              <w:bottom w:w="0" w:type="dxa"/>
              <w:right w:w="0" w:type="dxa"/>
            </w:tcMar>
            <w:vAlign w:val="center"/>
          </w:tcPr>
          <w:p>
            <w:pPr>
              <w:pStyle w:val="TableContents"/>
              <w:bidi w:val="0"/>
              <w:jc w:val="left"/>
              <w:rPr/>
            </w:pPr>
            <w:r>
              <w:rPr/>
              <w:t> </w:t>
            </w:r>
          </w:p>
          <w:p>
            <w:pPr>
              <w:pStyle w:val="TableContents"/>
              <w:pBdr>
                <w:bottom w:val="single" w:sz="6" w:space="1" w:color="000000"/>
              </w:pBdr>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Age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Background Information</w:t>
            </w:r>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 Lauer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Mr. Lauer has served as our director and as a member of our Investment Advisor’s investment committees since our initial public offering in June 2011 and as our President since September 2016. Additionally, Mr. Lauer is a manager of our Investment Advisor. Mr. Lauer is an interested director due to his position with the Investment Advisor. Mr. Lauer has more than 30 years of experience investing debt and equity capital in lower middle-market companies. Mr. Lauer was a managing partner of Fidus Partners, LLC, an investment banking firm, from 2008 to June 2011. From 2004 to 2008, Mr. Lauer was a managing director of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6"/>
        <w:gridCol w:w="146"/>
        <w:gridCol w:w="346"/>
        <w:gridCol w:w="146"/>
        <w:gridCol w:w="146"/>
        <w:gridCol w:w="8205"/>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5"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Allied Capital Corporation, a publicly-traded business development company, and member of that firm’s Management Committee from 2006 to 2008, Private Finance Investment Committee from 2005 to 2008, and Senior Debt Fund Investment Committee from 2007 to 2008. Prior to joining Allied Capital Corporation, Mr. Lauer worked with the Global Sponsor Finance Group of GE Capital, the financial services unit of General Electric, the Leveraged Capital Group at Wachovia Securities and its predecessor, First Union Securities, Inc., a retail brokerage and institutional capital markets and investment banking firm, and the Platform Components Division of Intel Corporation. Mr. Lauer earned a bachelor of business administration from the University of Notre Dame and master of business administration from the University of Notre Dame’s Mendoza College of Business.</w:t>
            </w:r>
          </w:p>
        </w:tc>
      </w:tr>
      <w:tr>
        <w:trPr/>
        <w:tc>
          <w:tcPr>
            <w:tcW w:w="12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i/>
                <w:color w:val="000000"/>
                <w:sz w:val="20"/>
              </w:rPr>
              <w:t>Independent Director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tcBorders>
              <w:bottom w:val="single" w:sz="6" w:space="0" w:color="000000"/>
            </w:tcBorders>
            <w:tcMar>
              <w:top w:w="0" w:type="dxa"/>
              <w:left w:w="0" w:type="dxa"/>
              <w:right w:w="0" w:type="dxa"/>
            </w:tcMar>
            <w:vAlign w:val="center"/>
          </w:tcPr>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Background Information</w:t>
            </w:r>
          </w:p>
        </w:tc>
      </w:tr>
      <w:tr>
        <w:trPr/>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X. Tune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Mr. Tune has served on our Board of Directors since March 2019 and is a member of our Audit Committee and our Nominating Committee. Mr. Tune is a Partner of Brown Advisory, an investment management firm with offices in North America, Europe, and Asia. Prior to joining Brown Advisory, Mr. Tune was a Managing Director at Brown Brothers Harriman (BBH) where for 14 years he served in a variety of client-facing and leadership roles in Charlotte and Chicago including Chief Operating Officer and Chief Financial Officer for BBH’s wealth management unit. Prior to that, Mr. Tune served as a Vice President and investment advisor with Stein Roe &amp; Farnham in Chicago for 8 years. Mr. Tune brings to the Board of Directors extensive investment management experience.</w:t>
            </w:r>
          </w:p>
        </w:tc>
      </w:tr>
    </w:tbl>
    <w:p>
      <w:pPr>
        <w:pStyle w:val="TextBody"/>
        <w:bidi w:val="0"/>
        <w:spacing w:before="270" w:after="283"/>
        <w:jc w:val="left"/>
        <w:rPr>
          <w:rFonts w:ascii="Times New Roman" w:hAnsi="Times New Roman"/>
          <w:sz w:val="20"/>
        </w:rPr>
      </w:pPr>
      <w:r>
        <w:rPr>
          <w:rFonts w:ascii="Times New Roman" w:hAnsi="Times New Roman"/>
          <w:b/>
          <w:color w:val="000000"/>
          <w:sz w:val="20"/>
        </w:rPr>
        <w:t>Qualifications of Directors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When considering whether our director nominees have the experience, qualifications, attributes and skills, taken as a whole, to enable our Board of Directors to satisfy its oversight responsibilities effectively in light of our operational and organizational structure, the Nominating Committee and the Board of Directors focused primarily on the information discussed in each of the director nominee’s individual biographies set forth above and on the following particular attributes: </w:t>
      </w:r>
    </w:p>
    <w:p>
      <w:pPr>
        <w:pStyle w:val="TextBody"/>
        <w:bidi w:val="0"/>
        <w:spacing w:before="270" w:after="283"/>
        <w:jc w:val="left"/>
        <w:rPr>
          <w:rFonts w:ascii="Times New Roman" w:hAnsi="Times New Roman"/>
          <w:sz w:val="20"/>
        </w:rPr>
      </w:pPr>
      <w:r>
        <w:rPr>
          <w:rFonts w:ascii="Times New Roman" w:hAnsi="Times New Roman"/>
          <w:i/>
          <w:color w:val="000000"/>
          <w:sz w:val="20"/>
        </w:rPr>
        <w:t>Interested Directors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Mr. Ross</w:t>
            </w:r>
            <w:r>
              <w:rPr>
                <w:rFonts w:ascii="Times New Roman" w:hAnsi="Times New Roman"/>
                <w:color w:val="000000"/>
                <w:sz w:val="20"/>
              </w:rPr>
              <w:t>: In nominating Mr. Ross for re-election at the Annual Meeting, the Nominating Committee and the Board of Directors considered his familiarity with the Fidus investment platform, his significant experience with investing debt and equity capital in middle-market companies, and his broad experience with the day-to-day management and operation of other investment funds, which provides our Board of Directors with valuable investment and management experience, insight and perspective.</w:t>
            </w:r>
          </w:p>
        </w:tc>
      </w:tr>
      <w:tr>
        <w:trPr/>
        <w:tc>
          <w:tcPr>
            <w:tcW w:w="124"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Mr. Lauer</w:t>
            </w:r>
            <w:r>
              <w:rPr>
                <w:rFonts w:ascii="Times New Roman" w:hAnsi="Times New Roman"/>
                <w:color w:val="000000"/>
                <w:sz w:val="20"/>
              </w:rPr>
              <w:t>: The Nominating Committee and the Board of Directors considered his experience with investing debt and equity capital in middle-market companies, which provides our Board of Directors with valuable investment knowledge, experience and insight.</w:t>
            </w:r>
          </w:p>
        </w:tc>
      </w:tr>
    </w:tbl>
    <w:p>
      <w:pPr>
        <w:pStyle w:val="TextBody"/>
        <w:bidi w:val="0"/>
        <w:spacing w:before="270" w:after="283"/>
        <w:jc w:val="left"/>
        <w:rPr>
          <w:rFonts w:ascii="Times New Roman" w:hAnsi="Times New Roman"/>
          <w:sz w:val="20"/>
        </w:rPr>
      </w:pPr>
      <w:r>
        <w:rPr>
          <w:rFonts w:ascii="Times New Roman" w:hAnsi="Times New Roman"/>
          <w:i/>
          <w:color w:val="000000"/>
          <w:sz w:val="20"/>
        </w:rPr>
        <w:t>Independent Directors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Mr. Anstiss</w:t>
            </w:r>
            <w:r>
              <w:rPr>
                <w:rFonts w:ascii="Times New Roman" w:hAnsi="Times New Roman"/>
                <w:color w:val="000000"/>
                <w:sz w:val="20"/>
              </w:rPr>
              <w:t>: In nominating Mr. Anstiss for re-election at the Annual Meeting, the Nominating Committee and the Board of Directors considered his extensive experience in the accounting industry. In addition, Mr. Anstiss’ accounting background was instrumental in his appointment to the chairmanship of our Audit Committee.</w:t>
            </w:r>
          </w:p>
        </w:tc>
      </w:tr>
      <w:tr>
        <w:trPr/>
        <w:tc>
          <w:tcPr>
            <w:tcW w:w="124"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Ms. Corley: </w:t>
            </w:r>
            <w:r>
              <w:rPr>
                <w:rFonts w:ascii="Times New Roman" w:hAnsi="Times New Roman"/>
                <w:color w:val="000000"/>
                <w:sz w:val="20"/>
              </w:rPr>
              <w:t>The Nominating Committee and the Board of Directors considered her extensive experience in the legal and regulatory industries, including her substantial experience in providing advice and counsel on corporate governance matters in the financial service industry.</w:t>
            </w:r>
          </w:p>
        </w:tc>
      </w:tr>
      <w:tr>
        <w:trPr/>
        <w:tc>
          <w:tcPr>
            <w:tcW w:w="124"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Mr. Tune</w:t>
            </w:r>
            <w:r>
              <w:rPr>
                <w:rFonts w:ascii="Times New Roman" w:hAnsi="Times New Roman"/>
                <w:color w:val="000000"/>
                <w:sz w:val="20"/>
              </w:rPr>
              <w:t>: The Nominating Committee and the Board of Directors considered his extensive experience in the investment analysis, management, and advisory industries.</w:t>
            </w:r>
          </w:p>
        </w:tc>
      </w:tr>
    </w:tbl>
    <w:p>
      <w:pPr>
        <w:pStyle w:val="TextBody"/>
        <w:bidi w:val="0"/>
        <w:jc w:val="center"/>
        <w:rPr/>
      </w:pPr>
      <w:bookmarkStart w:id="16" w:name="toc510126_7"/>
      <w:bookmarkEnd w:id="16"/>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information_about_executive_not_director"/>
      <w:bookmarkEnd w:id="17"/>
      <w:r>
        <w:rPr>
          <w:rFonts w:ascii="Times New Roman" w:hAnsi="Times New Roman"/>
          <w:b/>
          <w:color w:val="000000"/>
          <w:sz w:val="20"/>
        </w:rPr>
        <w:t>INFORMATION ABOUT EXECUTIVE OFFICER WHO IS NOT A DIRECTOR</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brief biography of our executive officer, Shelby E. Sherard, who is not a director of the Company.</w:t>
      </w:r>
    </w:p>
    <w:tbl>
      <w:tblPr>
        <w:tblW w:w="10205" w:type="dxa"/>
        <w:jc w:val="left"/>
        <w:tblInd w:w="0" w:type="dxa"/>
        <w:tblLayout w:type="fixed"/>
        <w:tblCellMar>
          <w:top w:w="28" w:type="dxa"/>
          <w:left w:w="28" w:type="dxa"/>
          <w:bottom w:w="28" w:type="dxa"/>
          <w:right w:w="28" w:type="dxa"/>
        </w:tblCellMar>
      </w:tblPr>
      <w:tblGrid>
        <w:gridCol w:w="1037"/>
        <w:gridCol w:w="146"/>
        <w:gridCol w:w="146"/>
        <w:gridCol w:w="316"/>
        <w:gridCol w:w="146"/>
        <w:gridCol w:w="8414"/>
      </w:tblGrid>
      <w:tr>
        <w:trPr/>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4" w:type="dxa"/>
            <w:tcBorders/>
            <w:vAlign w:val="center"/>
          </w:tcPr>
          <w:p>
            <w:pPr>
              <w:pStyle w:val="TableContents"/>
              <w:bidi w:val="0"/>
              <w:spacing w:before="0" w:after="283"/>
              <w:jc w:val="left"/>
              <w:rPr>
                <w:sz w:val="4"/>
                <w:szCs w:val="4"/>
              </w:rPr>
            </w:pPr>
            <w:r>
              <w:rPr>
                <w:sz w:val="4"/>
                <w:szCs w:val="4"/>
              </w:rPr>
            </w:r>
          </w:p>
        </w:tc>
      </w:tr>
      <w:tr>
        <w:trPr/>
        <w:tc>
          <w:tcPr>
            <w:tcW w:w="1037"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31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8414"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037"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4" w:type="dxa"/>
            <w:tcBorders>
              <w:bottom w:val="single" w:sz="6" w:space="0" w:color="000000"/>
            </w:tcBorders>
            <w:tcMar>
              <w:top w:w="0" w:type="dxa"/>
              <w:left w:w="0" w:type="dxa"/>
              <w:right w:w="0" w:type="dxa"/>
            </w:tcMar>
            <w:vAlign w:val="center"/>
          </w:tcPr>
          <w:p>
            <w:pPr>
              <w:pStyle w:val="TableContents"/>
              <w:bidi w:val="0"/>
              <w:spacing w:before="0" w:after="15"/>
              <w:ind w:left="0" w:right="0" w:firstLine="240"/>
              <w:jc w:val="center"/>
              <w:rPr>
                <w:rFonts w:ascii="Times New Roman" w:hAnsi="Times New Roman"/>
                <w:b/>
                <w:color w:val="000000"/>
                <w:sz w:val="15"/>
              </w:rPr>
            </w:pPr>
            <w:r>
              <w:rPr>
                <w:rFonts w:ascii="Times New Roman" w:hAnsi="Times New Roman"/>
                <w:b/>
                <w:color w:val="000000"/>
                <w:sz w:val="15"/>
              </w:rPr>
              <w:t>Background Information</w:t>
            </w:r>
          </w:p>
        </w:tc>
      </w:tr>
      <w:tr>
        <w:trPr/>
        <w:tc>
          <w:tcPr>
            <w:tcW w:w="103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Shelby E. Sherard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Shelby E. Sherard has served as our chief financial officer and secretary since joining the Company on June 2, 2014 and chief compliance officer since August 11, 2014. Ms. Sherard has more than 30 years of finance experience most recently as a financial officer at Prologis, Inc., a leading owner, operator and developer of industrial real estate, first serving as Chief Financial Officer, Americas, and then overseeing the U.S. tax department. Previously, she served as the Finance Director for Chicago Union Station Development Company, LLC, a real estate development company. From 2005 through 2006, Ms. Sherard served as Executive Vice President and Chief Financial Officer of Grubb &amp; Ellis Company, a publicly-traded real estate services company. From 2002 through 2005, Ms. Sherard was the Chief Financial Officer and Senior Vice President of SiteStuff, Inc., a procurement solutions provider for the commercial real estate industry. Ms. Sherard is a CPA and earned a bachelor’s degree from Northwestern University, a master of business administration from the University of Pennsylvania’s Wharton School and a master’s degree in tax from the University of Illinois.</w:t>
            </w:r>
          </w:p>
        </w:tc>
      </w:tr>
    </w:tbl>
    <w:p>
      <w:pPr>
        <w:pStyle w:val="TextBody"/>
        <w:bidi w:val="0"/>
        <w:jc w:val="center"/>
        <w:rPr>
          <w:rFonts w:ascii="Times New Roman" w:hAnsi="Times New Roman"/>
          <w:color w:val="000000"/>
          <w:sz w:val="20"/>
        </w:rPr>
      </w:pPr>
      <w:bookmarkStart w:id="18" w:name="toc510126_8"/>
      <w:bookmarkEnd w:id="18"/>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corporate_governance"/>
      <w:bookmarkEnd w:id="19"/>
      <w:r>
        <w:rPr>
          <w:rFonts w:ascii="Times New Roman" w:hAnsi="Times New Roman"/>
          <w:b/>
          <w:color w:val="000000"/>
          <w:sz w:val="20"/>
        </w:rPr>
        <w:t>CORPORATE GOVERNANCE</w:t>
      </w:r>
    </w:p>
    <w:p>
      <w:pPr>
        <w:pStyle w:val="TextBody"/>
        <w:bidi w:val="0"/>
        <w:spacing w:before="18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Board of Directors has a majority of directors who are independent under the listing standards of the Nasdaq Global Select Market, or Nasdaq. The Nasdaq Stock Market Rules provide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Board of Directors has determined that the following directors are independent: Messrs. Anstiss, and Tune and Ms. Corley. Messrs. Ross and Lauer are “interested persons” due to their positions with the Company and/or our Investment Advisor, as discussed in their respective biographies. Based upon information requested and received from each director concerning their respective background, employment and affiliations, the Board of Directors has affirmatively determined that none of the independent directors has a material business or professional relationship with the Company, other than in his capacity as a member of the Board of Directors or any committee thereof.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Meetings of the Board and Committees of the Board</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Board of Directors has established the Audit Committee and Nominating Committee. The Company does not have a separate compensation committee because its executive officers do not receive any direct compensation from the Company; however, the Audit Committee has been charged with carrying out the duties that would typically be addressed by a compensation committee. During 2025, the Board of Directors held nine meetings, the Audit Committee held nine meetings and the Nominating Committee held three meetings. The Company encourages, but does not require, the directors to attend the Company’s annual meeting of its stockholders. During 2025, all of our directors attended 100% of the aggregate number of meetings of the Board of Directors and the respective committees on which they served. All of our directors attended the 2025 annual meeting of stockholders.</w:t>
      </w:r>
    </w:p>
    <w:p>
      <w:pPr>
        <w:pStyle w:val="TextBody"/>
        <w:bidi w:val="0"/>
        <w:spacing w:before="270" w:after="283"/>
        <w:jc w:val="left"/>
        <w:rPr>
          <w:rFonts w:ascii="Times New Roman" w:hAnsi="Times New Roman"/>
          <w:sz w:val="20"/>
        </w:rPr>
      </w:pPr>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Board of Directors monitors and performs an oversight role with respect to the business and affairs of the Company. Among other things, the Board of Directors approves the appointment of our Investment Advisor, administrator and officers, reviews and monitors the services and activities performed by our Investment Advisor, administrator and officers, approves annually the renewal of any investment advisory agreement with our Investment Advisor and approves the engagement, and reviews the performance of, the Company’s independent registered public accounting firm.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Under the bylaws, the Board of Directors may designate a chairman to preside over the meetings of the Board of Directors and meetings of the stockholders and to perform such other duties as may be assigned to him by the Board of Directors. The Company does not have a fixed policy as to whether the chairman of the Board of Directors should be an independent director and believes that its flexibility to select its chairman and reorganize its leadership structure from time to time is in the best interests of the Company and its stockholders.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Presently, Mr. Ross serves as the chairman of the Board of Directors. Mr. Ross is an interested director because he is the Chief Executive Officer of the Company, serves on our Investment Advisor’s investment committee and is the Chief Executive Officer and a manager of our Investment Advisor. The Company believes that Mr. Ross’s history with the Company, familiarity with the Fidus investment platform and extensive experience in the management of private equity and debt investments qualifies him to serve as chairman of the Board of Directors. Moreover, our Board of Directors believes that it is in the best interests of our stockholders for Mr. Ross to lead our Board of Directors because of his broad experience with the day-to-day management and operation of other investment funds and his significant background in the financial services industry, as described above.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bookmarkStart w:id="20" w:name="ole_link1"/>
      <w:bookmarkEnd w:id="20"/>
      <w:r>
        <w:rPr>
          <w:rFonts w:ascii="Times New Roman" w:hAnsi="Times New Roman"/>
          <w:color w:val="000000"/>
          <w:sz w:val="20"/>
        </w:rPr>
        <w:t xml:space="preserve">Our Board of Directors does not have a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the establishment of an Audit and Compensation Committee and a Nominating and Corporate Governance Committee, each of which is comprised solely of independent directors, and the appointment of a Chief Compliance Officer, with whom the independent directors meet without the presence of interested directors and other members of management, for administering our compliance policies and procedures. Additionally, Mr. Anstiss, an independent director and the chairman of the Audit Committee, acts as a liaison between the independent directors and management between meetings of our Board of Directors and presides over regular executive sessions of the Board of Directors. Our Board of Directors believes that its leadership structure is appropriate in light of the Company’s characteristics and circumstances because the structure allocates areas of responsibility among the individual directors and the committees in a manner that encourages effective oversight. Specifically, the Board of Directors believes that the relationship of Messrs. Ross and Lauer with our Investment Advisor provides an effective bridge between the Board and management, and encourages an open dialogue between management and our Board, ensuring that these groups act with a common purpose. The members of our Board of Directors also believe that its small size creates a highly efficient governance structure that provides ample opportunity for direct communication and interaction between both the members of management and our Investment Advisor and our Board of Directors. </w:t>
      </w:r>
    </w:p>
    <w:p>
      <w:pPr>
        <w:pStyle w:val="TextBody"/>
        <w:bidi w:val="0"/>
        <w:spacing w:before="270" w:after="283"/>
        <w:jc w:val="left"/>
        <w:rPr>
          <w:rFonts w:ascii="Times New Roman" w:hAnsi="Times New Roman"/>
          <w:sz w:val="20"/>
        </w:rPr>
      </w:pPr>
      <w:r>
        <w:rPr>
          <w:rFonts w:ascii="Times New Roman" w:hAnsi="Times New Roman"/>
          <w:b/>
          <w:color w:val="000000"/>
          <w:sz w:val="20"/>
        </w:rPr>
        <w:t>Board Role in Risk Oversight</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Board of Directors performs its risk oversight function primarily through (a) its two standing committees, which report to the entire Board of Directors and are comprised solely of independent directors and (b) monitoring by the Company’s Chief Compliance Officer in accordance with its compliance policies and procedures.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described below in more detail under “Audit and Compensation Committee” and “Nominating and Corporate Governance Committee,” the Audit Committee and the Nominating Committee assist the Board of Directors in fulfilling its risk oversight responsibilities. The Audit Committee’s risk oversight responsibilities include overseeing the Company’s accounting and financial reporting processes, the Company’s systems of internal controls regarding finance and accounting and audits of the Company’s financial statements and discussing with management the Company’s major financial risk exposures and the steps management has taken to monitor and control such exposures, including the Company’s risk assessment and risk management policies. The Nominating Committee’s risk oversight responsibilities include selecting, researching and nominating directors for election by the Company’s stockholders, developing and recommending to the Board of Directors a set of corporate governance principles and overseeing the evaluation of the Board of Directors and its committees. Both the Audit Committee and the Nominating Committee consist solely of independent directors.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Board of Directors is assisted in its risk oversight responsibilities by the Chief Compliance Officer. The Company’s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(a) the operation of the compliance policies and procedures of the Company and certain of its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periodically, but in no event less than once each year.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believes that the Board of Directors’ role in risk oversight is effective and appropriate given the extensive regulation to which it is already subject as a BDC. Specifically, as a BDC, the Company must comply with certain regulatory requirements that control the levels of risk in its business and operations. For example, the Company’s ability to incur indebtedness is limited such that its asset coverage must equal at least 150% immediately after each time it incurs indebtedness and the Company generally has to invest at least 70% of its total assets in “qualifying assets” as described in section 55 of the 1940 Act. In addition, the Company has elected, and intends to qualify annually, to be treated as a regulated investment company, or RIC, under subchapter M of the Internal Revenue Code of 1986, as amended. As a RIC, the Company must, among other things, meet certain source-of-income and asset diversification requirements.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believes that the Board of Directors’ existing role in risk oversight is appropriate. However, the Company re-examines the manner in which the Board of Directors administers its oversight function on an ongoing basis to ensure that it continues to meet the Company’s needs.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Times New Roman" w:hAnsi="Times New Roman"/>
          <w:b/>
          <w:color w:val="000000"/>
          <w:sz w:val="20"/>
        </w:rPr>
        <w:t>Audit and Compensation Committee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members of the Audit Committee are Messrs. Anstiss, and Tune and Ms. Corley, each of whom is not an interested person and is otherwise independent for purposes of the 1940 Act and Nasdaq’s corporate governance regulations. Since September 2011, Mr. Anstiss has served as chairman of the Audit Committee. Our board of directors has adopted a charter for the Audit Committee, which is available on our website at </w:t>
      </w:r>
      <w:r>
        <w:rPr>
          <w:rFonts w:ascii="Times New Roman" w:hAnsi="Times New Roman"/>
          <w:i/>
          <w:color w:val="000000"/>
          <w:sz w:val="20"/>
        </w:rPr>
        <w:t>https://investor.fdus.com/corporate-governance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Audit Committee is responsible for approving our independent accountants and recommending them to the Board of Directors (including a majority of the independent directors) for approval and submission to the Board of Directors for ratification, reviewing with our independent accountants the plans and results of the audit engagement, approving professional services provided by our accountants, reviewing the independence of our independent accountants and reviewing the adequacy of our internal accounting controls.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Audit Committee is also responsible for aiding the Board of Directors in determining the fair value of debt and equity securities that are not publicly traded or for which current market values are not readily available. The Audit Committee also currently receives input from independent valuation firms that have been engaged at the direction of the Board of Directors to value certain portfolio investments. In addition, the Audit Committee is responsible for discussing with management our major financial risk exposures and the steps management has taken to monitor and control such exposures, including our risk assessment and risk management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Board of Directors has determined that Mr. Anstiss is an “audit committee financial expert” as defined in Item 407 of Regulation S-K. Mr. Anstiss acquired his financial expertise from his education experience as a public accountant, his experience actively supervising financial officers of public companies and in his supervisory role at a public accounting firm and from his experience overseeing and assessing the performance of public accountants with respect to the preparation, auditing and evaluation of financial statements. Mr. Anstiss has consented to be named as an audit committee financial expert in this proxy statement.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Because the Audit Committee is charged with approving our related-party transactions, the board of directors has determined not to create a separate compensation committee and instead has charged the Audit Committee with overseeing amounts payable to our Investment Advisor pursuant to the Advisory Agreement and the Administration Agreement, and making a recommendation to the Board of Directors with respect to the Board’s approval (including the approval of a majority of the directors who are not “interested persons” of the Company within the meaning of Section 2(a)(19) of the 1940 Act, as amended) of the renewal of the Advisory Agreement and the Administration Agreement.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Board of Directors has determined not to create a separate compensation committee charter and instead has included applicable compensation charter provisions in the charter of the Audit Committee, which is available on our website at </w:t>
      </w:r>
      <w:r>
        <w:rPr>
          <w:rFonts w:ascii="Times New Roman" w:hAnsi="Times New Roman"/>
          <w:i/>
          <w:color w:val="000000"/>
          <w:sz w:val="20"/>
        </w:rPr>
        <w:t>https://investor.fdus.com/corporate-governance</w:t>
      </w:r>
      <w:r>
        <w:rPr>
          <w:rFonts w:ascii="sans-serif" w:hAnsi="sans-serif"/>
          <w:color w:val="000000"/>
          <w:sz w:val="20"/>
        </w:rPr>
        <w:t xml:space="preserve">. </w:t>
      </w:r>
      <w:r>
        <w:rPr>
          <w:rFonts w:ascii="Times New Roman" w:hAnsi="Times New Roman"/>
          <w:color w:val="000000"/>
          <w:sz w:val="20"/>
        </w:rPr>
        <w:t xml:space="preserve">The Audit Committee charter sets forth the responsibilities of a compensation committee, including overseeing the Company’s compensation policies, evaluating executive officer performance and reviewing and approving the compensation, if any, by the Company of its executive officers.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reviewing and approving the compensation, if any, by the Company for each of the Company’s executive officers, the Audit Committee will, among other things, consider corporate goals and objectives relevant to executive officer compensation, evaluate each executive officer’s performance in light of such goals and objectives, and set each executive officer’s compensation based on such evaluation and such other factors as the Audit Committee deems appropriate and in the best interests of the Company (including the cost to the Company of such compensation). Notwithstanding the foregoing, currently none of the Company’s executive officers are directly compensated by the Company. However, the Company reimburses its administrator for the allocable portion of overhead and other expenses incurred by the administrator in performing its obligations under an administration agreement, including an allocable share of the compensation of certain of the Company’s executive officers with finance and compliance responsibilities.</w:t>
      </w:r>
    </w:p>
    <w:p>
      <w:pPr>
        <w:pStyle w:val="TextBody"/>
        <w:bidi w:val="0"/>
        <w:spacing w:before="270" w:after="283"/>
        <w:jc w:val="left"/>
        <w:rPr>
          <w:rFonts w:ascii="Times New Roman" w:hAnsi="Times New Roman"/>
          <w:sz w:val="20"/>
        </w:rPr>
      </w:pPr>
      <w:r>
        <w:rPr>
          <w:rFonts w:ascii="Times New Roman" w:hAnsi="Times New Roman"/>
          <w:b/>
          <w:color w:val="000000"/>
          <w:sz w:val="20"/>
        </w:rPr>
        <w:t>Nominating Committee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The members of the Nominating Committee are Messrs. Anstiss, and Tune and Ms. Corley, each of whom is not an interested person and is otherwise independent for purposes of the 1940 Act and Nasdaq’s corporate governance regulations. Ms. Corley currently serves as chairman of the Nominating Committee. The Board of Directors has adopted a charter for the Nominating Committee, which is available on the Company’s website at </w:t>
      </w:r>
      <w:r>
        <w:rPr>
          <w:rFonts w:ascii="Times New Roman" w:hAnsi="Times New Roman"/>
          <w:i/>
          <w:color w:val="000000"/>
          <w:sz w:val="20"/>
        </w:rPr>
        <w:t>https://investor.fdus.com/corporate-governance.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Nominating Committee is responsible for selecting, researching and nominating directors for election by the Company’s stockholders, selecting nominees to fill vacancies on the Board of Directors or a committee of the Board of Directors, developing and recommending to the Board of Directors a set of corporate governance principles and overseeing the evaluation of the Board of Directors and its committees.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Nominating Committee identifies potential nominees based on suggestions from members of the Nominating Committee, other members of the Board of Directors, other executive officers and by other means, and evaluates such persons as a committee. The Nominating Committee will also consider nominees to the Board of Directors recommended by a stockholder, if such stockholder complies with the advance notice provisions of our bylaws. From time to time, the Board of Directors may determine that it requires a director with a particular expertise or qualification and will actively recruit such a candidate.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considering which persons to nominate as directors for election by stockholders, the Board of Directors and its Nominating Committee consider the experience, qualifications, attributes and skills of candidates, in light of the Company’s then existing business and structure. Additionally, the Nominating Committee generally will hire an outside firm to perform a background check on potential nominees. On an annual basis, the Nominating Committee evaluates the qualifications and diversity of the Board of Directors who are available for reelection in light of the characteristics of independence, age, skills, experience, availability of service to the Company and tenure of its members, and the Board of Directors’ anticipated needs. The Nominating Committee has adopted a policy that it will seek to enhance the perspectives and experiences of the members of the Board of Directors through diversity in gender, ethnic background, geographic origin and professional experience. The Nominating Committee recommends to the Board of Directors for its approval the slate of directors to be nominated for election at the annual meeting of the Company’s stockholders. The Board of Directors and its Nominating Committee periodically review board composition and the policies with respect thereto and as part of this review, the Nominating Committee evaluates the effectiveness of its policies, including the provisions with respect to diversity.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considering possible candidates for nomination as a director, the Nominating Committee takes into account, in addition to such other factors as it deems relevant, the desirability of selecting directors who have: </w:t>
      </w:r>
    </w:p>
    <w:tbl>
      <w:tblPr>
        <w:tblW w:w="6928" w:type="dxa"/>
        <w:jc w:val="left"/>
        <w:tblInd w:w="0" w:type="dxa"/>
        <w:tblLayout w:type="fixed"/>
        <w:tblCellMar>
          <w:top w:w="28" w:type="dxa"/>
          <w:left w:w="28" w:type="dxa"/>
          <w:bottom w:w="28" w:type="dxa"/>
          <w:right w:w="28" w:type="dxa"/>
        </w:tblCellMar>
      </w:tblPr>
      <w:tblGrid>
        <w:gridCol w:w="124"/>
        <w:gridCol w:w="109"/>
        <w:gridCol w:w="109"/>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2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strength of character;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2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mature judgment;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2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industry knowledge or experience; and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20"/>
              <w:jc w:val="left"/>
              <w:rPr>
                <w:rFonts w:ascii="sans-serif" w:hAnsi="sans-serif"/>
                <w:color w:val="000000"/>
                <w:sz w:val="20"/>
              </w:rPr>
            </w:pPr>
            <w:r>
              <w:rPr>
                <w:rFonts w:ascii="sans-serif" w:hAnsi="sans-serif"/>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an ability to work collegially with the other members of the Board of Directors.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Nominating Committee also considers all applicable legal and regulatory requirements that govern the composition of the Board of Directors.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All nominees properly submitted to the Company (or which the Nominating Committee otherwise elects to consider) will be evaluated and considered by the members of the Nominating Committee using the same criteria as nominees identified by the Nominating Committee itself. </w:t>
      </w:r>
    </w:p>
    <w:p>
      <w:pPr>
        <w:pStyle w:val="TextBody"/>
        <w:bidi w:val="0"/>
        <w:spacing w:before="270" w:after="283"/>
        <w:jc w:val="left"/>
        <w:rPr>
          <w:rFonts w:ascii="Times New Roman" w:hAnsi="Times New Roman"/>
          <w:sz w:val="20"/>
        </w:rPr>
      </w:pPr>
      <w:r>
        <w:rPr>
          <w:rFonts w:ascii="Times New Roman" w:hAnsi="Times New Roman"/>
          <w:b/>
          <w:color w:val="000000"/>
          <w:sz w:val="20"/>
        </w:rPr>
        <w:t>Communications Between Stockholders and the Board of Directors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Stockholders with questions about Fidus Investment Corporation are encouraged to contact Shelby E. Sherard at Fidus Investment Corporation, 1603 Orrington Avenue, Suite 1005, Evanston, Illinois 60201. In addition, if stockholders feel their questions have not been addressed, they may communicate with our Board of Directors by sending their communications to: Fidus Investment Corporation, Board of Directors, c/o Edward H. Ross at the address listed above. In addition, stockholders may communicate with the Board of Directors by clicking “Contact the Board” on the Investor Relations section of our website at the following URL: </w:t>
      </w:r>
      <w:r>
        <w:rPr>
          <w:rFonts w:ascii="Times New Roman" w:hAnsi="Times New Roman"/>
          <w:i/>
          <w:color w:val="000000"/>
          <w:sz w:val="20"/>
        </w:rPr>
        <w:t>https://investor.fdus.com/contact-board.</w:t>
      </w:r>
      <w:r>
        <w:rPr>
          <w:rFonts w:ascii="Times New Roman" w:hAnsi="Times New Roman"/>
          <w:color w:val="000000"/>
          <w:sz w:val="20"/>
        </w:rPr>
        <w:t xml:space="preserve"> Communications are distributed to the Board of Directors as appropriate, depending on the facts and circumstances outlined in the communication. In that regard, the Board of Directors has requested that certain items that are unrelated to the duties and responsibilities of the Board of Directors should be excluded, such as: product complaints, product inquiries, new product suggestions, resumes and other forms of job inquiries, surveys and business solicitations or advertisements. In addition, material that is unduly hostile, threatening, illegal or similarly unsuitable will be excluded, with the provision that any communication that is filtered out must be available to any non-management director upon request. </w:t>
      </w:r>
    </w:p>
    <w:p>
      <w:pPr>
        <w:pStyle w:val="TextBody"/>
        <w:bidi w:val="0"/>
        <w:spacing w:before="9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Executive Sessions and Communication with the Board of Directors</w:t>
      </w:r>
    </w:p>
    <w:p>
      <w:pPr>
        <w:pStyle w:val="TextBody"/>
        <w:bidi w:val="0"/>
        <w:jc w:val="left"/>
        <w:rPr>
          <w:rFonts w:ascii="Times New Roman" w:hAnsi="Times New Roman"/>
          <w:color w:val="000000"/>
          <w:sz w:val="20"/>
        </w:rPr>
      </w:pPr>
      <w:r>
        <w:rPr>
          <w:rFonts w:ascii="Times New Roman" w:hAnsi="Times New Roman"/>
          <w:color w:val="000000"/>
          <w:sz w:val="20"/>
        </w:rPr>
        <w:t>The independent directors serving on our Board of Directors intend to meet in executive sessions at the conclusion of each regularly scheduled meeting of the Board of Directors, and additionally as needed, without the presence of any directors or other persons who are part of the Company’s management. These executive sessions of our Board of Directors will be presided over by Mr. Anstiss or one of the other independent directors serving on the Board of Directors selected on an ad-hoc basis.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Code of Business Conduct and Corporate Governance Guidelines</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The Company has adopted a code of ethics (which we call our “Code of Business Conduct”) which all officers, directors and employees of the Company and its Investment Advisor are expected to observe. The Company intends to disclose any amendments to or waivers of required provisions of the Code of Business Conduct on the Company’s website. The Company also has adopted corporate governance guidelines (which we call our “Corporate Governance Guidelines”) which apply to our Board of Directors. The Company’s Code of Business Conduct and Corporate Governance Guidelines can be accessed via the Company’s website at </w:t>
      </w:r>
      <w:r>
        <w:rPr>
          <w:rFonts w:ascii="Times New Roman" w:hAnsi="Times New Roman"/>
          <w:i/>
          <w:color w:val="000000"/>
          <w:sz w:val="20"/>
        </w:rPr>
        <w:t>https://investor.fdus.com/corporate-governance</w:t>
      </w:r>
      <w:r>
        <w:rPr>
          <w:rFonts w:ascii="Times New Roman" w:hAnsi="Times New Roman"/>
          <w:color w:val="000000"/>
          <w:sz w:val="20"/>
        </w:rPr>
        <w:t xml:space="preserve">. We will also provide any person, without charge, upon request, a copy of our Code of Business Conduct or Corporate Governance Guidelines. To receive a copy of either or both documents, please provide a written request to: Fidus Investment Corporation, Attn: Shelby E. Sherard, Chief Compliance Officer, 1603 Orrington Avenue, Suite 1005, Evanston, Illinois 60201.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bookmarkStart w:id="21" w:name="insider_trading_arrangements_policies"/>
      <w:bookmarkEnd w:id="21"/>
      <w:r>
        <w:rPr>
          <w:rFonts w:ascii="Times New Roman" w:hAnsi="Times New Roman"/>
          <w:b/>
          <w:color w:val="000000"/>
          <w:sz w:val="20"/>
        </w:rPr>
        <w:t>INSIDER TRADING ARRANGEMENTS AND POLICIES</w:t>
      </w:r>
    </w:p>
    <w:p>
      <w:pPr>
        <w:pStyle w:val="TextBody"/>
        <w:bidi w:val="0"/>
        <w:jc w:val="left"/>
        <w:rPr>
          <w:rFonts w:ascii="Times New Roman" w:hAnsi="Times New Roman"/>
          <w:color w:val="000000"/>
          <w:sz w:val="20"/>
        </w:rPr>
      </w:pPr>
      <w:r>
        <w:rPr>
          <w:rFonts w:ascii="Times New Roman" w:hAnsi="Times New Roman"/>
          <w:color w:val="000000"/>
          <w:sz w:val="20"/>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bookmarkStart w:id="22" w:name="hedging_transactions"/>
      <w:bookmarkEnd w:id="22"/>
      <w:r>
        <w:rPr>
          <w:rFonts w:ascii="Times New Roman" w:hAnsi="Times New Roman"/>
          <w:b/>
          <w:color w:val="000000"/>
          <w:sz w:val="20"/>
        </w:rPr>
        <w:t>HEDGING TRANSACTIONS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Code of Business Conduct does not expressly prohibit directors, executive officers or employees of its affiliates from purchasing financial instruments (including prepaid variable forward contracts, equity swaps, collars, and exchange funds), or otherwise engage in transactions, that hedge or offset, or are designed to hedge or offset, any decrease in the market value of the Company’s common stock.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23" w:name="toc510126_9"/>
      <w:bookmarkEnd w:id="23"/>
      <w:r>
        <w:rPr/>
        <w:t> </w:t>
      </w:r>
    </w:p>
    <w:p>
      <w:pPr>
        <w:pStyle w:val="TextBody"/>
        <w:bidi w:val="0"/>
        <w:jc w:val="center"/>
        <w:rPr>
          <w:rFonts w:ascii="Times New Roman" w:hAnsi="Times New Roman"/>
          <w:sz w:val="20"/>
        </w:rPr>
      </w:pPr>
      <w:bookmarkStart w:id="24" w:name="compensation_discussion_analysis"/>
      <w:bookmarkEnd w:id="24"/>
      <w:r>
        <w:rPr>
          <w:rFonts w:ascii="Times New Roman" w:hAnsi="Times New Roman"/>
          <w:b/>
          <w:color w:val="000000"/>
          <w:sz w:val="20"/>
        </w:rPr>
        <w:t>COMPENSATION DISCUSSION AND ANALYSIS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executive officers do not receive any direct compensation from us. We do not currently have any employees and currently do not expect to have any employees. Services necessary for our business are provided by individuals who are employees or other affiliates of our Investment Advisor, pursuant to the terms of our Investment Advisory Agreement and our administration agreement. Each of our executive officers is an employee or other affiliate of our Investment Advisor. Our day-to-day investment operations are managed by our Investment Advisor. All of the services necessary for the origination and administration of our investment portfolio are provided by investment professionals employed by our Investment Advisor. In addition, we reimburse our Investment Advisor, as administrator, for its allocable portion of expenses incurred by it in performing its obligations under the administration agreement, including its allocable portion of the cost related to certain of our officers, including the Chief Financial Officer and Chief Compliance Officer, and their respective staffs, and for certain expenses under the administration agreement. </w:t>
      </w:r>
    </w:p>
    <w:p>
      <w:pPr>
        <w:pStyle w:val="TextBody"/>
        <w:bidi w:val="0"/>
        <w:spacing w:before="90" w:after="283"/>
        <w:jc w:val="left"/>
        <w:rPr>
          <w:rFonts w:ascii="Times New Roman" w:hAnsi="Times New Roman"/>
          <w:color w:val="000000"/>
          <w:sz w:val="20"/>
        </w:rPr>
      </w:pPr>
      <w:bookmarkStart w:id="25" w:name="toc510126_10"/>
      <w:bookmarkEnd w:id="25"/>
      <w:r>
        <w:rPr>
          <w:rFonts w:ascii="Times New Roman" w:hAnsi="Times New Roman"/>
          <w:color w:val="000000"/>
          <w:sz w:val="20"/>
        </w:rPr>
        <w:t xml:space="preserve">Under the Investment Advisory Agreement, our Investment Advisor earned and was paid approximately $39.2 million in fees for the year ended December 31, 2025, consisting of a base management fee, net of base management fee waiver of $20.7 million and an income incentive fee of $18.5 million. For the year ended December 31, 2025, we accrued/(reversed) $1.7 million of capital gains incentive fees in accordance with generally accepted accounting principles. For the year ended December 31, 2025, none of the capital gains fee accrued was payable in cash to our Investment Advisor. During 2025, our Investment Advisor incurred approximately $2.7 million of allocable expenses that are payable by the Company under the administration agreement. </w:t>
      </w:r>
    </w:p>
    <w:p>
      <w:pPr>
        <w:pStyle w:val="TextBody"/>
        <w:bidi w:val="0"/>
        <w:spacing w:before="9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26" w:name="director_compensation_table"/>
      <w:bookmarkEnd w:id="26"/>
      <w:r>
        <w:rPr>
          <w:rFonts w:ascii="Times New Roman" w:hAnsi="Times New Roman"/>
          <w:b/>
          <w:color w:val="000000"/>
          <w:sz w:val="20"/>
        </w:rPr>
        <w:t>2025 DIRECTOR COMPENSATION TABLE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shows information regarding the compensation received by the Company’s directors, none of whom is an employee of the Company, for the fiscal year ended December 31, 2025. </w:t>
      </w:r>
    </w:p>
    <w:p>
      <w:pPr>
        <w:pStyle w:val="TextBody"/>
        <w:bidi w:val="0"/>
        <w:spacing w:before="180" w:after="283"/>
        <w:jc w:val="left"/>
        <w:rPr/>
      </w:pPr>
      <w:r>
        <w:rPr/>
        <w:t> </w:t>
      </w:r>
    </w:p>
    <w:tbl>
      <w:tblPr>
        <w:tblW w:w="5743" w:type="dxa"/>
        <w:jc w:val="left"/>
        <w:tblInd w:w="0" w:type="dxa"/>
        <w:tblLayout w:type="fixed"/>
        <w:tblCellMar>
          <w:top w:w="28" w:type="dxa"/>
          <w:left w:w="28" w:type="dxa"/>
          <w:bottom w:w="28" w:type="dxa"/>
          <w:right w:w="28" w:type="dxa"/>
        </w:tblCellMar>
      </w:tblPr>
      <w:tblGrid>
        <w:gridCol w:w="2476"/>
        <w:gridCol w:w="146"/>
        <w:gridCol w:w="146"/>
        <w:gridCol w:w="280"/>
        <w:gridCol w:w="1100"/>
        <w:gridCol w:w="146"/>
        <w:gridCol w:w="146"/>
        <w:gridCol w:w="226"/>
        <w:gridCol w:w="88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Fees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or 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 xml:space="preserve">Cash </w:t>
            </w:r>
            <w:r>
              <w:rPr>
                <w:rFonts w:ascii="Times New Roman" w:hAnsi="Times New Roman"/>
                <w:b/>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Independent Directors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Raymond L. Anstiss,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Kelly McNamara Corley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Edward X. Tune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Interested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Edward H. Ross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None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None</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Thomas C. Lauer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None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tbl>
      <w:tblPr>
        <w:tblW w:w="6347" w:type="dxa"/>
        <w:jc w:val="left"/>
        <w:tblInd w:w="0" w:type="dxa"/>
        <w:tblLayout w:type="fixed"/>
        <w:tblCellMar>
          <w:top w:w="28" w:type="dxa"/>
          <w:left w:w="28" w:type="dxa"/>
          <w:bottom w:w="28" w:type="dxa"/>
          <w:right w:w="28" w:type="dxa"/>
        </w:tblCellMar>
      </w:tblPr>
      <w:tblGrid>
        <w:gridCol w:w="346"/>
        <w:gridCol w:w="6001"/>
      </w:tblGrid>
      <w:tr>
        <w:trPr/>
        <w:tc>
          <w:tcPr>
            <w:tcW w:w="3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a discussion of the independent directors’ compensation, see below.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as of January 1, 2025, each independent director receives an annual fee of $105,000 for serving on the Board. In addition, the chairperson of the Audit Committee receives an additional annual fee of $10,000 and the chairperson of the Nominating Committee receives an additional annual fee of $5,000 for his or her additional services in these capacities. The Company also reimburse each of the independent directors for all reasonable and authorized business expenses incurred in connection with each meeting attended.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No compensation is paid by the Company to interested directors. No information has been provided with respect to executive officers of the Company who are not directors since its executive officers do not receive any direct compensation from the Company.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toc510126_11"/>
      <w:bookmarkStart w:id="28" w:name="certain_relationship_related_transaction"/>
      <w:bookmarkEnd w:id="27"/>
      <w:bookmarkEnd w:id="28"/>
      <w:r>
        <w:rPr>
          <w:rFonts w:ascii="Times New Roman" w:hAnsi="Times New Roman"/>
          <w:b/>
          <w:color w:val="000000"/>
          <w:sz w:val="20"/>
        </w:rPr>
        <w:t>CERTAIN RELATIONSHIPS AND RELATED TRANSACTIONS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Related Party Transactions Policy and Procedure</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Company has procedures in place for the review, approval and monitoring of transactions involving the Company and certain related persons of the Company. The Company has a written Code of Business Conduct that generally prohibits any officer, director and employee of the Company and employees of its Investment Advisor from engaging in any transaction where there is a conflict between such individual’s personal interest and the interests of the Company. Certain actions or relationships that might give rise to a conflict of interest are reviewed and approved by the Board of Directors. Waivers to the Code of Business Conduct for directors and executive officers can be obtained from the Board of Directors under certain circumstances and will be publicly disclosed as required by applicable law and regulations. In addition, the Audit Committee reviews and preapproves all related-party transactions (as defined in Item 404 of Regulation S-K).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Moreover, our Investment Advisor has enacted a conflict-resolution policy that addresses the co-investment restrictions set forth under the 1940 Act and the allocation of investment opportunities. The 1940 Act generally prohibits us from making certain negotiated co-investments with affiliates unless we first obtain an order from the SEC permitting us to do so. Where co-investments can be made, or where an investment opportunity becomes available to one investment vehicle managed by our Investment Advisor, then an equitable allocation must be made with respect to the investment.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also obtained exemptive relief that permits the Company and any wholly-owned subsidiary that is licensed by the U.S. Small Business Administration (the “SBA”) as a small business investment company (an “SBIC”) to operate effectively as one company, specifically allowing them to: (1) engage in certain transactions with each other; (2) invest in securities in which the other is or proposes to be an investor; (3) file consolidated reports with the Commission; and (4) exclude the senior securities issued by any SBIC subsidiary of the Company, including Fidus Mezzanine Capital III, L.P. and Fidus Mezzanine Capital IV, L.P. (collectively, the “SBIC Funds”) from the definition of senior securities in the 150% asset coverage requirement applicable to the Company under the 1940 Act.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we invest alongside other accounts managed by our Investment Advisor, our Investment Advisor will seek to ensure the equitable allocation of investment opportunities between us and the other relevant accounts. If we invest alongside such other accounts as permitted by the 1940 Act and related rules, such investments will be made consistent with our Investment Advisor’s allocation policy. Under this allocation policy, a fixed percentage of each opportunity, which may vary based on asset class and from time to time, will be offered to us and similar eligible accounts, as periodically determined by our Investment Advisor and approved by our Board of Directors, including our independent directors. The allocation policy provides that allocations among us and other accounts will generally be made pro rata based on each account’s capital available for investment, as determined, in our case, by our Board of Directors, including our independent directors. It is our policy to make our determinations as to the amount of capital available for investment based on such factors as the amount of cash on hand, existing commitments and reserves, if any, the targeted leverage level, the targeted asset mix and diversification requirements and other investment policies and restrictions set by our Board of Directors, or imposed by applicable laws, rules, regulations or interpretations. We expect that these determinations will be made similarly for other accounts. The SEC granted us an exemptive order that permits us to participate in certain negotiated co-investment transactions with our affiliates that would otherwise be prohibited by the 1940 Act, subject to compliance with certain conditions under the exemptive order (the “Order”). Pursuant to the Order, we are permitted to co-invest with our affiliates if a “required majority” (as defined in Section 57(o) of the 1940 Act) of our independent directors make certain conclusions in connection with a co-investment transaction, including, but not limited to, that (1) the terms of the transactions, including the consideration to be paid, are reasonable and fair to us and our stockholders and do not involve overreaching by us or our stockholders on the part of any person concerned, and (2) the potential co-investment transaction is consistent with our then-current investment objective and strategies. We intend to co-invest, subject to the conditions included in the Order. However, we nor our affiliated funds are obligated to invest or co-invest when investment opportunities are referred to us or them.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situations where co-investment with other entities managed by our Investment Advisor is not permitted or appropriate, such as when there is an opportunity to invest in different securities of the same issuer, our Investment Advisor will need to decide whether we or such other entity or entities will proceed with the investment. Our Investment Advisor will make these determinations based on our allocation policy that generally requires that such opportunities be offered to eligible accounts on a basis that will be fair and equitable over time, including, for example, through random or rotational methods.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certain members of our Investment Advisor and its investment committees are also members of Fidus Partners, LLC (“Partners”), an investment banking firm. Partners may in the future serve as an advisor to our portfolio companies and we may invest in companies that Partners is advising. Partners may receive fees in connection with these advisory services, subject to regulatory restrictions imposed by the 1940 Act.</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Fidus Group Holdings, LLC (“Holdings”), a limited liability company organized under the laws of Delaware, is the parent company of the Investment Advisors. Edward H. Ross, our Chairman and Chief Executive Officer, and Thomas C. Lauer, our President, are managers of Holdings. </w:t>
      </w:r>
    </w:p>
    <w:p>
      <w:pPr>
        <w:pStyle w:val="TextBody"/>
        <w:bidi w:val="0"/>
        <w:spacing w:before="180" w:after="283"/>
        <w:jc w:val="left"/>
        <w:rPr>
          <w:rFonts w:ascii="Times New Roman" w:hAnsi="Times New Roman"/>
          <w:sz w:val="20"/>
        </w:rPr>
      </w:pPr>
      <w:r>
        <w:rPr>
          <w:rFonts w:ascii="Times New Roman" w:hAnsi="Times New Roman"/>
          <w:b/>
          <w:color w:val="000000"/>
          <w:sz w:val="20"/>
        </w:rPr>
        <w:t>Certain Transactions With or Involving Related Persons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Times New Roman" w:hAnsi="Times New Roman"/>
          <w:b/>
          <w:i/>
          <w:color w:val="000000"/>
          <w:sz w:val="20"/>
        </w:rPr>
        <w:t>Investment Advisory Agreement</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Under the Investment Advisory Agreement with our Investment Advisor, we pay our Investment Advisor a management fee and incentive fee that consists of an income incentive fee and a capital gains incentive fee. The incentive fee is computed and paid on income that we may not have yet received in cash. This fee structure may create an incentive for our Investment Advisor to invest in certain types of securities that may have a high degree of risk. Additionally, we rely on investment professionals from our Investment Advisor to assist our Board of Directors with the valuation of our portfolio investments. Our Investment Advisor’s management fee and incentive fee are based on the value of our investments and there may be a conflict of interest when personnel of our Investment Advisor are involved in the valuation process for our portfolio investments. The base management fee, net of the base management fee waiver, under the Investment Advisory Agreement for the year ended December 31, 2025 totaled $20.7 million. The income incentive fee expense for the year ended December 31, 2025 totaled $18.5 million. For the year ended December 31, 2025, we accrued/(reversed) $1.7 million of capital gains incentive fees in accordance with generally accepted accounting principles. For the year ended December 31, 2025, none of the capital gains fee accrued is payable in cash to our Investment Advisor.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Mr. E. Ross is the chairman of the Board of Directors of the Company and Fund I and the chairman of our Investment Advisor’s investment committees. Moreover, Mr. E. Ross is the Chief Executive Officer of our Investment Advisor. The board of managers of our Investment Advisor, the manager of Fidus Investment GP, LLC, the general partner of the SBIC Funds, currently controls the SBIC Funds. The following people are members of the board of managers of our Investment Advisor: Messrs. E. Ross, Lauer, J. Ross, John H. Grigg and Andrew W. Worth. Officers and members of the board of managers of our Investment Advisor receive a benefit from the fees paid to our Investment Advisor pursuant to the Investment Advisory Agreement. Our Board of Directors, which consists of a majority of non-interested directors, has approved the Investment Advisory Agreement, including the fees paid pursuant to the Investment Advisory Agreement. </w:t>
      </w:r>
    </w:p>
    <w:p>
      <w:pPr>
        <w:pStyle w:val="TextBody"/>
        <w:bidi w:val="0"/>
        <w:spacing w:before="90" w:after="283"/>
        <w:jc w:val="left"/>
        <w:rPr>
          <w:rFonts w:ascii="Times New Roman" w:hAnsi="Times New Roman"/>
          <w:sz w:val="20"/>
        </w:rPr>
      </w:pPr>
      <w:r>
        <w:rPr>
          <w:rFonts w:ascii="Times New Roman" w:hAnsi="Times New Roman"/>
          <w:b/>
          <w:i/>
          <w:color w:val="000000"/>
          <w:sz w:val="20"/>
        </w:rPr>
        <w:t>Administration Agreement</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Pursuant to the administration agreement, our Investment Advisor furnishes us with office facilities and equipment, provides clerical, bookkeeping and record keeping services at such facilities and provides the Company with other administrative services necessary to conduct day-to-day operations.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Payments under the administration agreement are equal to an amount based upon our allocable portion of our Investment Advisor’s overhead in performing its obligations under the administration agreement, including rent and our allocable portion of the cost related to certain of our officers, including our Chief Financial Officer and Chief Compliance Officer and their respective staffs. In addition, the Company reimburses the Investment Advisor for fees and expenses incurred while performing due diligence on our prospective portfolio companies including “dead deal” expenses. Under the administration agreement, administrative expenses for services provided for the year ended December 31, 2025 totaled $2.7 million. </w:t>
      </w:r>
    </w:p>
    <w:p>
      <w:pPr>
        <w:pStyle w:val="TextBody"/>
        <w:bidi w:val="0"/>
        <w:jc w:val="left"/>
        <w:rPr>
          <w:rFonts w:ascii="Times New Roman" w:hAnsi="Times New Roman"/>
          <w:sz w:val="20"/>
        </w:rPr>
      </w:pPr>
      <w:r>
        <w:rPr>
          <w:rFonts w:ascii="Times New Roman" w:hAnsi="Times New Roman"/>
          <w:b/>
          <w:color w:val="000000"/>
          <w:sz w:val="20"/>
        </w:rPr>
        <w:t>Investment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Investment Advisor has formed an investment committee to evaluate and approve all of our investments and those made by the SBIC Funds. The investment committee process is intended to bring the diverse experience and perspectives of the investment committee’s members to the analysis and consideration of each investment. The investment committee also serves to provide investment consistency and adherence to our Investment Advisor’s core investment philosophy and policies. The investment committee meets regularly to consider our investments, direct our strategic initiatives and supervise the actions taken by our Investment Advisor on our behalf. The investment committee determines appropriate investment sizing and suggest ongoing monitoring requirements. In addition, the investment committee reviews and determines whether to make prospective investments identified by our Investment Advisor and monitors the performance of our investment portfolio.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bookmarkStart w:id="29" w:name="ole_link3"/>
      <w:bookmarkEnd w:id="29"/>
      <w:r>
        <w:rPr>
          <w:rFonts w:ascii="Times New Roman" w:hAnsi="Times New Roman"/>
          <w:color w:val="000000"/>
          <w:sz w:val="20"/>
        </w:rPr>
        <w:t xml:space="preserve">The members of the investment committee that evaluate and approve all of our investments are Edward H. Ross, Thomas C. Lauer, John H. Grigg, Robert G. Lesley, Jr., Michael J. Miller, John J. Ross, II, and W. Andrew Worth.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Information regarding members of the investment committee is as follows: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John H. Grigg</w:t>
      </w:r>
      <w:r>
        <w:rPr>
          <w:rFonts w:ascii="Times New Roman" w:hAnsi="Times New Roman"/>
          <w:color w:val="000000"/>
          <w:sz w:val="20"/>
        </w:rPr>
        <w:t xml:space="preserve"> has served as a member of our Investment Advisor’s investment committee since our initial public offering in June 2011 and as a senior origination professional of our Investment Advisor since June 2011. Mr. Grigg has over 35 years of experience advising clients on mergers and acquisitions. From February 2007 to June 2011, Mr. Grigg served as a member of the investment committee of Fidus Mezzanine Capital GP, LLC, the Fund’s former general partner. In 2004, Mr. Grigg co-founded Fidus Partners, LLC, an investment banking firm. Prior to co-founding Fidus Partners, LLC, Mr. Grigg served as managing director and partner at First Union Securities, Inc. and its predecessor, Bowles Hollowell Conner &amp; Co., from 1989 to 2000. Prior to joining Bowles Hollowell Conner &amp; Co., Mr. Grigg worked in the investment banking group of Merrill Lynch &amp; Co. Mr. Grigg earned a bachelor of arts from the University of North Carolina and a master of business administration from the University of Virginia’s Darden School of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Robert G. Lesley</w:t>
      </w:r>
      <w:r>
        <w:rPr>
          <w:rFonts w:ascii="Times New Roman" w:hAnsi="Times New Roman"/>
          <w:color w:val="000000"/>
          <w:sz w:val="20"/>
        </w:rPr>
        <w:t xml:space="preserve"> has served as a member of the investment committee since January 2015. Prior to joining Fidus Investment Advisors, LLC in 2013, Mr. Lesley was a partner at Chapter IV Investors, a middle-market hybrid investment firm with approximately a $270 million fund. Chapter IV’s flexible investment charter allowed for investment in both the private (control and minority equity) and public markets. From 2003 to 2007, Mr. Lesley was a vice president with Blue Point Capital Partners, a private equity firm focused on lower middle-market companies. From 2000 to 2003, Robert was an associate in the Mergers &amp; Acquisitions Group of Wachovia Securities and its predecessor, First Union Securities, Inc. Mr. Lesley earned a bachelor of arts in economics from the University of North Carolina at Chapel Hill and a masters of business administration from the Kellogg Graduate School of Management at Northwestern University.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Michael J. Miller </w:t>
      </w:r>
      <w:r>
        <w:rPr>
          <w:rFonts w:ascii="Times New Roman" w:hAnsi="Times New Roman"/>
          <w:color w:val="000000"/>
          <w:sz w:val="20"/>
        </w:rPr>
        <w:t>has served as a senior origination professional of our investment advisor since June 2011. Mr. Miller has over 35 years of leveraged finance and corporate lending and origination experience. In 2010, Mr. Miller joined Fidus Capital, LLC, the predecessor firm to our investment advisor, as a senior investment professional and joined Fidus Partners, LLC, an investment banking firm. Prior to joining Fidus Capital and Fidus Partners, Mr. Miller served in various capacities, including managing director and head of business development, at Allied Capital Corporation from 2005 until 2010. Prior to joining Allied Capital Corporation, Mr. Miller spent more than 16 years with JPMorgan Chase and its predecessors where he worked in their middle-market leveraged finance, asset based and corporate lending groups. Mr. Miller earned his bachelor of science in industrial and labor relations from Cornell University and his master of business administration from The Stern School at New York University.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John J. Ross, II</w:t>
      </w:r>
      <w:r>
        <w:rPr>
          <w:rFonts w:ascii="Times New Roman" w:hAnsi="Times New Roman"/>
          <w:color w:val="000000"/>
          <w:sz w:val="20"/>
        </w:rPr>
        <w:t xml:space="preserve"> has served as a member of our Investment Advisor’s investment committee since our initial public offering in June 2011. Additionally, Mr. Ross has served as a manager of our Investment Advisor since June 2011. Mr. Ross has over 30 years of experience advising clients on mergers and acquisitions. From February 2007 to June 2011, Mr. Ross served as a member of the investment committee of Fidus Mezzanine Capital GP, LLC, the Fund’s former general partner. In 2004, Mr. Ross co-founded Fidus Partners, LLC, an investment banking firm. Prior to co-founding Fidus Partners, LLC, Mr. Ross served as a managing director at Wachovia Securities and its predecessors, First Union Securities, Inc. and Bowles Hollowell Conner &amp; Co, from 1999 to 2002. Mr. Ross earned a bachelor of science from Southern Methodist University and a master of business administration from the Harvard Business School. Mr. Ross is the brother of Edward H. Ross, our chairman of the board and chief executive officer, and chairman of the investment committee.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W. Andrew Worth</w:t>
      </w:r>
      <w:r>
        <w:rPr>
          <w:rFonts w:ascii="Times New Roman" w:hAnsi="Times New Roman"/>
          <w:color w:val="000000"/>
          <w:sz w:val="20"/>
        </w:rPr>
        <w:t xml:space="preserve"> has served as a member of our Investment Advisor’s investment committee since our initial public offering in June 2011. Additionally, Mr. Worth has served as a manager of our Investment Advisor since June 2011. Mr. Worth has over 25 years of experience investing in debt and equity securities of lower middle-market companies. In 2008, Mr. Worth joined Fidus Capital, LLC, the predecessor firm to our investment advisor. Prior to joining Fidus Capital, LLC in 2008, Mr. Worth served as a principal with Allied Capital Corporation from 2002 to 2008, where he was responsible for all aspects of the investment process including origination, execution and portfolio management. From 1996 to 2002, Mr. Worth was an associate in Credit Suisse First Boston’s Global Industrials and Services investment banking practice and an analyst in the Leveraged Finance Group of First Union Securities, Inc. Mr. Worth earned a bachelor of arts from the University of North Carolina at Chapel Hill and a master of business administration from the University of Chicago Graduate School of Business.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Portfolio Management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bookmarkStart w:id="30" w:name="toc510126_12"/>
      <w:bookmarkEnd w:id="30"/>
      <w:r>
        <w:rPr>
          <w:rFonts w:ascii="Times New Roman" w:hAnsi="Times New Roman"/>
          <w:color w:val="000000"/>
          <w:sz w:val="20"/>
        </w:rPr>
        <w:t xml:space="preserve">We will only invest in an opportunity with the approval of at least four of the members of the investment committee responsible for advising the Company and the SBIC Funds. Generally, an investment opportunity will receive the unanimous approval of the respective investment committee. Follow-on investments in existing portfolio companies require the relevant investment committee’s approval in addition to what was obtained when the initial investment in the company was made. In addition, temporary investments, such as those in cash equivalents, U.S. government securities and other high quality debt investments that mature in one year or less, may require approval by the relevant investment committee. The day-to-day management of investments approved by the investment committee will be overseen by the members of the relevant investment committee. Biographical information with respect to the members of the investment committee is set out under “—Investment Committee.”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security_ownership_of_mgmt"/>
      <w:bookmarkEnd w:id="31"/>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bookmarkStart w:id="32" w:name="ole_link5"/>
      <w:bookmarkEnd w:id="32"/>
      <w:r>
        <w:rPr>
          <w:rFonts w:ascii="Times New Roman" w:hAnsi="Times New Roman"/>
          <w:color w:val="000000"/>
          <w:sz w:val="20"/>
        </w:rPr>
        <w:t xml:space="preserve">The following table sets forth information with respect to the beneficial ownership of our common stock as of March 19, 2026, the record date, by each of our executive officers and independent directors and all of our directors and executive officers as a group. As of March 19, 2026, we are not aware of any five percent beneficial owners of our common stock.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Beneficial ownership is determined in accordance with the rules of the SEC and includes voting or investment power with respect to the securities. There is no common stock subject to options or warrants that are currently exercisable or exercisable within 60 days of March 19, 2026. Percentage of beneficial ownership is based on [●] shares of common stock outstanding as of March 19, 2026. Unless otherwise stated, the business address of each person below is 1603 Orrington Avenue, Suite 1005, Evanston, Illinois 60201. Except as otherwise described in the notes below, the following beneficial owners have sole voting power and sole investment power with respect to all shares of common stock set forth opposite their respective names. </w:t>
      </w:r>
    </w:p>
    <w:p>
      <w:pPr>
        <w:pStyle w:val="TextBody"/>
        <w:bidi w:val="0"/>
        <w:spacing w:before="180" w:after="283"/>
        <w:jc w:val="left"/>
        <w:rPr/>
      </w:pPr>
      <w:r>
        <w:rPr/>
        <w:t> </w:t>
      </w:r>
    </w:p>
    <w:tbl>
      <w:tblPr>
        <w:tblW w:w="8677" w:type="dxa"/>
        <w:jc w:val="left"/>
        <w:tblInd w:w="0" w:type="dxa"/>
        <w:tblLayout w:type="fixed"/>
        <w:tblCellMar>
          <w:top w:w="28" w:type="dxa"/>
          <w:left w:w="28" w:type="dxa"/>
          <w:bottom w:w="28" w:type="dxa"/>
          <w:right w:w="28" w:type="dxa"/>
        </w:tblCellMar>
      </w:tblPr>
      <w:tblGrid>
        <w:gridCol w:w="3946"/>
        <w:gridCol w:w="146"/>
        <w:gridCol w:w="1126"/>
        <w:gridCol w:w="146"/>
        <w:gridCol w:w="1051"/>
        <w:gridCol w:w="146"/>
        <w:gridCol w:w="211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 Range of Equity</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Beneficially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Securities Beneficially</w:t>
            </w:r>
          </w:p>
        </w:tc>
      </w:tr>
      <w:tr>
        <w:trPr/>
        <w:tc>
          <w:tcPr>
            <w:tcW w:w="3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Owned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Owned</w:t>
            </w:r>
            <w:r>
              <w:rPr>
                <w:rFonts w:ascii="Times New Roman" w:hAnsi="Times New Roman"/>
                <w:b/>
                <w:color w:val="000000"/>
                <w:sz w:val="13"/>
              </w:rPr>
              <w:t>(2)(3)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Interested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 Lauer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Independent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L. Anstiss, Jr.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Kelly McNamara Corley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X. Tune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Officers Who Are Not Directors: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9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1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Directors and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0" w:after="2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Represents less than 1.0%.</w:t>
      </w:r>
    </w:p>
    <w:p>
      <w:pPr>
        <w:pStyle w:val="TextBody"/>
        <w:bidi w:val="0"/>
        <w:jc w:val="left"/>
        <w:rPr>
          <w:rFonts w:ascii="Times New Roman" w:hAnsi="Times New Roman"/>
          <w:color w:val="000000"/>
          <w:sz w:val="20"/>
        </w:rPr>
      </w:pPr>
      <w:r>
        <w:rPr>
          <w:rFonts w:ascii="Times New Roman" w:hAnsi="Times New Roman"/>
          <w:color w:val="000000"/>
          <w:sz w:val="20"/>
        </w:rPr>
        <w:t>(1) Beneficial ownership has been determined in accordance with Rule 13d-3 of the Exchange Act.</w:t>
      </w:r>
    </w:p>
    <w:p>
      <w:pPr>
        <w:pStyle w:val="TextBody"/>
        <w:bidi w:val="0"/>
        <w:jc w:val="left"/>
        <w:rPr>
          <w:rFonts w:ascii="Times New Roman" w:hAnsi="Times New Roman"/>
          <w:color w:val="000000"/>
          <w:sz w:val="20"/>
        </w:rPr>
      </w:pPr>
      <w:r>
        <w:rPr>
          <w:rFonts w:ascii="Times New Roman" w:hAnsi="Times New Roman"/>
          <w:color w:val="000000"/>
          <w:sz w:val="20"/>
        </w:rPr>
        <w:t>(2) Beneficial ownership has been determined in accordance with Rule 16a-1(a)(2) of the Exchange Act.</w:t>
      </w:r>
    </w:p>
    <w:p>
      <w:pPr>
        <w:pStyle w:val="TextBody"/>
        <w:bidi w:val="0"/>
        <w:jc w:val="left"/>
        <w:rPr>
          <w:rFonts w:ascii="Times New Roman" w:hAnsi="Times New Roman"/>
          <w:color w:val="000000"/>
          <w:sz w:val="20"/>
        </w:rPr>
      </w:pPr>
      <w:r>
        <w:rPr>
          <w:rFonts w:ascii="Times New Roman" w:hAnsi="Times New Roman"/>
          <w:color w:val="000000"/>
          <w:sz w:val="20"/>
        </w:rPr>
        <w:t>(3) Dollar ranges are as follows: None, $1-$10,000, $10,001-$50,000, $50,001-$100,000, $100,001 - $500,000; $500,001 - $1,000,000 or Over $1,000,000. The dollar range of equity securities beneficially owned by our directors is based on a stock price of $[●] per share as of March 19,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bookmarkStart w:id="33" w:name="toc510126_13"/>
      <w:bookmarkEnd w:id="33"/>
      <w:r>
        <w:rPr>
          <w:rFonts w:ascii="Times New Roman" w:hAnsi="Times New Roman"/>
          <w:color w:val="000000"/>
          <w:sz w:val="20"/>
        </w:rPr>
        <w:t>Each of our Investment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March 19, 2026:</w:t>
      </w:r>
    </w:p>
    <w:tbl>
      <w:tblPr>
        <w:tblW w:w="10205" w:type="dxa"/>
        <w:jc w:val="left"/>
        <w:tblInd w:w="0" w:type="dxa"/>
        <w:tblLayout w:type="fixed"/>
        <w:tblCellMar>
          <w:top w:w="28" w:type="dxa"/>
          <w:left w:w="28" w:type="dxa"/>
          <w:bottom w:w="28" w:type="dxa"/>
          <w:right w:w="28" w:type="dxa"/>
        </w:tblCellMar>
      </w:tblPr>
      <w:tblGrid>
        <w:gridCol w:w="4420"/>
        <w:gridCol w:w="146"/>
        <w:gridCol w:w="146"/>
        <w:gridCol w:w="146"/>
        <w:gridCol w:w="146"/>
        <w:gridCol w:w="146"/>
        <w:gridCol w:w="5055"/>
      </w:tblGrid>
      <w:tr>
        <w:trPr/>
        <w:tc>
          <w:tcPr>
            <w:tcW w:w="4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5" w:type="dxa"/>
            <w:tcBorders/>
            <w:vAlign w:val="center"/>
          </w:tcPr>
          <w:p>
            <w:pPr>
              <w:pStyle w:val="TableContents"/>
              <w:bidi w:val="0"/>
              <w:spacing w:before="0" w:after="283"/>
              <w:jc w:val="left"/>
              <w:rPr>
                <w:sz w:val="4"/>
                <w:szCs w:val="4"/>
              </w:rPr>
            </w:pPr>
            <w:r>
              <w:rPr>
                <w:sz w:val="4"/>
                <w:szCs w:val="4"/>
              </w:rPr>
            </w:r>
          </w:p>
        </w:tc>
      </w:tr>
      <w:tr>
        <w:trPr/>
        <w:tc>
          <w:tcPr>
            <w:tcW w:w="4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Members of our Investment Advisor’s Investment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Dollar Range of Equity Securities in Fidus Investment Corporation </w:t>
            </w:r>
            <w:r>
              <w:rPr>
                <w:rFonts w:ascii="Times New Roman" w:hAnsi="Times New Roman"/>
                <w:b/>
                <w:color w:val="000000"/>
                <w:sz w:val="13"/>
              </w:rPr>
              <w:t>(1)</w:t>
            </w:r>
          </w:p>
        </w:tc>
      </w:tr>
      <w:tr>
        <w:trP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4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J. Ross, II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05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 Lauer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4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 Andrew Worth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05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Miller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4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H. Grigg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05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Lesley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
        <w:gridCol w:w="9896"/>
      </w:tblGrid>
      <w:tr>
        <w:trPr/>
        <w:tc>
          <w:tcPr>
            <w:tcW w:w="309" w:type="dxa"/>
            <w:tcBorders/>
            <w:vAlign w:val="center"/>
          </w:tcPr>
          <w:p>
            <w:pPr>
              <w:pStyle w:val="TableContents"/>
              <w:bidi w:val="0"/>
              <w:spacing w:before="0" w:after="283"/>
              <w:jc w:val="left"/>
              <w:rPr>
                <w:sz w:val="4"/>
                <w:szCs w:val="4"/>
              </w:rPr>
            </w:pPr>
            <w:r>
              <w:rPr>
                <w:sz w:val="4"/>
                <w:szCs w:val="4"/>
              </w:rPr>
            </w:r>
          </w:p>
        </w:tc>
        <w:tc>
          <w:tcPr>
            <w:tcW w:w="9896" w:type="dxa"/>
            <w:tcBorders/>
            <w:vAlign w:val="center"/>
          </w:tcPr>
          <w:p>
            <w:pPr>
              <w:pStyle w:val="TableContents"/>
              <w:bidi w:val="0"/>
              <w:spacing w:before="0" w:after="283"/>
              <w:jc w:val="left"/>
              <w:rPr>
                <w:sz w:val="4"/>
                <w:szCs w:val="4"/>
              </w:rPr>
            </w:pPr>
            <w:r>
              <w:rPr>
                <w:sz w:val="4"/>
                <w:szCs w:val="4"/>
              </w:rPr>
            </w:r>
          </w:p>
        </w:tc>
      </w:tr>
      <w:tr>
        <w:trPr/>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 ranges are as follows: None, $1-$10,000, $10,001-$50,000, $50,001-$100,000, $100,001 - $500,000; $500,001 - $1,000,000 or Over $1,000,000. The dollar range of equity securities beneficially owned by our directors is based on a stock price of $[●] per share as of March 19, 2026.</w:t>
            </w:r>
          </w:p>
        </w:tc>
      </w:tr>
    </w:tbl>
    <w:p>
      <w:pPr>
        <w:pStyle w:val="TextBody"/>
        <w:bidi w:val="0"/>
        <w:jc w:val="center"/>
        <w:rPr/>
      </w:pPr>
      <w:bookmarkStart w:id="34" w:name="toc510126_14"/>
      <w:bookmarkEnd w:id="34"/>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proposal_number_2"/>
      <w:bookmarkEnd w:id="35"/>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APPROVAL TO SELL OR OTHERWISE ISSUE SHARES OF COMMON STOCK BELOW NET ASSET VALUE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is a closed-end investment company that has elected to be treated as a BDC under the 1940 Act. The 1940 Act prohibits the Company from selling shares of its common stock at a price below the Company’s then current NAV per share, with certain exceptions. One such exception would permit the Company to sell shares of its common stock during the next year at a price below the Company’s then current NAV per share if its stockholders approve such a sale and the Company’s directors make certain determinations. Pursuant to this provision, the Company is seeking the approval of its common stockholders so that it may, in one or more public or private offerings of its common stock, sell shares of its common stock at a price below its then current NAV per share, subject to certain conditions discussed below. If approved, the authorization would be effective for a period expiring on the earlier of the one year anniversary of the date of this Annual Meeting or the date of the Company’s 2027 Annual Meeting of Stockholders.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Generally, equity securities sold in public securities offerings are priced based on public market prices quoted on exchanges such as Nasdaq, rather than NAV, or book value, per share. Since the Company’s initial public offering, at times the Company’s common stock has traded above its NAV per share, and at times the Company’s common stock has traded below its NAV per share. Similar to last year, the Company is again seeking the approval of a majority of its common stockholders to authorize the Company, pursuant to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Selling or otherwise issuing shares of the Company’s common stock below its then current NAV per share would result in a dilution of the Company’s existing common stockholders. It should be noted that the maximum number of shares issuable below NAV pursuant to this authority that could result in such dilution is limited to 25% of the Company’s then outstanding common stock immediately prior to each such sale. </w:t>
      </w:r>
      <w:r>
        <w:rPr>
          <w:rFonts w:ascii="Times New Roman" w:hAnsi="Times New Roman"/>
          <w:b/>
          <w:color w:val="000000"/>
          <w:sz w:val="20"/>
        </w:rPr>
        <w:t>Furthermore, pursuant to this authority, there would be no limit on the discount to NAV at which shares could be sold.</w:t>
      </w:r>
      <w:r>
        <w:rPr>
          <w:rFonts w:ascii="Times New Roman" w:hAnsi="Times New Roman"/>
          <w:color w:val="000000"/>
          <w:sz w:val="20"/>
        </w:rPr>
        <w:t xml:space="preserve"> See below for a discussion and examples of the dilutive effect of the issuance of shares below NAV. </w:t>
      </w:r>
    </w:p>
    <w:p>
      <w:pPr>
        <w:pStyle w:val="TextBody"/>
        <w:bidi w:val="0"/>
        <w:spacing w:before="270" w:after="283"/>
        <w:jc w:val="left"/>
        <w:rPr>
          <w:rFonts w:ascii="Times New Roman" w:hAnsi="Times New Roman"/>
          <w:sz w:val="20"/>
        </w:rPr>
      </w:pPr>
      <w:r>
        <w:rPr>
          <w:rFonts w:ascii="Times New Roman" w:hAnsi="Times New Roman"/>
          <w:b/>
          <w:color w:val="000000"/>
          <w:sz w:val="20"/>
        </w:rPr>
        <w:t>Reasons to Offer or otherwise Issue Common Stock Below NAV</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believe that the limited amount of capital available to lower middle-market companies, coupled with the desire of these companies for flexible and partnership-oriented sources of capital, creates an attractive investment environment for us. From our perspective, lower middle-market companies have faced difficulty raising debt capital in both the capital markets and private markets. As a result of the difficulties in the credit markets and fewer sources of capital for lower middle-market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on debt and equity investments.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a BDC and a RIC, the Company is dependent on its ability to raise capital through the issuance of common stock. RICs generally must distribute substantially all of their earnings to stockholders as dividends in order to achieve pass-through tax treatment, which prevents the Company from using those earnings to support new investments. Further, BDCs must maintain a debt to equity ratio of less than 1:1 (or 2:1 if certain requirements are satisfied), which requires the Company to finance its investments with at least as much equity as debt in the aggregate. To continue to build the Company’s investment portfolio, and thereby support maintenance and growth of the Company’s dividends, the Company endeavors to maintain consistent access to capital through the public and private equity markets enabling it to take advantage of investment opportunities as they arise.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Company’s common stock has traded both at a premium and at a discount in relation to its NAV, which is the equivalent of “book value,” rather than market or publicly-traded value. The possibility that shares of our common stock will trade at either a discount from NAV or at premiums that are unsustainable over the long term is separate and distinct from the risk that our NAV will decrease. It is not possible to predict whether any shares of our common stock issued in the future will trade at, above, or below NAV. The Company has had six follow-on equity offerings since closing its IPO in June 2011 and has sold shares under its equity at-the-market program (the “ATM Program”). Each offering has priced above the Company’s then current NAV. The following table lists the high and low sales prices for our common stock, and the sales prices as percentages of NAV. On March 19, 2026, the last reported closing sale price of our common stock on the Nasdaq Global Select Market was $[●].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2"/>
        <w:gridCol w:w="146"/>
        <w:gridCol w:w="211"/>
        <w:gridCol w:w="146"/>
        <w:gridCol w:w="571"/>
        <w:gridCol w:w="146"/>
        <w:gridCol w:w="146"/>
        <w:gridCol w:w="273"/>
        <w:gridCol w:w="188"/>
        <w:gridCol w:w="739"/>
        <w:gridCol w:w="146"/>
        <w:gridCol w:w="146"/>
        <w:gridCol w:w="270"/>
        <w:gridCol w:w="187"/>
        <w:gridCol w:w="733"/>
        <w:gridCol w:w="146"/>
        <w:gridCol w:w="146"/>
        <w:gridCol w:w="343"/>
        <w:gridCol w:w="343"/>
        <w:gridCol w:w="1098"/>
        <w:gridCol w:w="166"/>
        <w:gridCol w:w="271"/>
        <w:gridCol w:w="316"/>
        <w:gridCol w:w="316"/>
        <w:gridCol w:w="1142"/>
        <w:gridCol w:w="166"/>
        <w:gridCol w:w="322"/>
      </w:tblGrid>
      <w:tr>
        <w:trPr/>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3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NAV</w:t>
            </w:r>
            <w:r>
              <w:rPr>
                <w:rFonts w:ascii="Times New Roman" w:hAnsi="Times New Roman"/>
                <w:b/>
                <w:color w:val="000000"/>
                <w:sz w:val="13"/>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Premium / (Discount) of High Sales Price to NAV</w:t>
            </w:r>
            <w:r>
              <w:rPr>
                <w:rFonts w:ascii="Times New Roman" w:hAnsi="Times New Roman"/>
                <w:b/>
                <w:color w:val="000000"/>
                <w:sz w:val="13"/>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Premium / (Discount) of Low Sales Price to NAV</w:t>
            </w:r>
            <w:r>
              <w:rPr>
                <w:rFonts w:ascii="Times New Roman" w:hAnsi="Times New Roman"/>
                <w:b/>
                <w:color w:val="000000"/>
                <w:sz w:val="13"/>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30"/>
        <w:jc w:val="left"/>
        <w:rPr/>
      </w:pPr>
      <w:r>
        <w:rPr/>
        <w:t> </w:t>
      </w:r>
    </w:p>
    <w:tbl>
      <w:tblPr>
        <w:tblW w:w="10205" w:type="dxa"/>
        <w:jc w:val="left"/>
        <w:tblInd w:w="0" w:type="dxa"/>
        <w:tblLayout w:type="fixed"/>
        <w:tblCellMar>
          <w:top w:w="28" w:type="dxa"/>
          <w:left w:w="28" w:type="dxa"/>
          <w:bottom w:w="28" w:type="dxa"/>
          <w:right w:w="28" w:type="dxa"/>
        </w:tblCellMar>
      </w:tblPr>
      <w:tblGrid>
        <w:gridCol w:w="314"/>
        <w:gridCol w:w="9891"/>
      </w:tblGrid>
      <w:tr>
        <w:trPr/>
        <w:tc>
          <w:tcPr>
            <w:tcW w:w="314" w:type="dxa"/>
            <w:tcBorders/>
            <w:vAlign w:val="center"/>
          </w:tcPr>
          <w:p>
            <w:pPr>
              <w:pStyle w:val="TableContents"/>
              <w:bidi w:val="0"/>
              <w:spacing w:before="0" w:after="283"/>
              <w:jc w:val="left"/>
              <w:rPr>
                <w:sz w:val="4"/>
                <w:szCs w:val="4"/>
              </w:rPr>
            </w:pPr>
            <w:r>
              <w:rPr>
                <w:sz w:val="4"/>
                <w:szCs w:val="4"/>
              </w:rPr>
            </w:r>
          </w:p>
        </w:tc>
        <w:tc>
          <w:tcPr>
            <w:tcW w:w="9891" w:type="dxa"/>
            <w:tcBorders/>
            <w:vAlign w:val="center"/>
          </w:tcPr>
          <w:p>
            <w:pPr>
              <w:pStyle w:val="TableContents"/>
              <w:bidi w:val="0"/>
              <w:spacing w:before="0" w:after="283"/>
              <w:jc w:val="left"/>
              <w:rPr>
                <w:sz w:val="4"/>
                <w:szCs w:val="4"/>
              </w:rPr>
            </w:pPr>
            <w:r>
              <w:rPr>
                <w:sz w:val="4"/>
                <w:szCs w:val="4"/>
              </w:rPr>
            </w:r>
          </w:p>
        </w:tc>
      </w:tr>
      <w:tr>
        <w:trPr/>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NAV per share is determined as of the last day in the relevant quarter and therefore may not reflect the NAV per share on the date of the high and low sales prices. The NAVs shown are based on outstanding shares at the end of each period. </w:t>
            </w:r>
          </w:p>
        </w:tc>
      </w:tr>
      <w:tr>
        <w:trPr/>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Calculated as the respective high or low sales price divided by NAV.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Credit market dislocation and uncertainty surrounding the U.S. economy may lead to significant stock market volatility, particularly with respect to the stock of financial services companies. We have observed, and continue to observe, commodity inflation, supply chain disruptions, labor and resource shortages, elements of financial market instability (including elevated interest rates), an uncertain economic outlook for the United States (which may include a recession), uncertainty associated with the imposition of new tariffs and trade barriers, and elements of geopolitical instability, each of which can contribute to continuing periods of volatility. During times of increased price volatility, the Company’s common stock may periodically trade below its NAV, which is not uncommon for BDCs like the Company. As noted above, however, market uncertainties have created, and we believe will continue to create, favorable opportunities to invest, including opportunities that, all else being equal, may increase NAV over the longer-term, even if financed with the issuance of common stock below NAV, although there is no assurance that this will occur. The Company expects that it will be periodically presented with attractive opportunities that require the Company to make an investment commitment quickly. The Company may be unable to capitalize on investment opportunities presented to it unless it is able to quickly raise capital. Stockholder approval of the proposal to sell shares below NAV subject to the conditions detailed below will provide the Company with the flexibility to invest in such opportunities.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Board of Directors believes that having the flexibility to issue its common stock below NAV in certain instances is in the best interests of stockholders. If the Company were unable to access the capital markets as attractive investment opportunities arise, the Company’s ability to grow over time and continue to pay steady or increasing dividends to stockholders could be adversely affected. It could also have the effect of forcing the Company to sell assets that the Company would not otherwise sell, and such sales could occur at times that are disadvantageous to sell. </w:t>
      </w:r>
    </w:p>
    <w:p>
      <w:pPr>
        <w:pStyle w:val="TextBody"/>
        <w:bidi w:val="0"/>
        <w:spacing w:before="270" w:after="283"/>
        <w:jc w:val="left"/>
        <w:rPr>
          <w:rFonts w:ascii="Times New Roman" w:hAnsi="Times New Roman"/>
          <w:sz w:val="20"/>
        </w:rPr>
      </w:pPr>
      <w:r>
        <w:rPr>
          <w:rFonts w:ascii="Times New Roman" w:hAnsi="Times New Roman"/>
          <w:b/>
          <w:color w:val="000000"/>
          <w:sz w:val="20"/>
        </w:rPr>
        <w:t>Conditions to Sales Below NAV</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Company will only sell or otherwise issue shares of its common stock at a price below NAV per share if the following conditions are met: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the holders of a majority of the Company’s outstanding voting securities, and the holders of a majority of the Company’s outstanding voting securities that are not affiliated persons of the Company, approved the Company’s policy and practice of making such sales of securities at the last annual meeting of stockholders within one year immediately prior to any such sale;</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 xml:space="preserve">a majority of the Company’s directors who have no financial interest in the sale and a majority of such directors who are not interested persons of the Company have determined that any such sale would be in the best interests of the Company and its stockholders;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 xml:space="preserve">a majority of the Company’s directors who have no financial interest in the sale and 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distributing commission or discount; and </w:t>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109"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0"/>
              </w:rPr>
            </w:pP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978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the Company has filed a new post-effective amendment to an effective registration statement if the cumulative dilution to NAV per share from offerings under the registration statement exceeds 15%.</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Finally, in determining whether or not to sell additional shares of the Company’s common stock at a price below the NAV per share, the Board of Directors has a duty to act in the best interests of the Company and its stockholders. Shares of common stock sold at prices below then current NAV upon exercise or conversion of any warrants or other securities that may be issued under authority granted by our stockholders at our 2026 annual meeting will not be taken into account in determining whether the 25% limitation described above in this proposal has been reached. </w:t>
      </w:r>
    </w:p>
    <w:p>
      <w:pPr>
        <w:pStyle w:val="TextBody"/>
        <w:bidi w:val="0"/>
        <w:spacing w:before="270" w:after="283"/>
        <w:jc w:val="left"/>
        <w:rPr>
          <w:rFonts w:ascii="Times New Roman" w:hAnsi="Times New Roman"/>
          <w:sz w:val="20"/>
        </w:rPr>
      </w:pPr>
      <w:r>
        <w:rPr>
          <w:rFonts w:ascii="Times New Roman" w:hAnsi="Times New Roman"/>
          <w:b/>
          <w:color w:val="000000"/>
          <w:sz w:val="20"/>
        </w:rPr>
        <w:t>Key Stockholder Considerations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Before voting on this proposal or giving proxies with regard to this matter, common stockholders should consider the dilutive effect of the issuance of shares of the Company’s common stock at less than NAV per share on the NAV per outstanding share of common stock. Any sale of common stock at a price below NAV would result in an immediate dilution to existing common stockholders. Because under this proposal shares of the Company’s common stock or securities otherwise issued could be issued at a price that is substantially below the NAV per share, the dilution could be substantial. This dilution would include reduction in the NAV per share as a result of the issuance of shares at a price below the NAV per share and a proportionately greater decrease in a stockholder’s interest in the earnings and assets of the Company and voting interest in the Company than the increase in the assets of the Company resulting from such issuance. If this Proposal No. 2 is approved, the Board of Directors of the Company may, consistent with its fiduciary duties, approve the sale or otherwise issue shares of the Company’s common stock at any discount to its then current NAV per share; however, the Board of Directors will consider the potential dilutive effect of the issuance of shares at a price below the NAV per share when considering whether to authorize any such issuance and will act in the best interests of the Company and its stockholders in doing so.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The 1940 Act establishes a connection between common share sale price and NAV because, when shares of common stock or other specific securities are sold at a sale price below NAV per share, the resulting increase in the number of outstanding shares is not accompanied by a proportionate increase in the net assets of the issuer. Further, if current stockholders of the Company do not purchase any shares to maintain their percentage interest, regardless of whether such offering is above or below the then current NAV, their voting power will be diluted. For an illustration of the potential dilutive effect of an offering of our common stock at a price below NAV, please see the table below under the heading “</w:t>
      </w:r>
      <w:r>
        <w:rPr>
          <w:rFonts w:ascii="Times New Roman" w:hAnsi="Times New Roman"/>
          <w:i/>
          <w:color w:val="000000"/>
          <w:sz w:val="20"/>
        </w:rPr>
        <w:t>Examples of Dilutive Effect of the Issuance of Shares Below NAV,” on page 30.</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It should be noted that the cumulative number of shares sold below NAV pursuant to this approval is limited to 25% of the Company’s then outstanding common stock immediately prior to each such sale. While we aggregate all sales sold below NAV throughout the year for purposes of this limit, the maximum is based on the percentage of outstanding common shares at the time of each offering and if we issue additional shares throughout the year, we would be able to issue more shares below NAV before reaching the 25% limit. Furthermore, there would be no limit on the discount to NAV at which shares could be sold.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Finally, any sale of substantial amounts of our common stock or other securities in the open market may adversely affect the market price of our common stock and may adversely affect our ability to obtain future financing in the capital markets. In addition, future sales of our common stock to the public may create a potential market overhang, which is the existence of a large block of shares readily available for sale that could lead the market to discount the value of shares held by other investors. In the event we were to continue to sell our common stock at prices below NAV for sustained periods of time, such offerings may result in sustained discounts in the marketplace. </w:t>
      </w:r>
    </w:p>
    <w:p>
      <w:pPr>
        <w:pStyle w:val="TextBody"/>
        <w:bidi w:val="0"/>
        <w:spacing w:before="270" w:after="283"/>
        <w:jc w:val="left"/>
        <w:rPr>
          <w:rFonts w:ascii="Times New Roman" w:hAnsi="Times New Roman"/>
          <w:sz w:val="20"/>
        </w:rPr>
      </w:pPr>
      <w:bookmarkStart w:id="36" w:name="examples_dilutive_stock_issuances"/>
      <w:bookmarkEnd w:id="36"/>
      <w:r>
        <w:rPr>
          <w:rFonts w:ascii="Times New Roman" w:hAnsi="Times New Roman"/>
          <w:b/>
          <w:color w:val="000000"/>
          <w:sz w:val="20"/>
        </w:rPr>
        <w:t>Examples of Dilutive Effect of the Issuance of Shares Below NAV</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following table illustrates the level of NAV dilution that would be experienced by a nonparticipating stockholder in four different hypothetical offerings of different sizes and levels of discount from NAV per share, although it is not possible to predict the level of market price decline that may occur. Actual sales prices and discounts may differ from the presentation below. </w:t>
      </w:r>
    </w:p>
    <w:p>
      <w:pPr>
        <w:pStyle w:val="TextBody"/>
        <w:bidi w:val="0"/>
        <w:jc w:val="left"/>
        <w:rPr>
          <w:rFonts w:ascii="Times New Roman" w:hAnsi="Times New Roman"/>
          <w:color w:val="000000"/>
          <w:sz w:val="20"/>
        </w:rPr>
      </w:pPr>
      <w:r>
        <w:rPr>
          <w:rFonts w:ascii="Times New Roman" w:hAnsi="Times New Roman"/>
          <w:color w:val="000000"/>
          <w:sz w:val="20"/>
        </w:rPr>
        <w:t>The examples assume that Company XYZ has 1,000,000 common shares outstanding, $15,000,000 in total assets and $5,000,000 in total liabilities. The current NAV and NAV per share are thus $10,000,000 and $10.00. The table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(3) an offering of 200,000 shares (20% of the outstanding shares) at $8.00 per share after offering expenses and commissions (a 20% discount from NAV), (4) an offering of 250,000 shares (25% of the outstanding shares) at $7.50 per share after offering expenses and commissions (a 25% discount from NAV) and (5) an offering of 250,000 (25% of the outstanding shares) with the proceeds to the Company at $0.00 per share after offering expenses and commissions (a 100% discount from NAV). Under this proposal, there is no limit on the discount at which the Company may sell its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Dilutive Effect of the Issuance of Shares by Company XYZ Below Net Asset Value</w:t>
      </w:r>
    </w:p>
    <w:tbl>
      <w:tblPr>
        <w:tblW w:w="12264" w:type="dxa"/>
        <w:jc w:val="left"/>
        <w:tblInd w:w="0" w:type="dxa"/>
        <w:tblLayout w:type="fixed"/>
        <w:tblCellMar>
          <w:top w:w="28" w:type="dxa"/>
          <w:left w:w="28" w:type="dxa"/>
          <w:bottom w:w="28" w:type="dxa"/>
          <w:right w:w="28" w:type="dxa"/>
        </w:tblCellMar>
      </w:tblPr>
      <w:tblGrid>
        <w:gridCol w:w="1486"/>
        <w:gridCol w:w="146"/>
        <w:gridCol w:w="826"/>
        <w:gridCol w:w="146"/>
        <w:gridCol w:w="826"/>
        <w:gridCol w:w="146"/>
        <w:gridCol w:w="661"/>
        <w:gridCol w:w="146"/>
        <w:gridCol w:w="826"/>
        <w:gridCol w:w="146"/>
        <w:gridCol w:w="661"/>
        <w:gridCol w:w="146"/>
        <w:gridCol w:w="826"/>
        <w:gridCol w:w="146"/>
        <w:gridCol w:w="661"/>
        <w:gridCol w:w="146"/>
        <w:gridCol w:w="826"/>
        <w:gridCol w:w="146"/>
        <w:gridCol w:w="661"/>
        <w:gridCol w:w="146"/>
        <w:gridCol w:w="826"/>
        <w:gridCol w:w="146"/>
        <w:gridCol w:w="661"/>
        <w:gridCol w:w="91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Example 1</w:t>
              <w:br/>
              <w:t>5% Offering</w:t>
            </w:r>
            <w:r>
              <w:rPr>
                <w:rFonts w:ascii="Times New Roman" w:hAnsi="Times New Roman"/>
                <w:color w:val="000000"/>
                <w:sz w:val="16"/>
              </w:rPr>
              <w:br/>
            </w:r>
            <w:r>
              <w:rPr>
                <w:rFonts w:ascii="Times New Roman" w:hAnsi="Times New Roman"/>
                <w:b/>
                <w:color w:val="000000"/>
                <w:sz w:val="16"/>
              </w:rPr>
              <w:t>At 5% Discount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Example 2</w:t>
            </w:r>
            <w:r>
              <w:rPr>
                <w:rFonts w:ascii="Times New Roman" w:hAnsi="Times New Roman"/>
                <w:color w:val="000000"/>
                <w:sz w:val="16"/>
              </w:rPr>
              <w:br/>
            </w:r>
            <w:r>
              <w:rPr>
                <w:rFonts w:ascii="Times New Roman" w:hAnsi="Times New Roman"/>
                <w:b/>
                <w:color w:val="000000"/>
                <w:sz w:val="16"/>
              </w:rPr>
              <w:t>10% Offering</w:t>
            </w:r>
            <w:r>
              <w:rPr>
                <w:rFonts w:ascii="Times New Roman" w:hAnsi="Times New Roman"/>
                <w:color w:val="000000"/>
                <w:sz w:val="16"/>
              </w:rPr>
              <w:br/>
            </w:r>
            <w:r>
              <w:rPr>
                <w:rFonts w:ascii="Times New Roman" w:hAnsi="Times New Roman"/>
                <w:b/>
                <w:color w:val="000000"/>
                <w:sz w:val="16"/>
              </w:rPr>
              <w:t>At 10% Discount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Example 3</w:t>
            </w:r>
            <w:r>
              <w:rPr>
                <w:rFonts w:ascii="Times New Roman" w:hAnsi="Times New Roman"/>
                <w:color w:val="000000"/>
                <w:sz w:val="16"/>
              </w:rPr>
              <w:br/>
            </w:r>
            <w:r>
              <w:rPr>
                <w:rFonts w:ascii="Times New Roman" w:hAnsi="Times New Roman"/>
                <w:b/>
                <w:color w:val="000000"/>
                <w:sz w:val="16"/>
              </w:rPr>
              <w:t>20% Offering</w:t>
            </w:r>
            <w:r>
              <w:rPr>
                <w:rFonts w:ascii="Times New Roman" w:hAnsi="Times New Roman"/>
                <w:color w:val="000000"/>
                <w:sz w:val="16"/>
              </w:rPr>
              <w:br/>
            </w:r>
            <w:r>
              <w:rPr>
                <w:rFonts w:ascii="Times New Roman" w:hAnsi="Times New Roman"/>
                <w:b/>
                <w:color w:val="000000"/>
                <w:sz w:val="16"/>
              </w:rPr>
              <w:t>At 20% Discount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Example 4</w:t>
            </w:r>
            <w:r>
              <w:rPr>
                <w:rFonts w:ascii="Times New Roman" w:hAnsi="Times New Roman"/>
                <w:color w:val="000000"/>
                <w:sz w:val="16"/>
              </w:rPr>
              <w:br/>
            </w:r>
            <w:r>
              <w:rPr>
                <w:rFonts w:ascii="Times New Roman" w:hAnsi="Times New Roman"/>
                <w:b/>
                <w:color w:val="000000"/>
                <w:sz w:val="16"/>
              </w:rPr>
              <w:t>25% Offering</w:t>
            </w:r>
            <w:r>
              <w:rPr>
                <w:rFonts w:ascii="Times New Roman" w:hAnsi="Times New Roman"/>
                <w:color w:val="000000"/>
                <w:sz w:val="16"/>
              </w:rPr>
              <w:br/>
            </w:r>
            <w:r>
              <w:rPr>
                <w:rFonts w:ascii="Times New Roman" w:hAnsi="Times New Roman"/>
                <w:b/>
                <w:color w:val="000000"/>
                <w:sz w:val="16"/>
              </w:rPr>
              <w:t>At 25% Discount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633" w:type="dxa"/>
            <w:gridSpan w:val="3"/>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Example 5</w:t>
            </w:r>
            <w:r>
              <w:rPr>
                <w:rFonts w:ascii="Times New Roman" w:hAnsi="Times New Roman"/>
                <w:color w:val="000000"/>
                <w:sz w:val="16"/>
              </w:rPr>
              <w:br/>
            </w:r>
            <w:r>
              <w:rPr>
                <w:rFonts w:ascii="Times New Roman" w:hAnsi="Times New Roman"/>
                <w:b/>
                <w:color w:val="000000"/>
                <w:sz w:val="16"/>
              </w:rPr>
              <w:t>25% Offering</w:t>
            </w:r>
            <w:r>
              <w:rPr>
                <w:rFonts w:ascii="Times New Roman" w:hAnsi="Times New Roman"/>
                <w:color w:val="000000"/>
                <w:sz w:val="16"/>
              </w:rPr>
              <w:br/>
            </w:r>
            <w:r>
              <w:rPr>
                <w:rFonts w:ascii="Times New Roman" w:hAnsi="Times New Roman"/>
                <w:b/>
                <w:color w:val="000000"/>
                <w:sz w:val="16"/>
              </w:rPr>
              <w:t>At 100% Discount</w:t>
            </w:r>
          </w:p>
        </w:tc>
        <w:tc>
          <w:tcPr>
            <w:tcW w:w="91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Prior to</w:t>
              <w:br/>
              <w:t>Sale</w:t>
              <w:br/>
              <w:t>Below</w:t>
              <w:br/>
              <w:t>NAV</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Following</w:t>
              <w:br/>
              <w:t>Sale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Following</w:t>
              <w:br/>
              <w:t>Sale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Following</w:t>
              <w:br/>
              <w:t>Sale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Following</w:t>
              <w:br/>
              <w:t>Sale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Following</w:t>
              <w:br/>
              <w:t>Sale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91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i/>
                <w:color w:val="000000"/>
                <w:sz w:val="16"/>
              </w:rPr>
            </w:pPr>
            <w:r>
              <w:rPr>
                <w:rFonts w:ascii="Times New Roman" w:hAnsi="Times New Roman"/>
                <w:b/>
                <w:i/>
                <w:color w:val="000000"/>
                <w:sz w:val="16"/>
              </w:rPr>
              <w:t>Offering Price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Price per Share to Public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Net Proceeds per Share to Issuer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i/>
                <w:color w:val="000000"/>
                <w:sz w:val="16"/>
              </w:rPr>
            </w:pPr>
            <w:r>
              <w:rPr>
                <w:rFonts w:ascii="Times New Roman" w:hAnsi="Times New Roman"/>
                <w:b/>
                <w:i/>
                <w:color w:val="000000"/>
                <w:sz w:val="16"/>
              </w:rPr>
              <w:t>Decrease to NAV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Total Shares 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91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NAV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9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i/>
                <w:color w:val="000000"/>
                <w:sz w:val="16"/>
              </w:rPr>
            </w:pPr>
            <w:r>
              <w:rPr>
                <w:rFonts w:ascii="Times New Roman" w:hAnsi="Times New Roman"/>
                <w:b/>
                <w:i/>
                <w:color w:val="000000"/>
                <w:sz w:val="16"/>
              </w:rPr>
              <w:t>Dilution to Stockholder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Shares Held by Stockholder 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Percentage Held by Stockholder 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b/>
                <w:color w:val="000000"/>
                <w:sz w:val="16"/>
              </w:rPr>
            </w:pPr>
            <w:r>
              <w:rPr>
                <w:rFonts w:ascii="Times New Roman" w:hAnsi="Times New Roman"/>
                <w:b/>
                <w:color w:val="000000"/>
                <w:sz w:val="16"/>
              </w:rPr>
              <w:t>Total Asset Values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Total NAV Held by Stockholder 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9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Total Investment by Stockholder A (Assumed to be $10.00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Total Dilution to Stockholder A (Total NAV Less Total Investment)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b/>
                <w:color w:val="000000"/>
                <w:sz w:val="16"/>
              </w:rPr>
            </w:pPr>
            <w:r>
              <w:rPr>
                <w:rFonts w:ascii="Times New Roman" w:hAnsi="Times New Roman"/>
                <w:b/>
                <w:color w:val="000000"/>
                <w:sz w:val="16"/>
              </w:rPr>
              <w:t>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NAV per Share Held by Stockholder 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Investment per Share Held by Stockholder A (Assumed to be $10.00 per Share on Shares Held Prior to Sale)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Dilution per Share Held by Stockholder A (NAV per Share Less Investment per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Percentage Dilution to Stockholder A (Dilution per Share Divided by Investment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91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70" w:after="283"/>
        <w:jc w:val="left"/>
        <w:rPr>
          <w:rFonts w:ascii="Times New Roman" w:hAnsi="Times New Roman"/>
          <w:sz w:val="20"/>
        </w:rPr>
      </w:pPr>
      <w:r>
        <w:rPr>
          <w:rFonts w:ascii="Times New Roman" w:hAnsi="Times New Roman"/>
          <w:b/>
          <w:color w:val="000000"/>
          <w:sz w:val="20"/>
        </w:rPr>
        <w:t>Required Vote</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Approval of this proposal requires the affirmative vote of (1) a 1940 Act majority of the outstanding shares of common stock entitled to vote at the Annual Meeting; and (2) a 1940 Act majority of the outstanding shares of common stock entitled to vote at the Annual Meeting that are not held by affiliated persons of the Company. </w:t>
      </w:r>
    </w:p>
    <w:p>
      <w:pPr>
        <w:pStyle w:val="TextBody"/>
        <w:bidi w:val="0"/>
        <w:spacing w:before="180" w:after="283"/>
        <w:jc w:val="left"/>
        <w:rPr>
          <w:rFonts w:ascii="Times New Roman" w:hAnsi="Times New Roman"/>
          <w:sz w:val="20"/>
        </w:rPr>
      </w:pPr>
      <w:r>
        <w:rPr>
          <w:rFonts w:ascii="Times New Roman" w:hAnsi="Times New Roman"/>
          <w:b/>
          <w:i/>
          <w:color w:val="000000"/>
          <w:sz w:val="20"/>
        </w:rPr>
        <w:t>The Board of Directors recommends a vote “FOR” the proposal to authorize the Company, pursuant to approval of the Board of Directors of the Company,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independent_public_auditor"/>
      <w:bookmarkEnd w:id="37"/>
      <w:r>
        <w:rPr>
          <w:rFonts w:ascii="Times New Roman" w:hAnsi="Times New Roman"/>
          <w:b/>
          <w:color w:val="000000"/>
          <w:sz w:val="20"/>
        </w:rPr>
        <w:t>INDEPENDENT REGISTERED PUBLIC ACCOUNTING FIRM</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Audit Committee of the Board of Directors has selected RSM US LLP as our independent registered public accounting firm for the fiscal year ending December 31, 2025. RSM US LLP also will serve as the independent registered public accounting firm for all of our wholly-owned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RSM US LLP has advised us that neither the firm nor any present member or associate of it has any material financial interest, direct or indirect, in us or our wholly-owned subsidiaries. It is expected that a representative of RSM US LLP will be present at the Annual Meeting and will have an opportunity to make a statement if he or she chooses and will be available to answer appropriate questions. </w:t>
      </w:r>
    </w:p>
    <w:p>
      <w:pPr>
        <w:pStyle w:val="TextBody"/>
        <w:bidi w:val="0"/>
        <w:spacing w:before="120" w:after="283"/>
        <w:jc w:val="left"/>
        <w:rPr>
          <w:rFonts w:ascii="Times New Roman" w:hAnsi="Times New Roman"/>
          <w:sz w:val="20"/>
        </w:rPr>
      </w:pPr>
      <w:r>
        <w:rPr>
          <w:rFonts w:ascii="Times New Roman" w:hAnsi="Times New Roman"/>
          <w:b/>
          <w:color w:val="000000"/>
          <w:sz w:val="20"/>
        </w:rPr>
        <w:t>Independent Registered Public Accounting Firm’s Fees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have paid or expect to pay the following fees to RSM US LLP for work performed in 2025 and 2024 or attributable to the audit of our 2025 and 2024 financial statements:</w:t>
      </w:r>
    </w:p>
    <w:tbl>
      <w:tblPr>
        <w:tblW w:w="6497" w:type="dxa"/>
        <w:jc w:val="left"/>
        <w:tblInd w:w="0" w:type="dxa"/>
        <w:tblLayout w:type="fixed"/>
        <w:tblCellMar>
          <w:top w:w="28" w:type="dxa"/>
          <w:left w:w="28" w:type="dxa"/>
          <w:bottom w:w="28" w:type="dxa"/>
          <w:right w:w="28" w:type="dxa"/>
        </w:tblCellMar>
      </w:tblPr>
      <w:tblGrid>
        <w:gridCol w:w="1666"/>
        <w:gridCol w:w="146"/>
        <w:gridCol w:w="411"/>
        <w:gridCol w:w="1524"/>
        <w:gridCol w:w="146"/>
        <w:gridCol w:w="271"/>
        <w:gridCol w:w="146"/>
        <w:gridCol w:w="366"/>
        <w:gridCol w:w="1359"/>
        <w:gridCol w:w="146"/>
        <w:gridCol w:w="31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December 31, 2025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929,640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spacing w:before="0" w:after="30"/>
        <w:jc w:val="left"/>
        <w:rPr/>
      </w:pPr>
      <w:r>
        <w:rPr/>
        <w:t> </w:t>
      </w:r>
    </w:p>
    <w:tbl>
      <w:tblPr>
        <w:tblW w:w="10205" w:type="dxa"/>
        <w:jc w:val="left"/>
        <w:tblInd w:w="0" w:type="dxa"/>
        <w:tblLayout w:type="fixed"/>
        <w:tblCellMar>
          <w:top w:w="28" w:type="dxa"/>
          <w:left w:w="28" w:type="dxa"/>
          <w:bottom w:w="28" w:type="dxa"/>
          <w:right w:w="28" w:type="dxa"/>
        </w:tblCellMar>
      </w:tblPr>
      <w:tblGrid>
        <w:gridCol w:w="313"/>
        <w:gridCol w:w="9892"/>
      </w:tblGrid>
      <w:tr>
        <w:trPr/>
        <w:tc>
          <w:tcPr>
            <w:tcW w:w="313" w:type="dxa"/>
            <w:tcBorders/>
            <w:vAlign w:val="center"/>
          </w:tcPr>
          <w:p>
            <w:pPr>
              <w:pStyle w:val="TableContents"/>
              <w:bidi w:val="0"/>
              <w:spacing w:before="0" w:after="283"/>
              <w:jc w:val="left"/>
              <w:rPr>
                <w:sz w:val="4"/>
                <w:szCs w:val="4"/>
              </w:rPr>
            </w:pPr>
            <w:r>
              <w:rPr>
                <w:sz w:val="4"/>
                <w:szCs w:val="4"/>
              </w:rPr>
            </w:r>
          </w:p>
        </w:tc>
        <w:tc>
          <w:tcPr>
            <w:tcW w:w="9892" w:type="dxa"/>
            <w:tcBorders/>
            <w:vAlign w:val="center"/>
          </w:tcPr>
          <w:p>
            <w:pPr>
              <w:pStyle w:val="TableContents"/>
              <w:bidi w:val="0"/>
              <w:spacing w:before="0" w:after="283"/>
              <w:jc w:val="left"/>
              <w:rPr>
                <w:sz w:val="4"/>
                <w:szCs w:val="4"/>
              </w:rPr>
            </w:pPr>
            <w:r>
              <w:rPr>
                <w:sz w:val="4"/>
                <w:szCs w:val="4"/>
              </w:rPr>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Includes estimated billings for fiscal year 2025.</w:t>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Includes fees of $90,000 related to our public offerings of common stock under our ATM program. Also includes fees of $102,380 related to our registered offering of unsecured notes under our shelf registration statement on Form N-2.</w:t>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Includes fees of $152,693 related to our public offerings of common stock under our ATM program. Also includes fees of $46,587 related to our filing of our shelf registration statement on Form N-2 relating to registered offerings of our securities.</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Audit Fees</w:t>
      </w:r>
      <w:r>
        <w:rPr>
          <w:rFonts w:ascii="Times New Roman" w:hAnsi="Times New Roman"/>
          <w:color w:val="000000"/>
          <w:sz w:val="20"/>
        </w:rPr>
        <w:t xml:space="preserve">. Audit fees include fees for services that normally would be provided by the accountant in connection with statutory and regulatory filings or engagements and that generally only the independent accountant can provide. In addition to fees for the audit of our annual financial statements, any audit of the effectiveness of our internal control over financial reporting and the review of our quarterly financial statements in accordance with generally accepted auditing standards, this category contains fees for comfort letters, statutory audits, consents, and assistance with and review of documents filed with the SEC. </w:t>
      </w:r>
    </w:p>
    <w:p>
      <w:pPr>
        <w:pStyle w:val="TextBody"/>
        <w:bidi w:val="0"/>
        <w:spacing w:before="120" w:after="283"/>
        <w:jc w:val="left"/>
        <w:rPr>
          <w:rFonts w:ascii="Times New Roman" w:hAnsi="Times New Roman"/>
          <w:sz w:val="20"/>
        </w:rPr>
      </w:pPr>
      <w:r>
        <w:rPr>
          <w:rFonts w:ascii="Times New Roman" w:hAnsi="Times New Roman"/>
          <w:i/>
          <w:color w:val="000000"/>
          <w:sz w:val="20"/>
        </w:rPr>
        <w:t>Audit Related Fees</w:t>
      </w:r>
      <w:r>
        <w:rPr>
          <w:rFonts w:ascii="Times New Roman" w:hAnsi="Times New Roman"/>
          <w:color w:val="000000"/>
          <w:sz w:val="20"/>
        </w:rPr>
        <w:t xml:space="preserve">. Audit related fees are assurance related services that traditionally are performed by the independent accountant, such as attest services that are not required by statute or regulation. </w:t>
      </w:r>
    </w:p>
    <w:p>
      <w:pPr>
        <w:pStyle w:val="TextBody"/>
        <w:bidi w:val="0"/>
        <w:spacing w:before="120" w:after="283"/>
        <w:jc w:val="left"/>
        <w:rPr>
          <w:rFonts w:ascii="Times New Roman" w:hAnsi="Times New Roman"/>
          <w:sz w:val="20"/>
        </w:rPr>
      </w:pPr>
      <w:r>
        <w:rPr>
          <w:rFonts w:ascii="Times New Roman" w:hAnsi="Times New Roman"/>
          <w:i/>
          <w:color w:val="000000"/>
          <w:sz w:val="20"/>
        </w:rPr>
        <w:t>Tax Fees</w:t>
      </w:r>
      <w:r>
        <w:rPr>
          <w:rFonts w:ascii="Times New Roman" w:hAnsi="Times New Roman"/>
          <w:color w:val="000000"/>
          <w:sz w:val="20"/>
        </w:rPr>
        <w:t xml:space="preserve">. Tax fees include corporate and subsidiary compliance and consulting. </w:t>
      </w:r>
    </w:p>
    <w:p>
      <w:pPr>
        <w:pStyle w:val="TextBody"/>
        <w:bidi w:val="0"/>
        <w:spacing w:before="120" w:after="283"/>
        <w:jc w:val="left"/>
        <w:rPr>
          <w:rFonts w:ascii="Times New Roman" w:hAnsi="Times New Roman"/>
          <w:sz w:val="20"/>
        </w:rPr>
      </w:pPr>
      <w:r>
        <w:rPr>
          <w:rFonts w:ascii="Times New Roman" w:hAnsi="Times New Roman"/>
          <w:i/>
          <w:color w:val="000000"/>
          <w:sz w:val="20"/>
        </w:rPr>
        <w:t>All Other Fees</w:t>
      </w:r>
      <w:r>
        <w:rPr>
          <w:rFonts w:ascii="Times New Roman" w:hAnsi="Times New Roman"/>
          <w:color w:val="000000"/>
          <w:sz w:val="20"/>
        </w:rPr>
        <w:t xml:space="preserve">. Fees for other services would include fees for products and services other than the services reported above. </w:t>
      </w:r>
    </w:p>
    <w:p>
      <w:pPr>
        <w:pStyle w:val="TextBody"/>
        <w:bidi w:val="0"/>
        <w:spacing w:before="120" w:after="283"/>
        <w:jc w:val="left"/>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Our Audit Committee has established, and our Board of Directors has approved a pre-approval policy that describes the permitted audit, audit-related, tax and other services to be provided by RSM US LLP, the Company’s independent registered accounting firm. The policy requires that the Audit Committee pre-approve the audit and non-audit services performed by the independent registered accounting firm in order to assure that the provision of such service does not impair the firm’s independence. The Audit Committee has pre-approved all services by RSM US LLP that were performed during the fiscal year ended December 31, 2025. </w:t>
      </w:r>
    </w:p>
    <w:p>
      <w:pPr>
        <w:pStyle w:val="TextBody"/>
        <w:bidi w:val="0"/>
        <w:jc w:val="left"/>
        <w:rPr>
          <w:rFonts w:ascii="Times New Roman" w:hAnsi="Times New Roman"/>
          <w:color w:val="000000"/>
          <w:sz w:val="20"/>
        </w:rPr>
      </w:pPr>
      <w:r>
        <w:rPr>
          <w:rFonts w:ascii="Times New Roman" w:hAnsi="Times New Roman"/>
          <w:color w:val="000000"/>
          <w:sz w:val="20"/>
        </w:rPr>
        <w:t xml:space="preserve">Any requests for audit, audit-related, tax and other services that have not received general pre-approval must be submitted to the Audit Committee for specific pre-approval, irrespective of the amount. Before the Company engages the independent registered public accounting firm to render a service, the engagement must be either (i) specifically approved by the Audit Committee or (ii) entered into pursuant to the pre-approval policy.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accounting firm to management.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toc510126_16"/>
      <w:bookmarkStart w:id="39" w:name="audit_committee_report"/>
      <w:bookmarkEnd w:id="38"/>
      <w:bookmarkEnd w:id="39"/>
      <w:r>
        <w:rPr>
          <w:rFonts w:ascii="Times New Roman" w:hAnsi="Times New Roman"/>
          <w:b/>
          <w:color w:val="000000"/>
          <w:sz w:val="20"/>
        </w:rPr>
        <w:t>AUDIT COMMITTEE REPORT*</w:t>
      </w:r>
      <w:r>
        <w:rPr>
          <w:rFonts w:ascii="Times New Roman" w:hAnsi="Times New Roman"/>
          <w:color w:val="000000"/>
          <w:sz w:val="20"/>
        </w:rPr>
        <w:t xml:space="preserve"> </w:t>
      </w:r>
    </w:p>
    <w:p>
      <w:pPr>
        <w:pStyle w:val="TextBody"/>
        <w:bidi w:val="0"/>
        <w:spacing w:before="180" w:after="200"/>
        <w:jc w:val="left"/>
        <w:rPr>
          <w:rFonts w:ascii="Times New Roman" w:hAnsi="Times New Roman"/>
          <w:sz w:val="20"/>
        </w:rPr>
      </w:pPr>
      <w:r>
        <w:rPr>
          <w:rFonts w:ascii="Times New Roman" w:hAnsi="Times New Roman"/>
          <w:color w:val="000000"/>
          <w:sz w:val="20"/>
        </w:rPr>
        <w:t xml:space="preserve">The Audit Committee of the Board of Directors of Fidus Investment Corporation operates under a written charter adopted by the Board of Directors, which is available on the Company’s website at </w:t>
      </w:r>
      <w:r>
        <w:rPr>
          <w:rFonts w:ascii="Times New Roman" w:hAnsi="Times New Roman"/>
          <w:i/>
          <w:color w:val="000000"/>
          <w:sz w:val="20"/>
        </w:rPr>
        <w:t>https://investor.fdus.com/corporate-governance</w:t>
      </w:r>
      <w:r>
        <w:rPr>
          <w:rFonts w:ascii="Times New Roman" w:hAnsi="Times New Roman"/>
          <w:color w:val="000000"/>
          <w:sz w:val="20"/>
        </w:rPr>
        <w:t>. The audit committee is comprised of three directors, each of whom is not “interested persons” (as defined in the 1940 Act) of the Company and meets the independence requirements under the applicable listing standards under the Nasdaq Stock Market Rules.</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is responsible for the Company’s internal controls over the financial reporting process. The Company’s independent registered public accounting firm is responsible for performing an independent audit of the Company’s consolidated financial statements in accordance with auditing standards of the Public Accounting Oversight Board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 </w:t>
      </w:r>
    </w:p>
    <w:p>
      <w:pPr>
        <w:pStyle w:val="TextBody"/>
        <w:bidi w:val="0"/>
        <w:spacing w:before="270" w:after="283"/>
        <w:jc w:val="left"/>
        <w:rPr>
          <w:rFonts w:ascii="Times New Roman" w:hAnsi="Times New Roman"/>
          <w:sz w:val="20"/>
        </w:rPr>
      </w:pPr>
      <w:r>
        <w:rPr>
          <w:rFonts w:ascii="Times New Roman" w:hAnsi="Times New Roman"/>
          <w:b/>
          <w:color w:val="000000"/>
          <w:sz w:val="20"/>
        </w:rPr>
        <w:t>Review with Management</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Audit Committee has reviewed the audited financial statements and met and held discussions with management regarding the audited financial statements. Management has represented to the Audit Committee that the Company’s consolidated financial statements were prepared in accordance with accounting principles generally accepted in the United States. </w:t>
      </w:r>
    </w:p>
    <w:p>
      <w:pPr>
        <w:pStyle w:val="TextBody"/>
        <w:bidi w:val="0"/>
        <w:spacing w:before="270" w:after="283"/>
        <w:jc w:val="left"/>
        <w:rPr>
          <w:rFonts w:ascii="Times New Roman" w:hAnsi="Times New Roman"/>
          <w:sz w:val="20"/>
        </w:rPr>
      </w:pPr>
      <w:r>
        <w:rPr>
          <w:rFonts w:ascii="Times New Roman" w:hAnsi="Times New Roman"/>
          <w:b/>
          <w:color w:val="000000"/>
          <w:sz w:val="20"/>
        </w:rPr>
        <w:t>Review and Discussion with Independent Registered Public Accounting Firm</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The Audit Committee has discussed with RSM US LLP matters required to be discussed by the applicable requirements of the Public Company Accounting Oversight Board. The Audit Committee received and reviewed the written disclosures and the letter from RSM US LLP required by </w:t>
      </w:r>
      <w:r>
        <w:rPr>
          <w:rFonts w:ascii="Times New Roman" w:hAnsi="Times New Roman"/>
          <w:color w:val="231F20"/>
          <w:sz w:val="20"/>
        </w:rPr>
        <w:t>Public Company Accounting Oversight Board Rule 3526 (</w:t>
      </w:r>
      <w:r>
        <w:rPr>
          <w:rFonts w:ascii="Times New Roman" w:hAnsi="Times New Roman"/>
          <w:i/>
          <w:color w:val="231F20"/>
          <w:sz w:val="20"/>
        </w:rPr>
        <w:t>Communication with Audit Committee Concerning Independence</w:t>
      </w:r>
      <w:r>
        <w:rPr>
          <w:rFonts w:ascii="Times New Roman" w:hAnsi="Times New Roman"/>
          <w:color w:val="231F20"/>
          <w:sz w:val="20"/>
        </w:rPr>
        <w:t>)</w:t>
      </w:r>
      <w:r>
        <w:rPr>
          <w:rFonts w:ascii="Times New Roman" w:hAnsi="Times New Roman"/>
          <w:color w:val="000000"/>
          <w:sz w:val="20"/>
        </w:rPr>
        <w:t xml:space="preserve">, and has discussed with RSM US LLP its independence and the compatibility of non-audit services with the firm’s independence. </w:t>
      </w:r>
    </w:p>
    <w:p>
      <w:pPr>
        <w:pStyle w:val="TextBody"/>
        <w:bidi w:val="0"/>
        <w:spacing w:before="270" w:after="283"/>
        <w:jc w:val="left"/>
        <w:rPr>
          <w:rFonts w:ascii="Times New Roman" w:hAnsi="Times New Roman"/>
          <w:sz w:val="20"/>
        </w:rPr>
      </w:pPr>
      <w:r>
        <w:rPr>
          <w:rFonts w:ascii="Times New Roman" w:hAnsi="Times New Roman"/>
          <w:b/>
          <w:color w:val="000000"/>
          <w:sz w:val="20"/>
        </w:rPr>
        <w:t>Conclusion</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Based on the Audit Committee’s discussion with management and the Company’s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of Directors include the audited consolidated financial statements in the Company’s Annual Report on Form 10-K for the year ended December 31, 2025 for filing with the Securities and Exchange Commission. The Audit Committee also appointed RSM US LLP to serve as the Company’s independent registered public accounting firm for the year ending December 31, 2026. </w:t>
      </w:r>
    </w:p>
    <w:p>
      <w:pPr>
        <w:pStyle w:val="TextBody"/>
        <w:bidi w:val="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The Audit Committee</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L. Anstiss, Jr., Chair</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Kelly McNamara Corley</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X. Tune</w:t>
            </w:r>
          </w:p>
        </w:tc>
      </w:tr>
    </w:tbl>
    <w:p>
      <w:pPr>
        <w:pStyle w:val="TextBody"/>
        <w:bidi w:val="0"/>
        <w:jc w:val="left"/>
        <w:rPr>
          <w:rFonts w:ascii="Times New Roman" w:hAnsi="Times New Roman"/>
          <w:i/>
          <w:color w:val="000000"/>
          <w:sz w:val="20"/>
        </w:rPr>
      </w:pPr>
      <w:r>
        <w:rPr>
          <w:rFonts w:ascii="Times New Roman" w:hAnsi="Times New Roman"/>
          <w:i/>
          <w:color w:val="000000"/>
          <w:sz w:val="20"/>
        </w:rPr>
        <w:t>* The information contained in the foregoing Audit Committee Report is not “soliciting material” and is not deemed “filed” with the SEC and is not incorporated by reference into any filing under the Securities Act or the Exchange Act, whether made before or after the date hereof and irrespective of any general incorporation by reference language in any such filing, except to the extent that we specifically incorporate this information by reference.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0" w:name="toc510126_17"/>
      <w:bookmarkStart w:id="41" w:name="privacy_notice"/>
      <w:bookmarkEnd w:id="40"/>
      <w:bookmarkEnd w:id="41"/>
      <w:r>
        <w:rPr>
          <w:rFonts w:ascii="Times New Roman" w:hAnsi="Times New Roman"/>
          <w:b/>
          <w:color w:val="000000"/>
          <w:sz w:val="20"/>
        </w:rPr>
        <w:t>PRIVACY NOTICE</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pStyle w:val="TextBody"/>
        <w:bidi w:val="0"/>
        <w:jc w:val="center"/>
        <w:rPr/>
      </w:pPr>
      <w:bookmarkStart w:id="42" w:name="toc510126_18"/>
      <w:bookmarkEnd w:id="42"/>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3" w:name="other_business"/>
      <w:bookmarkEnd w:id="43"/>
      <w:r>
        <w:rPr>
          <w:rFonts w:ascii="Times New Roman" w:hAnsi="Times New Roman"/>
          <w:b/>
          <w:color w:val="000000"/>
          <w:sz w:val="20"/>
        </w:rPr>
        <w:t>OTHER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Board of Directors knows of no other business to be presented for action at the 2026 Annual Meeting of Stockholders. If any matters do come before the meeting on which action can properly be taken, it is intended that the proxies shall vote in accordance with the judgment of the person or persons exercising the authority conferred by the proxy at the meeting. The submission of a proposal does not guarantee its inclusion in our proxy statement or presentation at the meeting unless certain securities law requirements are met. </w:t>
      </w:r>
    </w:p>
    <w:p>
      <w:pPr>
        <w:pStyle w:val="TextBody"/>
        <w:bidi w:val="0"/>
        <w:spacing w:before="180" w:after="283"/>
        <w:jc w:val="left"/>
        <w:rPr>
          <w:rFonts w:ascii="Times New Roman" w:hAnsi="Times New Roman"/>
          <w:sz w:val="20"/>
        </w:rPr>
      </w:pPr>
      <w:r>
        <w:rPr>
          <w:rFonts w:ascii="Times New Roman" w:hAnsi="Times New Roman"/>
          <w:b/>
          <w:color w:val="000000"/>
          <w:sz w:val="20"/>
        </w:rPr>
        <w:t>You are cordially invited to attend the 2026 Annual Meeting of Stockholders in person. Whether or not you plan to attend the meeting, you are requested to indicate your vote as to the matters to be acted on at the meeting by following the instructions provided in the enclosed proxy card or voting instruction form.</w:t>
      </w:r>
      <w:r>
        <w:rPr>
          <w:rFonts w:ascii="Times New Roman" w:hAnsi="Times New Roman"/>
          <w:color w:val="000000"/>
          <w:sz w:val="20"/>
        </w:rPr>
        <w:t xml:space="preserve"> </w:t>
      </w:r>
    </w:p>
    <w:tbl>
      <w:tblPr>
        <w:tblW w:w="6196" w:type="dxa"/>
        <w:jc w:val="left"/>
        <w:tblInd w:w="0" w:type="dxa"/>
        <w:tblLayout w:type="fixed"/>
        <w:tblCellMar>
          <w:top w:w="28" w:type="dxa"/>
          <w:left w:w="28" w:type="dxa"/>
          <w:bottom w:w="28" w:type="dxa"/>
          <w:right w:w="28" w:type="dxa"/>
        </w:tblCellMar>
      </w:tblPr>
      <w:tblGrid>
        <w:gridCol w:w="6196"/>
      </w:tblGrid>
      <w:tr>
        <w:trPr/>
        <w:tc>
          <w:tcPr>
            <w:tcW w:w="6196" w:type="dxa"/>
            <w:tcBorders/>
            <w:vAlign w:val="center"/>
          </w:tcPr>
          <w:p>
            <w:pPr>
              <w:pStyle w:val="TableContents"/>
              <w:bidi w:val="0"/>
              <w:spacing w:before="0" w:after="283"/>
              <w:jc w:val="left"/>
              <w:rPr>
                <w:sz w:val="4"/>
                <w:szCs w:val="4"/>
              </w:rPr>
            </w:pPr>
            <w:r>
              <w:rPr>
                <w:sz w:val="4"/>
                <w:szCs w:val="4"/>
              </w:rPr>
            </w:r>
          </w:p>
        </w:tc>
      </w:tr>
      <w:tr>
        <w:trPr/>
        <w:tc>
          <w:tcPr>
            <w:tcW w:w="619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619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By order of the Board of Directors</w:t>
            </w:r>
          </w:p>
          <w:p>
            <w:pPr>
              <w:pStyle w:val="TableContents"/>
              <w:bidi w:val="0"/>
              <w:spacing w:before="0" w:after="283"/>
              <w:jc w:val="left"/>
              <w:rPr/>
            </w:pPr>
            <w:r>
              <w:rPr/>
              <w:drawing>
                <wp:inline distT="0" distB="0" distL="0" distR="0">
                  <wp:extent cx="1962150" cy="523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62150" cy="523875"/>
                          </a:xfrm>
                          <a:prstGeom prst="rect">
                            <a:avLst/>
                          </a:prstGeom>
                        </pic:spPr>
                      </pic:pic>
                    </a:graphicData>
                  </a:graphic>
                </wp:inline>
              </w:drawing>
            </w:r>
          </w:p>
        </w:tc>
      </w:tr>
      <w:tr>
        <w:trPr/>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619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Chief Financial Officer, Chief Compliance Officer and Corporate Secretary</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Evanston, Illinois </w:t>
      </w:r>
    </w:p>
    <w:p>
      <w:pPr>
        <w:pStyle w:val="TextBody"/>
        <w:bidi w:val="0"/>
        <w:jc w:val="left"/>
        <w:rPr>
          <w:rFonts w:ascii="Times New Roman" w:hAnsi="Times New Roman"/>
          <w:color w:val="000000"/>
          <w:sz w:val="20"/>
        </w:rPr>
      </w:pPr>
      <w:r>
        <w:rPr>
          <w:rFonts w:ascii="Times New Roman" w:hAnsi="Times New Roman"/>
          <w:color w:val="000000"/>
          <w:sz w:val="20"/>
        </w:rPr>
        <w:t>March [●], 2026</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18719</Words>
  <Characters>99666</Characters>
  <CharactersWithSpaces>118927</CharactersWithSpaces>
  <Paragraphs>2097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