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60331.htm"/>
      <w:bookmarkStart w:id="1" w:name="ksfdus202603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rFonts w:ascii="Times New Roman" w:hAnsi="Times New Roman"/>
          <w:color w:val="000000"/>
          <w:sz w:val="20"/>
        </w:rPr>
      </w:pPr>
      <w:r>
        <w:rPr>
          <w:rFonts w:ascii="Times New Roman" w:hAnsi="Times New Roman"/>
          <w:color w:val="000000"/>
          <w:sz w:val="20"/>
        </w:rPr>
        <w:t>(Mark One)</w:t>
      </w:r>
    </w:p>
    <w:p>
      <w:pPr>
        <w:pStyle w:val="TextBody"/>
        <w:bidi w:val="0"/>
        <w:spacing w:before="60" w:after="283"/>
        <w:jc w:val="center"/>
        <w:rPr/>
      </w:pPr>
      <w:r>
        <w:rPr>
          <w:color w:val="000000"/>
        </w:rPr>
        <w:t xml:space="preserve">☑ </w:t>
      </w:r>
      <w:r>
        <w:rPr>
          <w:rFonts w:ascii="Times New Roman" w:hAnsi="Times New Roman"/>
          <w:b/>
          <w:color w:val="000000"/>
          <w:sz w:val="20"/>
        </w:rPr>
        <w:t>QUARTERLY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center"/>
        <w:rPr/>
      </w:pPr>
      <w:r>
        <w:rPr>
          <w:color w:val="000000"/>
        </w:rPr>
        <w:t xml:space="preserve">☐ </w:t>
      </w:r>
      <w:r>
        <w:rPr>
          <w:rFonts w:ascii="Times New Roman" w:hAnsi="Times New Roman"/>
          <w:b/>
          <w:color w:val="000000"/>
          <w:sz w:val="20"/>
        </w:rPr>
        <w:t>TRANSITION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814-00861</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27-5017321</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Evanston, Illinois</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i/>
          <w:color w:val="000000"/>
          <w:sz w:val="20"/>
        </w:rPr>
      </w:pPr>
      <w:r>
        <w:rPr>
          <w:rFonts w:ascii="Times New Roman" w:hAnsi="Times New Roman"/>
          <w:i/>
          <w:color w:val="000000"/>
          <w:sz w:val="20"/>
        </w:rPr>
        <w:t xml:space="preserve">(Registrant’s telephone number, including area code) </w:t>
      </w:r>
    </w:p>
    <w:p>
      <w:pPr>
        <w:pStyle w:val="TextBody"/>
        <w:bidi w:val="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i/>
          <w:color w:val="000000"/>
          <w:sz w:val="20"/>
        </w:rPr>
      </w:pPr>
      <w:r>
        <w:rPr>
          <w:rFonts w:ascii="Times New Roman" w:hAnsi="Times New Roman"/>
          <w:i/>
          <w:color w:val="000000"/>
          <w:sz w:val="20"/>
        </w:rPr>
        <w:t>(Former name, former address and former fiscal year,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373" w:type="dxa"/>
        <w:jc w:val="left"/>
        <w:tblInd w:w="0" w:type="dxa"/>
        <w:tblLayout w:type="fixed"/>
        <w:tblCellMar>
          <w:top w:w="28" w:type="dxa"/>
          <w:left w:w="28" w:type="dxa"/>
          <w:bottom w:w="28" w:type="dxa"/>
          <w:right w:w="28" w:type="dxa"/>
        </w:tblCellMar>
      </w:tblPr>
      <w:tblGrid>
        <w:gridCol w:w="3601"/>
        <w:gridCol w:w="145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43"/>
        <w:gridCol w:w="1431"/>
        <w:gridCol w:w="1791"/>
        <w:gridCol w:w="2495"/>
        <w:gridCol w:w="2545"/>
      </w:tblGrid>
      <w:tr>
        <w:trPr/>
        <w:tc>
          <w:tcPr>
            <w:tcW w:w="194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r>
      <w:tr>
        <w:trPr/>
        <w:tc>
          <w:tcPr>
            <w:tcW w:w="19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Large accelerated filer </w:t>
            </w:r>
          </w:p>
          <w:p>
            <w:pPr>
              <w:pStyle w:val="TableContents"/>
              <w:bidi w:val="0"/>
              <w:spacing w:before="0" w:after="283"/>
              <w:jc w:val="center"/>
              <w:rPr>
                <w:color w:val="000000"/>
              </w:rPr>
            </w:pPr>
            <w:r>
              <w:rPr>
                <w:color w:val="000000"/>
              </w:rPr>
              <w:t>☑</w:t>
            </w:r>
          </w:p>
        </w:tc>
        <w:tc>
          <w:tcPr>
            <w:tcW w:w="1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Accelerated filer</w:t>
            </w:r>
          </w:p>
          <w:p>
            <w:pPr>
              <w:pStyle w:val="TableContents"/>
              <w:bidi w:val="0"/>
              <w:spacing w:before="0" w:after="283"/>
              <w:jc w:val="center"/>
              <w:rPr>
                <w:color w:val="000000"/>
              </w:rPr>
            </w:pPr>
            <w:r>
              <w:rPr>
                <w:color w:val="000000"/>
              </w:rPr>
              <w:t>☐</w:t>
            </w:r>
          </w:p>
        </w:tc>
        <w:tc>
          <w:tcPr>
            <w:tcW w:w="17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Non-accelerated filer</w:t>
            </w:r>
          </w:p>
          <w:p>
            <w:pPr>
              <w:pStyle w:val="TableContents"/>
              <w:bidi w:val="0"/>
              <w:spacing w:before="0" w:after="283"/>
              <w:jc w:val="center"/>
              <w:rPr>
                <w:color w:val="000000"/>
              </w:rPr>
            </w:pPr>
            <w:r>
              <w:rPr>
                <w:color w:val="000000"/>
              </w:rPr>
              <w:t>☐</w:t>
            </w:r>
          </w:p>
        </w:tc>
        <w:tc>
          <w:tcPr>
            <w:tcW w:w="24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25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As of May 5, 2026, the Registrant had outstanding 37,954,364 shares of common stock, $0.001 par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8"/>
        <w:gridCol w:w="9075"/>
        <w:gridCol w:w="362"/>
      </w:tblGrid>
      <w:tr>
        <w:trPr/>
        <w:tc>
          <w:tcPr>
            <w:tcW w:w="768"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ind w:left="0" w:right="0" w:firstLine="101"/>
              <w:jc w:val="center"/>
              <w:rPr/>
            </w:pPr>
            <w:hyperlink w:anchor="part_i">
              <w:r>
                <w:rPr>
                  <w:rStyle w:val="InternetLink"/>
                  <w:rFonts w:ascii="Times New Roman" w:hAnsi="Times New Roman"/>
                  <w:b/>
                  <w:color w:val="0000FF"/>
                  <w:sz w:val="20"/>
                  <w:u w:val="single"/>
                </w:rPr>
                <w:t>PART I — FINANCIAL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net_asset">
              <w:r>
                <w:rPr>
                  <w:rStyle w:val="InternetLink"/>
                  <w:rFonts w:ascii="Times New Roman" w:hAnsi="Times New Roman"/>
                  <w:color w:val="0000FF"/>
                  <w:sz w:val="20"/>
                  <w:u w:val="single"/>
                </w:rPr>
                <w:t>Consolidated Statements of Assets and Liabilities — March 31, 2026 (unaudited) and December 31,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Consolidated Statements of Operations — three months ended March 31, 2026 (unaudited) and 2025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changes_net_assets">
              <w:r>
                <w:rPr>
                  <w:rStyle w:val="InternetLink"/>
                  <w:rFonts w:ascii="Times New Roman" w:hAnsi="Times New Roman"/>
                  <w:color w:val="0000FF"/>
                  <w:sz w:val="20"/>
                  <w:u w:val="single"/>
                </w:rPr>
                <w:t>Consolidated Statements of Changes in Net Assets — three months ended March 31, 2026 (unaudited) and 2025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 three months ended March 31, 2026 (unaudited) and 2025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 March 31, 2026 (unaudited) and December 31,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2_unregistered_sales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4" w:name="net_asset"/>
      <w:bookmarkEnd w:id="4"/>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5"/>
        <w:gridCol w:w="146"/>
        <w:gridCol w:w="196"/>
        <w:gridCol w:w="826"/>
        <w:gridCol w:w="146"/>
        <w:gridCol w:w="146"/>
        <w:gridCol w:w="208"/>
        <w:gridCol w:w="879"/>
        <w:gridCol w:w="293"/>
      </w:tblGrid>
      <w:tr>
        <w:trPr/>
        <w:tc>
          <w:tcPr>
            <w:tcW w:w="7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Control investments (cost: $1,610</w:t>
            </w:r>
            <w:r>
              <w:rPr>
                <w:rFonts w:ascii="Times New Roman" w:hAnsi="Times New Roman"/>
                <w:color w:val="000000"/>
                <w:sz w:val="20"/>
              </w:rPr>
              <w:t> </w:t>
            </w:r>
            <w:r>
              <w:rPr>
                <w:rFonts w:ascii="Times New Roman" w:hAnsi="Times New Roman"/>
                <w:color w:val="000000"/>
                <w:sz w:val="16"/>
              </w:rPr>
              <w:t>and $1,610,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Affiliate investments (cost: $77,136</w:t>
            </w:r>
            <w:r>
              <w:rPr>
                <w:rFonts w:ascii="Times New Roman" w:hAnsi="Times New Roman"/>
                <w:color w:val="000000"/>
                <w:sz w:val="20"/>
              </w:rPr>
              <w:t> </w:t>
            </w:r>
            <w:r>
              <w:rPr>
                <w:rFonts w:ascii="Times New Roman" w:hAnsi="Times New Roman"/>
                <w:color w:val="000000"/>
                <w:sz w:val="16"/>
              </w:rPr>
              <w:t>and $75,208,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Non-control/non-affiliate investments (cost: $1,257,389</w:t>
            </w:r>
            <w:r>
              <w:rPr>
                <w:rFonts w:ascii="Times New Roman" w:hAnsi="Times New Roman"/>
                <w:color w:val="000000"/>
                <w:sz w:val="20"/>
              </w:rPr>
              <w:t> </w:t>
            </w:r>
            <w:r>
              <w:rPr>
                <w:rFonts w:ascii="Times New Roman" w:hAnsi="Times New Roman"/>
                <w:color w:val="000000"/>
                <w:sz w:val="16"/>
              </w:rPr>
              <w:t>and $1,222,476,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1,205,738</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(cost: $1,336,135</w:t>
            </w:r>
            <w:r>
              <w:rPr>
                <w:rFonts w:ascii="Times New Roman" w:hAnsi="Times New Roman"/>
                <w:color w:val="000000"/>
                <w:sz w:val="20"/>
              </w:rPr>
              <w:t> </w:t>
            </w:r>
            <w:r>
              <w:rPr>
                <w:rFonts w:ascii="Times New Roman" w:hAnsi="Times New Roman"/>
                <w:color w:val="000000"/>
                <w:sz w:val="16"/>
              </w:rPr>
              <w:t>and $1,299,294,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21,414</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SBA debentures (net of $7,319</w:t>
            </w:r>
            <w:r>
              <w:rPr>
                <w:rFonts w:ascii="Times New Roman" w:hAnsi="Times New Roman"/>
                <w:color w:val="000000"/>
                <w:sz w:val="20"/>
              </w:rPr>
              <w:t> </w:t>
            </w:r>
            <w:r>
              <w:rPr>
                <w:rFonts w:ascii="Times New Roman" w:hAnsi="Times New Roman"/>
                <w:color w:val="000000"/>
                <w:sz w:val="16"/>
              </w:rPr>
              <w:t>and $6,943, respectively, of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230,557</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Notes (net of $3,759</w:t>
            </w:r>
            <w:r>
              <w:rPr>
                <w:rFonts w:ascii="Times New Roman" w:hAnsi="Times New Roman"/>
                <w:color w:val="000000"/>
                <w:sz w:val="20"/>
              </w:rPr>
              <w:t> </w:t>
            </w:r>
            <w:r>
              <w:rPr>
                <w:rFonts w:ascii="Times New Roman" w:hAnsi="Times New Roman"/>
                <w:color w:val="000000"/>
                <w:sz w:val="16"/>
              </w:rPr>
              <w:t>and $4,109, respectively, of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320,891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SPV Credit Facility (net of $3,063</w:t>
            </w:r>
            <w:r>
              <w:rPr>
                <w:rFonts w:ascii="Times New Roman" w:hAnsi="Times New Roman"/>
                <w:color w:val="000000"/>
                <w:sz w:val="20"/>
              </w:rPr>
              <w:t> </w:t>
            </w:r>
            <w:r>
              <w:rPr>
                <w:rFonts w:ascii="Times New Roman" w:hAnsi="Times New Roman"/>
                <w:color w:val="000000"/>
                <w:sz w:val="16"/>
              </w:rPr>
              <w:t>and $3,223, respectively, of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684,640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37,954,364</w:t>
            </w:r>
            <w:r>
              <w:rPr>
                <w:rFonts w:ascii="Times New Roman" w:hAnsi="Times New Roman"/>
                <w:color w:val="000000"/>
                <w:sz w:val="20"/>
              </w:rPr>
              <w:t> </w:t>
            </w:r>
            <w:r>
              <w:rPr>
                <w:rFonts w:ascii="Times New Roman" w:hAnsi="Times New Roman"/>
                <w:color w:val="000000"/>
                <w:sz w:val="16"/>
              </w:rPr>
              <w:t>and 37,954,364</w:t>
            </w:r>
            <w:r>
              <w:rPr>
                <w:rFonts w:ascii="Times New Roman" w:hAnsi="Times New Roman"/>
                <w:color w:val="000000"/>
                <w:sz w:val="20"/>
              </w:rPr>
              <w:t> </w:t>
            </w:r>
            <w:r>
              <w:rPr>
                <w:rFonts w:ascii="Times New Roman" w:hAnsi="Times New Roman"/>
                <w:color w:val="000000"/>
                <w:sz w:val="16"/>
              </w:rPr>
              <w:t>shares issued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100,485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741,899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5" w:name="statement_of_operations"/>
      <w:bookmarkEnd w:id="5"/>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235" w:type="dxa"/>
        <w:jc w:val="left"/>
        <w:tblInd w:w="0" w:type="dxa"/>
        <w:tblLayout w:type="fixed"/>
        <w:tblCellMar>
          <w:top w:w="28" w:type="dxa"/>
          <w:left w:w="28" w:type="dxa"/>
          <w:bottom w:w="28" w:type="dxa"/>
          <w:right w:w="28" w:type="dxa"/>
        </w:tblCellMar>
      </w:tblPr>
      <w:tblGrid>
        <w:gridCol w:w="5716"/>
        <w:gridCol w:w="146"/>
        <w:gridCol w:w="196"/>
        <w:gridCol w:w="916"/>
        <w:gridCol w:w="166"/>
        <w:gridCol w:w="146"/>
        <w:gridCol w:w="196"/>
        <w:gridCol w:w="916"/>
        <w:gridCol w:w="166"/>
        <w:gridCol w:w="67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37,954,364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34,077,720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6" w:name="changes_net_assets"/>
      <w:bookmarkEnd w:id="6"/>
      <w:r>
        <w:rPr>
          <w:rFonts w:ascii="Times New Roman" w:hAnsi="Times New Roman"/>
          <w:b/>
          <w:color w:val="000000"/>
          <w:sz w:val="20"/>
        </w:rPr>
        <w:t>Consolidated Statements of Changes in Net Assets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25"/>
        <w:gridCol w:w="796"/>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33,914,652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34,970,709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677,930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37,954,364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741,899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37,954,364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742,047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 is greater than zero but less than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7" w:name="statements_cash_flows"/>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62"/>
        <w:gridCol w:w="346"/>
        <w:gridCol w:w="196"/>
        <w:gridCol w:w="751"/>
        <w:gridCol w:w="346"/>
        <w:gridCol w:w="346"/>
        <w:gridCol w:w="196"/>
        <w:gridCol w:w="751"/>
        <w:gridCol w:w="1011"/>
      </w:tblGrid>
      <w:tr>
        <w:trPr/>
        <w:tc>
          <w:tcPr>
            <w:tcW w:w="62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dividend income paid-in-kind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original issue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loan origination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 of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(118,646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(115,555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73,052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loan origination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Realized losses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equity financing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 and fees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Capital gains incentive fee (reversal) – due to (from)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Administration fee payable and other – due to (from)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Taxes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 and 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common stock offerings, net of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SBA debentures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SBA debentures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issuance of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Credit Facilities,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Secured Borrowings,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paid to stockholders, including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3,388</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60,513</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79,606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50,399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disclosures: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taxes, net of tax refunds received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Value of shares issued pursuant to the dividend reinvestment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The following table provides a reconciliation of cash and cash equivalents and restricted cash reported within the Consolidated Statements of Assets and Liabilities that sum to the total of the same such amounts in the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5"/>
        <w:gridCol w:w="146"/>
        <w:gridCol w:w="290"/>
        <w:gridCol w:w="891"/>
        <w:gridCol w:w="146"/>
        <w:gridCol w:w="146"/>
        <w:gridCol w:w="340"/>
        <w:gridCol w:w="1046"/>
        <w:gridCol w:w="595"/>
      </w:tblGrid>
      <w:tr>
        <w:trPr/>
        <w:tc>
          <w:tcPr>
            <w:tcW w:w="6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66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cash, cash equivalents and restricted cash presented in the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79,606</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8" w:name="consolidated_schedule_of_investments"/>
      <w:bookmarkEnd w:id="8"/>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062"/>
        <w:gridCol w:w="1301"/>
        <w:gridCol w:w="902"/>
        <w:gridCol w:w="653"/>
        <w:gridCol w:w="774"/>
        <w:gridCol w:w="687"/>
        <w:gridCol w:w="181"/>
        <w:gridCol w:w="511"/>
        <w:gridCol w:w="146"/>
        <w:gridCol w:w="146"/>
        <w:gridCol w:w="181"/>
        <w:gridCol w:w="511"/>
        <w:gridCol w:w="151"/>
        <w:gridCol w:w="146"/>
        <w:gridCol w:w="181"/>
        <w:gridCol w:w="586"/>
        <w:gridCol w:w="146"/>
        <w:gridCol w:w="212"/>
        <w:gridCol w:w="374"/>
        <w:gridCol w:w="354"/>
      </w:tblGrid>
      <w:tr>
        <w:trPr/>
        <w:tc>
          <w:tcPr>
            <w:tcW w:w="206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(a)(b)</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Variable Index</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Rate (e)</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Investment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Investment Type (c)</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Industry</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Spread / Floor (d)</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Cash/PIK</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Date (f)</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Maturity</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Assets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Control Investments (t)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US GreenFiber, LLC (n)</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(2,522</w:t>
            </w:r>
            <w:r>
              <w:rPr>
                <w:rFonts w:ascii="Times New Roman" w:hAnsi="Times New Roman"/>
                <w:color w:val="000000"/>
                <w:sz w:val="20"/>
              </w:rPr>
              <w:t> </w:t>
            </w:r>
            <w:r>
              <w:rPr>
                <w:rFonts w:ascii="Times New Roman" w:hAnsi="Times New Roman"/>
                <w:color w:val="000000"/>
                <w:sz w:val="14"/>
              </w:rPr>
              <w:t>units) (h)</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7/3/2014</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(425,508</w:t>
            </w:r>
            <w:r>
              <w:rPr>
                <w:rFonts w:ascii="Times New Roman" w:hAnsi="Times New Roman"/>
                <w:color w:val="000000"/>
                <w:sz w:val="20"/>
              </w:rPr>
              <w:t> </w:t>
            </w:r>
            <w:r>
              <w:rPr>
                <w:rFonts w:ascii="Times New Roman" w:hAnsi="Times New Roman"/>
                <w:color w:val="000000"/>
                <w:sz w:val="14"/>
              </w:rPr>
              <w:t>units)</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8/30/2019</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(1,022,813</w:t>
            </w:r>
            <w:r>
              <w:rPr>
                <w:rFonts w:ascii="Times New Roman" w:hAnsi="Times New Roman"/>
                <w:color w:val="000000"/>
                <w:sz w:val="20"/>
              </w:rPr>
              <w:t> </w:t>
            </w:r>
            <w:r>
              <w:rPr>
                <w:rFonts w:ascii="Times New Roman" w:hAnsi="Times New Roman"/>
                <w:color w:val="000000"/>
                <w:sz w:val="14"/>
              </w:rPr>
              <w:t>units) (h)</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7/1/2020</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Control Investments</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Affiliate Investments (l)</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Applegate Greenfiber Intermediate Inc. (fka US GreenFiber, LLC)</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11.00%/0.00%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(5,690</w:t>
            </w:r>
            <w:r>
              <w:rPr>
                <w:rFonts w:ascii="Times New Roman" w:hAnsi="Times New Roman"/>
                <w:color w:val="000000"/>
                <w:sz w:val="20"/>
              </w:rPr>
              <w:t> </w:t>
            </w:r>
            <w:r>
              <w:rPr>
                <w:rFonts w:ascii="Times New Roman" w:hAnsi="Times New Roman"/>
                <w:color w:val="000000"/>
                <w:sz w:val="14"/>
              </w:rPr>
              <w:t>units) (h)</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(7,113</w:t>
            </w:r>
            <w:r>
              <w:rPr>
                <w:rFonts w:ascii="Times New Roman" w:hAnsi="Times New Roman"/>
                <w:color w:val="000000"/>
                <w:sz w:val="20"/>
              </w:rPr>
              <w:t> </w:t>
            </w:r>
            <w:r>
              <w:rPr>
                <w:rFonts w:ascii="Times New Roman" w:hAnsi="Times New Roman"/>
                <w:color w:val="000000"/>
                <w:sz w:val="14"/>
              </w:rPr>
              <w:t>units) (h)</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(2,012</w:t>
            </w:r>
            <w:r>
              <w:rPr>
                <w:rFonts w:ascii="Times New Roman" w:hAnsi="Times New Roman"/>
                <w:color w:val="000000"/>
                <w:sz w:val="20"/>
              </w:rPr>
              <w:t> </w:t>
            </w:r>
            <w:r>
              <w:rPr>
                <w:rFonts w:ascii="Times New Roman" w:hAnsi="Times New Roman"/>
                <w:color w:val="000000"/>
                <w:sz w:val="14"/>
              </w:rPr>
              <w:t>units) (h)</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CP Communications, LLC</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(am)</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+ 8.50%) / (4.00%)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12/4/2024</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(62</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12/4/2024</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Medsurant Holdings, LLC (n)</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(84,997</w:t>
            </w:r>
            <w:r>
              <w:rPr>
                <w:rFonts w:ascii="Times New Roman" w:hAnsi="Times New Roman"/>
                <w:color w:val="000000"/>
                <w:sz w:val="20"/>
              </w:rPr>
              <w:t> </w:t>
            </w:r>
            <w:r>
              <w:rPr>
                <w:rFonts w:ascii="Times New Roman" w:hAnsi="Times New Roman"/>
                <w:color w:val="000000"/>
                <w:sz w:val="14"/>
              </w:rPr>
              <w:t>units) (h)</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4/12/2011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Warrant (252,588</w:t>
            </w:r>
            <w:r>
              <w:rPr>
                <w:rFonts w:ascii="Times New Roman" w:hAnsi="Times New Roman"/>
                <w:color w:val="000000"/>
                <w:sz w:val="20"/>
              </w:rPr>
              <w:t> </w:t>
            </w:r>
            <w:r>
              <w:rPr>
                <w:rFonts w:ascii="Times New Roman" w:hAnsi="Times New Roman"/>
                <w:color w:val="000000"/>
                <w:sz w:val="14"/>
              </w:rPr>
              <w:t>units) (h)(m)</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4/12/2011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Pfanstiehl, Inc.</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(2,550</w:t>
            </w:r>
            <w:r>
              <w:rPr>
                <w:rFonts w:ascii="Times New Roman" w:hAnsi="Times New Roman"/>
                <w:color w:val="000000"/>
                <w:sz w:val="20"/>
              </w:rPr>
              <w:t> </w:t>
            </w:r>
            <w:r>
              <w:rPr>
                <w:rFonts w:ascii="Times New Roman" w:hAnsi="Times New Roman"/>
                <w:color w:val="000000"/>
                <w:sz w:val="14"/>
              </w:rPr>
              <w:t>units)</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3/29/2013</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PIPCO, LLC</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+ 6.25%) / (2.00%)</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9.91%/0.00%</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($3,000</w:t>
            </w:r>
            <w:r>
              <w:rPr>
                <w:rFonts w:ascii="Times New Roman" w:hAnsi="Times New Roman"/>
                <w:color w:val="000000"/>
                <w:sz w:val="20"/>
              </w:rPr>
              <w:t> </w:t>
            </w:r>
            <w:r>
              <w:rPr>
                <w:rFonts w:ascii="Times New Roman" w:hAnsi="Times New Roman"/>
                <w:color w:val="000000"/>
                <w:sz w:val="14"/>
              </w:rPr>
              <w:t>unfunded commitment)(i)</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+ 6.25%) / (2.00%)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9.91%/0.00%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(750</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Spectra A&amp;D Acquisition, Inc. (fka FDS Avionics Corp.)</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Aerospace &amp; Defense Manufacturing</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(ag)</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+ 6.00%) / (1.00%)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9.96%/0.00%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2/12/2021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8/11/2027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(12,035</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8/25/2021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(38,493</w:t>
            </w:r>
            <w:r>
              <w:rPr>
                <w:rFonts w:ascii="Times New Roman" w:hAnsi="Times New Roman"/>
                <w:color w:val="000000"/>
                <w:sz w:val="20"/>
              </w:rPr>
              <w:t> </w:t>
            </w:r>
            <w:r>
              <w:rPr>
                <w:rFonts w:ascii="Times New Roman" w:hAnsi="Times New Roman"/>
                <w:color w:val="000000"/>
                <w:sz w:val="14"/>
              </w:rPr>
              <w:t>units)</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12/16/2022</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(6,783</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7/10/2023</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(4,663</w:t>
            </w:r>
            <w:r>
              <w:rPr>
                <w:rFonts w:ascii="Times New Roman" w:hAnsi="Times New Roman"/>
                <w:color w:val="000000"/>
                <w:sz w:val="20"/>
              </w:rPr>
              <w:t> </w:t>
            </w:r>
            <w:r>
              <w:rPr>
                <w:rFonts w:ascii="Times New Roman" w:hAnsi="Times New Roman"/>
                <w:color w:val="000000"/>
                <w:sz w:val="14"/>
              </w:rPr>
              <w:t>units)</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9/16/2022</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(21,689</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5/22/2024</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Steward Holding LLC (dba Steward Advanced Materials)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Aerospace &amp; Defense Manufacturing</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units)</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11/12/2015</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Suited Connector LLC</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(12,000,000</w:t>
            </w:r>
            <w:r>
              <w:rPr>
                <w:rFonts w:ascii="Times New Roman" w:hAnsi="Times New Roman"/>
                <w:color w:val="000000"/>
                <w:sz w:val="20"/>
              </w:rPr>
              <w:t> </w:t>
            </w:r>
            <w:r>
              <w:rPr>
                <w:rFonts w:ascii="Times New Roman" w:hAnsi="Times New Roman"/>
                <w:color w:val="000000"/>
                <w:sz w:val="14"/>
              </w:rPr>
              <w:t>units) (h)</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3/31/2026</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(15,000,000</w:t>
            </w:r>
            <w:r>
              <w:rPr>
                <w:rFonts w:ascii="Times New Roman" w:hAnsi="Times New Roman"/>
                <w:color w:val="000000"/>
                <w:sz w:val="20"/>
              </w:rPr>
              <w:t> </w:t>
            </w:r>
            <w:r>
              <w:rPr>
                <w:rFonts w:ascii="Times New Roman" w:hAnsi="Times New Roman"/>
                <w:color w:val="000000"/>
                <w:sz w:val="14"/>
              </w:rPr>
              <w:t>units) (h)</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3/31/2026</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Affiliate Investments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2KDirect, Inc. (dba iPromote)</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+ 8.00%) / (0.50%)</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11.81%/0.00%</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6/25/2021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(aa)</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+ 8.00%) / (0.50%)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8.06%/0.00%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7/30/2021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6/25/2021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301 Edison Holdings Inc. (dba LGG Industrial)</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11.75%/1.50%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11/14/2023</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(518,135</w:t>
            </w:r>
            <w:r>
              <w:rPr>
                <w:rFonts w:ascii="Times New Roman" w:hAnsi="Times New Roman"/>
                <w:color w:val="000000"/>
                <w:sz w:val="20"/>
              </w:rPr>
              <w:t> </w:t>
            </w:r>
            <w:r>
              <w:rPr>
                <w:rFonts w:ascii="Times New Roman" w:hAnsi="Times New Roman"/>
                <w:color w:val="000000"/>
                <w:sz w:val="14"/>
              </w:rPr>
              <w:t>units)</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11/14/2023</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Acendre Midco, Inc.</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12.50%/1.25%</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5/8/2026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6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12.50%/1.25%</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5/8/2026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582"/>
        <w:gridCol w:w="1412"/>
        <w:gridCol w:w="983"/>
        <w:gridCol w:w="708"/>
        <w:gridCol w:w="566"/>
        <w:gridCol w:w="566"/>
        <w:gridCol w:w="146"/>
        <w:gridCol w:w="511"/>
        <w:gridCol w:w="146"/>
        <w:gridCol w:w="146"/>
        <w:gridCol w:w="146"/>
        <w:gridCol w:w="511"/>
        <w:gridCol w:w="151"/>
        <w:gridCol w:w="146"/>
        <w:gridCol w:w="146"/>
        <w:gridCol w:w="511"/>
        <w:gridCol w:w="146"/>
        <w:gridCol w:w="146"/>
        <w:gridCol w:w="181"/>
        <w:gridCol w:w="355"/>
      </w:tblGrid>
      <w:tr>
        <w:trPr/>
        <w:tc>
          <w:tcPr>
            <w:tcW w:w="258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Revolving Loan (i)</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12.50%/1.25%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shares)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Warrant (275,000</w:t>
            </w:r>
            <w:r>
              <w:rPr>
                <w:rFonts w:ascii="Times New Roman" w:hAnsi="Times New Roman"/>
                <w:color w:val="000000"/>
                <w:sz w:val="20"/>
              </w:rPr>
              <w:t> </w:t>
            </w:r>
            <w:r>
              <w:rPr>
                <w:rFonts w:ascii="Times New Roman" w:hAnsi="Times New Roman"/>
                <w:color w:val="000000"/>
                <w:sz w:val="14"/>
              </w:rPr>
              <w:t>shares) (m)</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(77,016</w:t>
            </w:r>
            <w:r>
              <w:rPr>
                <w:rFonts w:ascii="Times New Roman" w:hAnsi="Times New Roman"/>
                <w:color w:val="000000"/>
                <w:sz w:val="20"/>
              </w:rPr>
              <w:t> </w:t>
            </w:r>
            <w:r>
              <w:rPr>
                <w:rFonts w:ascii="Times New Roman" w:hAnsi="Times New Roman"/>
                <w:color w:val="000000"/>
                <w:sz w:val="14"/>
              </w:rPr>
              <w:t>shares)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9/26/2022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(568,182</w:t>
            </w:r>
            <w:r>
              <w:rPr>
                <w:rFonts w:ascii="Times New Roman" w:hAnsi="Times New Roman"/>
                <w:color w:val="000000"/>
                <w:sz w:val="20"/>
              </w:rPr>
              <w:t> </w:t>
            </w:r>
            <w:r>
              <w:rPr>
                <w:rFonts w:ascii="Times New Roman" w:hAnsi="Times New Roman"/>
                <w:color w:val="000000"/>
                <w:sz w:val="14"/>
              </w:rPr>
              <w:t>shares)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6/10/2025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Ad Info Parent, Inc. (dba MediaRadar)</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+ 4.75%) / (1.00%)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8.45%/0.00%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($1,442</w:t>
            </w:r>
            <w:r>
              <w:rPr>
                <w:rFonts w:ascii="Times New Roman" w:hAnsi="Times New Roman"/>
                <w:color w:val="000000"/>
                <w:sz w:val="20"/>
              </w:rPr>
              <w:t> </w:t>
            </w:r>
            <w:r>
              <w:rPr>
                <w:rFonts w:ascii="Times New Roman" w:hAnsi="Times New Roman"/>
                <w:color w:val="000000"/>
                <w:sz w:val="14"/>
              </w:rPr>
              <w:t>unfunded commitment) (i)</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+ 4.75%) / (1.00%)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8.42%/0.00%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(1,250,000</w:t>
            </w:r>
            <w:r>
              <w:rPr>
                <w:rFonts w:ascii="Times New Roman" w:hAnsi="Times New Roman"/>
                <w:color w:val="000000"/>
                <w:sz w:val="20"/>
              </w:rPr>
              <w:t> </w:t>
            </w:r>
            <w:r>
              <w:rPr>
                <w:rFonts w:ascii="Times New Roman" w:hAnsi="Times New Roman"/>
                <w:color w:val="000000"/>
                <w:sz w:val="14"/>
              </w:rPr>
              <w:t>units)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Air Burners, Inc.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Utility Equipment Manufacturing</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(2.00%)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8.66%/0.00%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(1,250,000</w:t>
            </w:r>
            <w:r>
              <w:rPr>
                <w:rFonts w:ascii="Times New Roman" w:hAnsi="Times New Roman"/>
                <w:color w:val="000000"/>
                <w:sz w:val="20"/>
              </w:rPr>
              <w:t> </w:t>
            </w:r>
            <w:r>
              <w:rPr>
                <w:rFonts w:ascii="Times New Roman" w:hAnsi="Times New Roman"/>
                <w:color w:val="000000"/>
                <w:sz w:val="14"/>
              </w:rPr>
              <w:t>units) ($200</w:t>
            </w:r>
            <w:r>
              <w:rPr>
                <w:rFonts w:ascii="Times New Roman" w:hAnsi="Times New Roman"/>
                <w:color w:val="000000"/>
                <w:sz w:val="20"/>
              </w:rPr>
              <w:t> </w:t>
            </w:r>
            <w:r>
              <w:rPr>
                <w:rFonts w:ascii="Times New Roman" w:hAnsi="Times New Roman"/>
                <w:color w:val="000000"/>
                <w:sz w:val="14"/>
              </w:rPr>
              <w:t>unfunded commitment)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11/24/2025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Allredi, LLC (fka Marco Group International OpCo, LLC)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Industrial Cleaning &amp; Coatings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0.00%/15.00%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3/2/2020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(570,636</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7/21/2017</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(39,443</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11/24/2021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(524,624units)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American AllWaste LLC (dba WasteWater Transport Services)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Environmental Industries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10.00%/2.00%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3/27/2026</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5/31/2018</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(207</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8/6/2019</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(141</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11/2/2020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(74</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12/29/2021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(52</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(312</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(1,405</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AmeriWater, LLC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(af)</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+ 6.25%) / (1.00%)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9.95%/0.00%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7/8/2022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AMOpportunities, Inc.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(801,414</w:t>
            </w:r>
            <w:r>
              <w:rPr>
                <w:rFonts w:ascii="Times New Roman" w:hAnsi="Times New Roman"/>
                <w:color w:val="000000"/>
                <w:sz w:val="20"/>
              </w:rPr>
              <w:t> </w:t>
            </w:r>
            <w:r>
              <w:rPr>
                <w:rFonts w:ascii="Times New Roman" w:hAnsi="Times New Roman"/>
                <w:color w:val="000000"/>
                <w:sz w:val="14"/>
              </w:rPr>
              <w:t>shares)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3/17/2025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AOM Intermediate Holdco, LLC (dba AllOver Media)</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(1,232</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2/1/2022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APM Intermediate Holdings, LLC (dba Artistic Paver Manufacturing, Inc.)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(ai)</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+ 7.00%)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10.65%/0.00%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11/8/2022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10.00%/5.00%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12/19/2025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(1,200</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11/8/2022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Auto CRM LLC (dba Dealer Holdings)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0.00%/14.50%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0.00%/14.50%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(253</w:t>
            </w:r>
            <w:r>
              <w:rPr>
                <w:rFonts w:ascii="Times New Roman" w:hAnsi="Times New Roman"/>
                <w:color w:val="000000"/>
                <w:sz w:val="20"/>
              </w:rPr>
              <w:t> </w:t>
            </w:r>
            <w:r>
              <w:rPr>
                <w:rFonts w:ascii="Times New Roman" w:hAnsi="Times New Roman"/>
                <w:color w:val="000000"/>
                <w:sz w:val="14"/>
              </w:rPr>
              <w:t>units)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Axis Medical Technologies LLC (dba MoveMedical)</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+ 6.50%)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($800</w:t>
            </w:r>
            <w:r>
              <w:rPr>
                <w:rFonts w:ascii="Times New Roman" w:hAnsi="Times New Roman"/>
                <w:color w:val="000000"/>
                <w:sz w:val="20"/>
              </w:rPr>
              <w:t> </w:t>
            </w:r>
            <w:r>
              <w:rPr>
                <w:rFonts w:ascii="Times New Roman" w:hAnsi="Times New Roman"/>
                <w:color w:val="000000"/>
                <w:sz w:val="14"/>
              </w:rPr>
              <w:t>unfunded commitment) (x)</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+ 6.50%) / (2.00%)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(1,200,000</w:t>
            </w:r>
            <w:r>
              <w:rPr>
                <w:rFonts w:ascii="Times New Roman" w:hAnsi="Times New Roman"/>
                <w:color w:val="000000"/>
                <w:sz w:val="20"/>
              </w:rPr>
              <w:t> </w:t>
            </w:r>
            <w:r>
              <w:rPr>
                <w:rFonts w:ascii="Times New Roman" w:hAnsi="Times New Roman"/>
                <w:color w:val="000000"/>
                <w:sz w:val="14"/>
              </w:rPr>
              <w:t>units)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10/25/2024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Bad Boy Mowers JV Acquisition, LLC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Products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(0.75%)</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8.94%/0.00%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12/12/2025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(13,000</w:t>
            </w:r>
            <w:r>
              <w:rPr>
                <w:rFonts w:ascii="Times New Roman" w:hAnsi="Times New Roman"/>
                <w:color w:val="000000"/>
                <w:sz w:val="20"/>
              </w:rPr>
              <w:t> </w:t>
            </w:r>
            <w:r>
              <w:rPr>
                <w:rFonts w:ascii="Times New Roman" w:hAnsi="Times New Roman"/>
                <w:color w:val="000000"/>
                <w:sz w:val="14"/>
              </w:rPr>
              <w:t>units)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Barefoot Mosquito and Pest Control, LLC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(k)(s)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9.67%/0.00%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(ba)</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6.92%/0.00%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7/14/2025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(6,027</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(20,137</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(1,370</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2/18/2026</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BCM One Group Holdings, Inc.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11.75%/0.00%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11/17/2021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687"/>
        <w:gridCol w:w="1404"/>
        <w:gridCol w:w="883"/>
        <w:gridCol w:w="709"/>
        <w:gridCol w:w="568"/>
        <w:gridCol w:w="568"/>
        <w:gridCol w:w="146"/>
        <w:gridCol w:w="511"/>
        <w:gridCol w:w="146"/>
        <w:gridCol w:w="146"/>
        <w:gridCol w:w="146"/>
        <w:gridCol w:w="511"/>
        <w:gridCol w:w="151"/>
        <w:gridCol w:w="146"/>
        <w:gridCol w:w="146"/>
        <w:gridCol w:w="511"/>
        <w:gridCol w:w="146"/>
        <w:gridCol w:w="146"/>
        <w:gridCol w:w="181"/>
        <w:gridCol w:w="353"/>
      </w:tblGrid>
      <w:tr>
        <w:trPr/>
        <w:tc>
          <w:tcPr>
            <w:tcW w:w="268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Bedford Precision Parts LLC</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units) (h)</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3/12/2019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Bobcat of Connecticut, LLC</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(bk)</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(2.00%)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9.41%/0.00%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10/1/2025</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units) ($250</w:t>
            </w:r>
            <w:r>
              <w:rPr>
                <w:rFonts w:ascii="Times New Roman" w:hAnsi="Times New Roman"/>
                <w:color w:val="000000"/>
                <w:sz w:val="20"/>
              </w:rPr>
              <w:t> </w:t>
            </w:r>
            <w:r>
              <w:rPr>
                <w:rFonts w:ascii="Times New Roman" w:hAnsi="Times New Roman"/>
                <w:color w:val="000000"/>
                <w:sz w:val="14"/>
              </w:rPr>
              <w:t>unfunded commitment)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Brightmore Brands LLC</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Retail</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(j)(al)</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+ 5.38%) / (1.50%)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9.04%/0.00%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9/13/2022</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w:t>
            </w:r>
            <w:r>
              <w:rPr>
                <w:rFonts w:ascii="Times New Roman" w:hAnsi="Times New Roman"/>
                <w:color w:val="000000"/>
                <w:sz w:val="20"/>
              </w:rPr>
              <w:t> </w:t>
            </w:r>
            <w:r>
              <w:rPr>
                <w:rFonts w:ascii="Times New Roman" w:hAnsi="Times New Roman"/>
                <w:color w:val="000000"/>
                <w:sz w:val="14"/>
              </w:rPr>
              <w:t>units)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9/13/2022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(371</w:t>
            </w:r>
            <w:r>
              <w:rPr>
                <w:rFonts w:ascii="Times New Roman" w:hAnsi="Times New Roman"/>
                <w:color w:val="000000"/>
                <w:sz w:val="20"/>
              </w:rPr>
              <w:t> </w:t>
            </w:r>
            <w:r>
              <w:rPr>
                <w:rFonts w:ascii="Times New Roman" w:hAnsi="Times New Roman"/>
                <w:color w:val="000000"/>
                <w:sz w:val="14"/>
              </w:rPr>
              <w:t>units)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Cardback Intermediate, LLC (dba Chargeback Gurus)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(j)(bl)</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(0.75%)</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9.15%/0.00%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(495</w:t>
            </w:r>
            <w:r>
              <w:rPr>
                <w:rFonts w:ascii="Times New Roman" w:hAnsi="Times New Roman"/>
                <w:color w:val="000000"/>
                <w:sz w:val="20"/>
              </w:rPr>
              <w:t> </w:t>
            </w:r>
            <w:r>
              <w:rPr>
                <w:rFonts w:ascii="Times New Roman" w:hAnsi="Times New Roman"/>
                <w:color w:val="000000"/>
                <w:sz w:val="14"/>
              </w:rPr>
              <w:t>shares)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8/10/2021</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(495</w:t>
            </w:r>
            <w:r>
              <w:rPr>
                <w:rFonts w:ascii="Times New Roman" w:hAnsi="Times New Roman"/>
                <w:color w:val="000000"/>
                <w:sz w:val="20"/>
              </w:rPr>
              <w:t> </w:t>
            </w:r>
            <w:r>
              <w:rPr>
                <w:rFonts w:ascii="Times New Roman" w:hAnsi="Times New Roman"/>
                <w:color w:val="000000"/>
                <w:sz w:val="14"/>
              </w:rPr>
              <w:t>shares)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8/10/2021</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Choice Technology Solutions, LLC (dba Choice Merchant Solutions, LLC) (n)</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(500,000</w:t>
            </w:r>
            <w:r>
              <w:rPr>
                <w:rFonts w:ascii="Times New Roman" w:hAnsi="Times New Roman"/>
                <w:color w:val="000000"/>
                <w:sz w:val="20"/>
              </w:rPr>
              <w:t> </w:t>
            </w:r>
            <w:r>
              <w:rPr>
                <w:rFonts w:ascii="Times New Roman" w:hAnsi="Times New Roman"/>
                <w:color w:val="000000"/>
                <w:sz w:val="14"/>
              </w:rPr>
              <w:t>units) (h)</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8/21/2023</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CIH Intermediate, LLC (n)</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(563</w:t>
            </w:r>
            <w:r>
              <w:rPr>
                <w:rFonts w:ascii="Times New Roman" w:hAnsi="Times New Roman"/>
                <w:color w:val="000000"/>
                <w:sz w:val="20"/>
              </w:rPr>
              <w:t> </w:t>
            </w:r>
            <w:r>
              <w:rPr>
                <w:rFonts w:ascii="Times New Roman" w:hAnsi="Times New Roman"/>
                <w:color w:val="000000"/>
                <w:sz w:val="14"/>
              </w:rPr>
              <w:t>shares)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3/3/2022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(563</w:t>
            </w:r>
            <w:r>
              <w:rPr>
                <w:rFonts w:ascii="Times New Roman" w:hAnsi="Times New Roman"/>
                <w:color w:val="000000"/>
                <w:sz w:val="20"/>
              </w:rPr>
              <w:t> </w:t>
            </w:r>
            <w:r>
              <w:rPr>
                <w:rFonts w:ascii="Times New Roman" w:hAnsi="Times New Roman"/>
                <w:color w:val="000000"/>
                <w:sz w:val="14"/>
              </w:rPr>
              <w:t>shares)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3/3/2022</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Cleanova Topco Limited</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Equity (746,893shares)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6/12/2025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Equity (373,447shares)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6/12/2025</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(113,166</w:t>
            </w:r>
            <w:r>
              <w:rPr>
                <w:rFonts w:ascii="Times New Roman" w:hAnsi="Times New Roman"/>
                <w:color w:val="000000"/>
                <w:sz w:val="20"/>
              </w:rPr>
              <w:t> </w:t>
            </w:r>
            <w:r>
              <w:rPr>
                <w:rFonts w:ascii="Times New Roman" w:hAnsi="Times New Roman"/>
                <w:color w:val="000000"/>
                <w:sz w:val="14"/>
              </w:rPr>
              <w:t>shares)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6/12/2025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CRS Solutions Holdings, LLC (dba CRS Texas)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(574,929</w:t>
            </w:r>
            <w:r>
              <w:rPr>
                <w:rFonts w:ascii="Times New Roman" w:hAnsi="Times New Roman"/>
                <w:color w:val="000000"/>
                <w:sz w:val="20"/>
              </w:rPr>
              <w:t> </w:t>
            </w:r>
            <w:r>
              <w:rPr>
                <w:rFonts w:ascii="Times New Roman" w:hAnsi="Times New Roman"/>
                <w:color w:val="000000"/>
                <w:sz w:val="14"/>
              </w:rPr>
              <w:t>units) (h)</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6/28/2022</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CTM Group, Inc. (dba Venuplus, Inc.)</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+ 6.75%) / (1.00%)</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10.52%/0.75%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(w)</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+ 6.75%) / (1.00%)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10.55%/0.75%</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1/28/2026</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7.75%/6.50%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(400,000</w:t>
            </w:r>
            <w:r>
              <w:rPr>
                <w:rFonts w:ascii="Times New Roman" w:hAnsi="Times New Roman"/>
                <w:color w:val="000000"/>
                <w:sz w:val="20"/>
              </w:rPr>
              <w:t> </w:t>
            </w:r>
            <w:r>
              <w:rPr>
                <w:rFonts w:ascii="Times New Roman" w:hAnsi="Times New Roman"/>
                <w:color w:val="000000"/>
                <w:sz w:val="14"/>
              </w:rPr>
              <w:t>units)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Customer Expressions Corp (dba Case IQ) (aq)</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(bc)(ao)</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+ 5.00%) / (1.00%)</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8.85%/0.50%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1/6/2025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(502,894</w:t>
            </w:r>
            <w:r>
              <w:rPr>
                <w:rFonts w:ascii="Times New Roman" w:hAnsi="Times New Roman"/>
                <w:color w:val="000000"/>
                <w:sz w:val="20"/>
              </w:rPr>
              <w:t> </w:t>
            </w:r>
            <w:r>
              <w:rPr>
                <w:rFonts w:ascii="Times New Roman" w:hAnsi="Times New Roman"/>
                <w:color w:val="000000"/>
                <w:sz w:val="14"/>
              </w:rPr>
              <w:t>units) (ao)</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1/6/2025</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Dataguise, Inc.</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(909</w:t>
            </w:r>
            <w:r>
              <w:rPr>
                <w:rFonts w:ascii="Times New Roman" w:hAnsi="Times New Roman"/>
                <w:color w:val="000000"/>
                <w:sz w:val="20"/>
              </w:rPr>
              <w:t> </w:t>
            </w:r>
            <w:r>
              <w:rPr>
                <w:rFonts w:ascii="Times New Roman" w:hAnsi="Times New Roman"/>
                <w:color w:val="000000"/>
                <w:sz w:val="14"/>
              </w:rPr>
              <w:t>shares)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Dealerbuilt Acquisition, LLC</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(ac)</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(4.00%)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9.40%/1.00%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7.50%/7.50%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w:t>
            </w:r>
            <w:r>
              <w:rPr>
                <w:rFonts w:ascii="Times New Roman" w:hAnsi="Times New Roman"/>
                <w:color w:val="000000"/>
                <w:sz w:val="20"/>
              </w:rPr>
              <w:t> </w:t>
            </w:r>
            <w:r>
              <w:rPr>
                <w:rFonts w:ascii="Times New Roman" w:hAnsi="Times New Roman"/>
                <w:color w:val="000000"/>
                <w:sz w:val="14"/>
              </w:rPr>
              <w:t>Units) (h)</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w:t>
            </w:r>
            <w:r>
              <w:rPr>
                <w:rFonts w:ascii="Times New Roman" w:hAnsi="Times New Roman"/>
                <w:color w:val="000000"/>
                <w:sz w:val="20"/>
              </w:rPr>
              <w:t> </w:t>
            </w:r>
            <w:r>
              <w:rPr>
                <w:rFonts w:ascii="Times New Roman" w:hAnsi="Times New Roman"/>
                <w:color w:val="000000"/>
                <w:sz w:val="14"/>
              </w:rPr>
              <w:t>Units) (h)</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Detechtion Holdings, LLC</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(2.25%)</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9.41%/2.50%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6/21/2023</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($1,000</w:t>
            </w:r>
            <w:r>
              <w:rPr>
                <w:rFonts w:ascii="Times New Roman" w:hAnsi="Times New Roman"/>
                <w:color w:val="000000"/>
                <w:sz w:val="20"/>
              </w:rPr>
              <w:t> </w:t>
            </w:r>
            <w:r>
              <w:rPr>
                <w:rFonts w:ascii="Times New Roman" w:hAnsi="Times New Roman"/>
                <w:color w:val="000000"/>
                <w:sz w:val="14"/>
              </w:rPr>
              <w:t>unfunded commitment) (w)</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+ 8.25%) / (2.25%)</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11.91%/0.00%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7/12/2024</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0.00%/14.00%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6/21/2023</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(601,532</w:t>
            </w:r>
            <w:r>
              <w:rPr>
                <w:rFonts w:ascii="Times New Roman" w:hAnsi="Times New Roman"/>
                <w:color w:val="000000"/>
                <w:sz w:val="20"/>
              </w:rPr>
              <w:t> </w:t>
            </w:r>
            <w:r>
              <w:rPr>
                <w:rFonts w:ascii="Times New Roman" w:hAnsi="Times New Roman"/>
                <w:color w:val="000000"/>
                <w:sz w:val="14"/>
              </w:rPr>
              <w:t>units) (h)</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6/21/2023</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Diversified Search LLC</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(j)(r)</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+ 7.50%) / (1.00%)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11.46%/0.00%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6/10/2019</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(573</w:t>
            </w:r>
            <w:r>
              <w:rPr>
                <w:rFonts w:ascii="Times New Roman" w:hAnsi="Times New Roman"/>
                <w:color w:val="000000"/>
                <w:sz w:val="20"/>
              </w:rPr>
              <w:t> </w:t>
            </w:r>
            <w:r>
              <w:rPr>
                <w:rFonts w:ascii="Times New Roman" w:hAnsi="Times New Roman"/>
                <w:color w:val="000000"/>
                <w:sz w:val="14"/>
              </w:rPr>
              <w:t>units) (h)</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2/7/2019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Donovan Food Brokerage, LLC</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(ae)</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9.70%/0.00%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2/23/2024</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(679,301</w:t>
            </w:r>
            <w:r>
              <w:rPr>
                <w:rFonts w:ascii="Times New Roman" w:hAnsi="Times New Roman"/>
                <w:color w:val="000000"/>
                <w:sz w:val="20"/>
              </w:rPr>
              <w:t> </w:t>
            </w:r>
            <w:r>
              <w:rPr>
                <w:rFonts w:ascii="Times New Roman" w:hAnsi="Times New Roman"/>
                <w:color w:val="000000"/>
                <w:sz w:val="14"/>
              </w:rPr>
              <w:t>units)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2/23/2024</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E-PlanSoft Buyer, LLC (dba e-PlanSoft)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11.00%/2.00%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6/30/2025</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(1,500</w:t>
            </w:r>
            <w:r>
              <w:rPr>
                <w:rFonts w:ascii="Times New Roman" w:hAnsi="Times New Roman"/>
                <w:color w:val="000000"/>
                <w:sz w:val="20"/>
              </w:rPr>
              <w:t> </w:t>
            </w:r>
            <w:r>
              <w:rPr>
                <w:rFonts w:ascii="Times New Roman" w:hAnsi="Times New Roman"/>
                <w:color w:val="000000"/>
                <w:sz w:val="14"/>
              </w:rPr>
              <w:t>units)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6/27/2025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Enterprise Asset Management FM Purchaser, Inc. (dba MCIM)</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($1,500</w:t>
            </w:r>
            <w:r>
              <w:rPr>
                <w:rFonts w:ascii="Times New Roman" w:hAnsi="Times New Roman"/>
                <w:color w:val="000000"/>
                <w:sz w:val="20"/>
              </w:rPr>
              <w:t> </w:t>
            </w:r>
            <w:r>
              <w:rPr>
                <w:rFonts w:ascii="Times New Roman" w:hAnsi="Times New Roman"/>
                <w:color w:val="000000"/>
                <w:sz w:val="14"/>
              </w:rPr>
              <w:t>unfunded commitment)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(2.00%)</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9.41%/2.00%</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5/20/2024</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467"/>
        <w:gridCol w:w="1483"/>
        <w:gridCol w:w="939"/>
        <w:gridCol w:w="739"/>
        <w:gridCol w:w="597"/>
        <w:gridCol w:w="597"/>
        <w:gridCol w:w="146"/>
        <w:gridCol w:w="511"/>
        <w:gridCol w:w="146"/>
        <w:gridCol w:w="146"/>
        <w:gridCol w:w="146"/>
        <w:gridCol w:w="511"/>
        <w:gridCol w:w="146"/>
        <w:gridCol w:w="146"/>
        <w:gridCol w:w="146"/>
        <w:gridCol w:w="511"/>
        <w:gridCol w:w="146"/>
        <w:gridCol w:w="146"/>
        <w:gridCol w:w="181"/>
        <w:gridCol w:w="355"/>
      </w:tblGrid>
      <w:tr>
        <w:trPr/>
        <w:tc>
          <w:tcPr>
            <w:tcW w:w="246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(551,470</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5/20/2024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Estex Manufacturing Company, LLC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(j)(az)</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+ 5.00%) / (2.00%)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8.67%/0.00%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(75,000</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Fishbowl Solutions, LLC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11.66%/0.00%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3/25/2022</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11.66%/0.00%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12/27/2024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($3,000</w:t>
            </w:r>
            <w:r>
              <w:rPr>
                <w:rFonts w:ascii="Times New Roman" w:hAnsi="Times New Roman"/>
                <w:color w:val="000000"/>
                <w:sz w:val="20"/>
              </w:rPr>
              <w:t> </w:t>
            </w:r>
            <w:r>
              <w:rPr>
                <w:rFonts w:ascii="Times New Roman" w:hAnsi="Times New Roman"/>
                <w:color w:val="000000"/>
                <w:sz w:val="14"/>
              </w:rPr>
              <w:t>unfunded commitment) (i)</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11.66%/0.00%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12/27/2024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Fraser Steel LLC</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(bm)</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9.66%/0.00%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11/5/2025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units) (h)</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2/5/2025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Fumex, LLC</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Industrial Product Services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(j)(ar)</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(1.00%)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8.44%/0.00%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(3,500</w:t>
            </w:r>
            <w:r>
              <w:rPr>
                <w:rFonts w:ascii="Times New Roman" w:hAnsi="Times New Roman"/>
                <w:color w:val="000000"/>
                <w:sz w:val="20"/>
              </w:rPr>
              <w:t> </w:t>
            </w:r>
            <w:r>
              <w:rPr>
                <w:rFonts w:ascii="Times New Roman" w:hAnsi="Times New Roman"/>
                <w:color w:val="000000"/>
                <w:sz w:val="14"/>
              </w:rPr>
              <w:t>units) (h)</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Gap Intelligence Acquisition, LLC (dba OpenBrand)</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12.00%/0.00%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(951</w:t>
            </w:r>
            <w:r>
              <w:rPr>
                <w:rFonts w:ascii="Times New Roman" w:hAnsi="Times New Roman"/>
                <w:color w:val="000000"/>
                <w:sz w:val="20"/>
              </w:rPr>
              <w:t> </w:t>
            </w:r>
            <w:r>
              <w:rPr>
                <w:rFonts w:ascii="Times New Roman" w:hAnsi="Times New Roman"/>
                <w:color w:val="000000"/>
                <w:sz w:val="14"/>
              </w:rPr>
              <w:t>units)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1/28/2026</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(951</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Global Plasma Solutions, Inc.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(601</w:t>
            </w:r>
            <w:r>
              <w:rPr>
                <w:rFonts w:ascii="Times New Roman" w:hAnsi="Times New Roman"/>
                <w:color w:val="000000"/>
                <w:sz w:val="20"/>
              </w:rPr>
              <w:t> </w:t>
            </w:r>
            <w:r>
              <w:rPr>
                <w:rFonts w:ascii="Times New Roman" w:hAnsi="Times New Roman"/>
                <w:color w:val="000000"/>
                <w:sz w:val="14"/>
              </w:rPr>
              <w:t>shares)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2/1/2024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(1,705</w:t>
            </w:r>
            <w:r>
              <w:rPr>
                <w:rFonts w:ascii="Times New Roman" w:hAnsi="Times New Roman"/>
                <w:color w:val="000000"/>
                <w:sz w:val="20"/>
              </w:rPr>
              <w:t> </w:t>
            </w:r>
            <w:r>
              <w:rPr>
                <w:rFonts w:ascii="Times New Roman" w:hAnsi="Times New Roman"/>
                <w:color w:val="000000"/>
                <w:sz w:val="14"/>
              </w:rPr>
              <w:t>shares)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9/21/2018</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GMP HVAC, LLC (dba McGee Heating &amp; Air, LLC)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(j)(bb)</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+ 6.50%) / (2.00%)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12/8/2023</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(1,366</w:t>
            </w:r>
            <w:r>
              <w:rPr>
                <w:rFonts w:ascii="Times New Roman" w:hAnsi="Times New Roman"/>
                <w:color w:val="000000"/>
                <w:sz w:val="20"/>
              </w:rPr>
              <w:t> </w:t>
            </w:r>
            <w:r>
              <w:rPr>
                <w:rFonts w:ascii="Times New Roman" w:hAnsi="Times New Roman"/>
                <w:color w:val="000000"/>
                <w:sz w:val="14"/>
              </w:rPr>
              <w:t>units) (h)</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12/8/2023</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GPS Insight, Inc.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(av)</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+ 5.58%) / (1.00%)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9.25%/0.00%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10/17/2025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Green Cubes Technology, LLC (dba Green Cubes)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(j)(ax)</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+ 7.50%) / (2.00%)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11.15%/0.00%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Haematologic Technologies, Inc.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(3.00%)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9.16%/3.00%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10/11/2019</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(630</w:t>
            </w:r>
            <w:r>
              <w:rPr>
                <w:rFonts w:ascii="Times New Roman" w:hAnsi="Times New Roman"/>
                <w:color w:val="000000"/>
                <w:sz w:val="20"/>
              </w:rPr>
              <w:t> </w:t>
            </w:r>
            <w:r>
              <w:rPr>
                <w:rFonts w:ascii="Times New Roman" w:hAnsi="Times New Roman"/>
                <w:color w:val="000000"/>
                <w:sz w:val="14"/>
              </w:rPr>
              <w:t>units) (h)</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10/11/2019</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(169</w:t>
            </w:r>
            <w:r>
              <w:rPr>
                <w:rFonts w:ascii="Times New Roman" w:hAnsi="Times New Roman"/>
                <w:color w:val="000000"/>
                <w:sz w:val="20"/>
              </w:rPr>
              <w:t> </w:t>
            </w:r>
            <w:r>
              <w:rPr>
                <w:rFonts w:ascii="Times New Roman" w:hAnsi="Times New Roman"/>
                <w:color w:val="000000"/>
                <w:sz w:val="14"/>
              </w:rPr>
              <w:t>units) (h)</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6/26/2023</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Hallmark Health Care Solutions, Inc.</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(3,645,752</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9/18/2023</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Hub Acquisition Sub, LLC (dba Hub Pen)</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Promotional products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11.50%/1.25%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4/25/2023</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(5,837</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3/23/2016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(637</w:t>
            </w:r>
            <w:r>
              <w:rPr>
                <w:rFonts w:ascii="Times New Roman" w:hAnsi="Times New Roman"/>
                <w:color w:val="000000"/>
                <w:sz w:val="20"/>
              </w:rPr>
              <w:t> </w:t>
            </w:r>
            <w:r>
              <w:rPr>
                <w:rFonts w:ascii="Times New Roman" w:hAnsi="Times New Roman"/>
                <w:color w:val="000000"/>
                <w:sz w:val="14"/>
              </w:rPr>
              <w:t>units)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8/7/2023</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(868</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10/16/2020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IBH Holdings, LLC (fka Inflexxion, Inc.)</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(150,000</w:t>
            </w:r>
            <w:r>
              <w:rPr>
                <w:rFonts w:ascii="Times New Roman" w:hAnsi="Times New Roman"/>
                <w:color w:val="000000"/>
                <w:sz w:val="20"/>
              </w:rPr>
              <w:t> </w:t>
            </w:r>
            <w:r>
              <w:rPr>
                <w:rFonts w:ascii="Times New Roman" w:hAnsi="Times New Roman"/>
                <w:color w:val="000000"/>
                <w:sz w:val="14"/>
              </w:rPr>
              <w:t>units)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6/20/2018</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InductiveHealth Informatics, LLC</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(j)(o)</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+ 6.75%) / (2.00%)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10.42%/0.00%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1/12/2026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(367</w:t>
            </w:r>
            <w:r>
              <w:rPr>
                <w:rFonts w:ascii="Times New Roman" w:hAnsi="Times New Roman"/>
                <w:color w:val="000000"/>
                <w:sz w:val="20"/>
              </w:rPr>
              <w:t> </w:t>
            </w:r>
            <w:r>
              <w:rPr>
                <w:rFonts w:ascii="Times New Roman" w:hAnsi="Times New Roman"/>
                <w:color w:val="000000"/>
                <w:sz w:val="14"/>
              </w:rPr>
              <w:t>units)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(1,361</w:t>
            </w:r>
            <w:r>
              <w:rPr>
                <w:rFonts w:ascii="Times New Roman" w:hAnsi="Times New Roman"/>
                <w:color w:val="000000"/>
                <w:sz w:val="20"/>
              </w:rPr>
              <w:t> </w:t>
            </w:r>
            <w:r>
              <w:rPr>
                <w:rFonts w:ascii="Times New Roman" w:hAnsi="Times New Roman"/>
                <w:color w:val="000000"/>
                <w:sz w:val="14"/>
              </w:rPr>
              <w:t>units)</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Info Tech Operating, LLC (dba infotech)</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(bd)</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+ 4.88%) / (2.00%)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8.56%/0.00%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Informatics Holdings, Inc. (dba Wasp Barcode Technologies)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(j)(v)</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+ 7.00%) / (2.50%)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10.66%/0.00%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(1,000,000</w:t>
            </w:r>
            <w:r>
              <w:rPr>
                <w:rFonts w:ascii="Times New Roman" w:hAnsi="Times New Roman"/>
                <w:color w:val="000000"/>
                <w:sz w:val="20"/>
              </w:rPr>
              <w:t> </w:t>
            </w:r>
            <w:r>
              <w:rPr>
                <w:rFonts w:ascii="Times New Roman" w:hAnsi="Times New Roman"/>
                <w:color w:val="000000"/>
                <w:sz w:val="14"/>
              </w:rPr>
              <w:t>units)</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3/7/2024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ISI PSG Holdings, LLC (dba Incentive Solutions, Inc.)</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(j)(aj)</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+ 7.50%) / (0.50%)</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11.35%/0.00%</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4/5/2021</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(an)</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+ 7.50%) / (0.50%)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7.85%/0.00%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6/30/2021</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(256,964</w:t>
            </w:r>
            <w:r>
              <w:rPr>
                <w:rFonts w:ascii="Times New Roman" w:hAnsi="Times New Roman"/>
                <w:color w:val="000000"/>
                <w:sz w:val="20"/>
              </w:rPr>
              <w:t> </w:t>
            </w:r>
            <w:r>
              <w:rPr>
                <w:rFonts w:ascii="Times New Roman" w:hAnsi="Times New Roman"/>
                <w:color w:val="000000"/>
                <w:sz w:val="14"/>
              </w:rPr>
              <w:t>units) (h)</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4/5/2021</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354"/>
        <w:gridCol w:w="1524"/>
        <w:gridCol w:w="967"/>
        <w:gridCol w:w="755"/>
        <w:gridCol w:w="612"/>
        <w:gridCol w:w="612"/>
        <w:gridCol w:w="146"/>
        <w:gridCol w:w="511"/>
        <w:gridCol w:w="146"/>
        <w:gridCol w:w="146"/>
        <w:gridCol w:w="146"/>
        <w:gridCol w:w="511"/>
        <w:gridCol w:w="146"/>
        <w:gridCol w:w="146"/>
        <w:gridCol w:w="146"/>
        <w:gridCol w:w="511"/>
        <w:gridCol w:w="146"/>
        <w:gridCol w:w="146"/>
        <w:gridCol w:w="181"/>
        <w:gridCol w:w="353"/>
      </w:tblGrid>
      <w:tr>
        <w:trPr/>
        <w:tc>
          <w:tcPr>
            <w:tcW w:w="235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Janus Health Technologies, Inc.</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(68,361</w:t>
            </w:r>
            <w:r>
              <w:rPr>
                <w:rFonts w:ascii="Times New Roman" w:hAnsi="Times New Roman"/>
                <w:color w:val="000000"/>
                <w:sz w:val="20"/>
              </w:rPr>
              <w:t> </w:t>
            </w:r>
            <w:r>
              <w:rPr>
                <w:rFonts w:ascii="Times New Roman" w:hAnsi="Times New Roman"/>
                <w:color w:val="000000"/>
                <w:sz w:val="14"/>
              </w:rPr>
              <w:t>units)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1/3/2024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Jumo Health, Inc.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(j)(aw)</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9.15%/0.00%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(1,359</w:t>
            </w:r>
            <w:r>
              <w:rPr>
                <w:rFonts w:ascii="Times New Roman" w:hAnsi="Times New Roman"/>
                <w:color w:val="000000"/>
                <w:sz w:val="20"/>
              </w:rPr>
              <w:t> </w:t>
            </w:r>
            <w:r>
              <w:rPr>
                <w:rFonts w:ascii="Times New Roman" w:hAnsi="Times New Roman"/>
                <w:color w:val="000000"/>
                <w:sz w:val="14"/>
              </w:rPr>
              <w:t>shares)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(1,359</w:t>
            </w:r>
            <w:r>
              <w:rPr>
                <w:rFonts w:ascii="Times New Roman" w:hAnsi="Times New Roman"/>
                <w:color w:val="000000"/>
                <w:sz w:val="20"/>
              </w:rPr>
              <w:t> </w:t>
            </w:r>
            <w:r>
              <w:rPr>
                <w:rFonts w:ascii="Times New Roman" w:hAnsi="Times New Roman"/>
                <w:color w:val="000000"/>
                <w:sz w:val="14"/>
              </w:rPr>
              <w:t>shares)</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KG Lawn Care, Inc. (dba King Green)</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Services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9.17%/0.00%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1/23/2026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(62</w:t>
            </w:r>
            <w:r>
              <w:rPr>
                <w:rFonts w:ascii="Times New Roman" w:hAnsi="Times New Roman"/>
                <w:color w:val="000000"/>
                <w:sz w:val="20"/>
              </w:rPr>
              <w:t> </w:t>
            </w:r>
            <w:r>
              <w:rPr>
                <w:rFonts w:ascii="Times New Roman" w:hAnsi="Times New Roman"/>
                <w:color w:val="000000"/>
                <w:sz w:val="14"/>
              </w:rPr>
              <w:t>Units)</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11/26/2025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The Kyjen Company, LLC (dba Outward Hound)</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Products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(855</w:t>
            </w:r>
            <w:r>
              <w:rPr>
                <w:rFonts w:ascii="Times New Roman" w:hAnsi="Times New Roman"/>
                <w:color w:val="000000"/>
                <w:sz w:val="20"/>
              </w:rPr>
              <w:t> </w:t>
            </w:r>
            <w:r>
              <w:rPr>
                <w:rFonts w:ascii="Times New Roman" w:hAnsi="Times New Roman"/>
                <w:color w:val="000000"/>
                <w:sz w:val="14"/>
              </w:rPr>
              <w:t>shares)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12/8/2017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Laboratory Testing, LLC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(2.00%)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8.91%/0.00%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($3,427</w:t>
            </w:r>
            <w:r>
              <w:rPr>
                <w:rFonts w:ascii="Times New Roman" w:hAnsi="Times New Roman"/>
                <w:color w:val="000000"/>
                <w:sz w:val="20"/>
              </w:rPr>
              <w:t> </w:t>
            </w:r>
            <w:r>
              <w:rPr>
                <w:rFonts w:ascii="Times New Roman" w:hAnsi="Times New Roman"/>
                <w:color w:val="000000"/>
                <w:sz w:val="14"/>
              </w:rPr>
              <w:t>unfunded commitment) (i)</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(2.00%)</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8.91%/0.00%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(3,881</w:t>
            </w:r>
            <w:r>
              <w:rPr>
                <w:rFonts w:ascii="Times New Roman" w:hAnsi="Times New Roman"/>
                <w:color w:val="000000"/>
                <w:sz w:val="20"/>
              </w:rPr>
              <w:t> </w:t>
            </w:r>
            <w:r>
              <w:rPr>
                <w:rFonts w:ascii="Times New Roman" w:hAnsi="Times New Roman"/>
                <w:color w:val="000000"/>
                <w:sz w:val="14"/>
              </w:rPr>
              <w:t>units) (h)</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(3,619</w:t>
            </w:r>
            <w:r>
              <w:rPr>
                <w:rFonts w:ascii="Times New Roman" w:hAnsi="Times New Roman"/>
                <w:color w:val="000000"/>
                <w:sz w:val="20"/>
              </w:rPr>
              <w:t> </w:t>
            </w:r>
            <w:r>
              <w:rPr>
                <w:rFonts w:ascii="Times New Roman" w:hAnsi="Times New Roman"/>
                <w:color w:val="000000"/>
                <w:sz w:val="14"/>
              </w:rPr>
              <w:t>units) (h)</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Level Education Group, LLC (dba CE4Less)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(ak)</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(2.00%)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4/1/2021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units)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4/1/2021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LifeSpan Biosciences, Inc.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3/19/2021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(108</w:t>
            </w:r>
            <w:r>
              <w:rPr>
                <w:rFonts w:ascii="Times New Roman" w:hAnsi="Times New Roman"/>
                <w:color w:val="000000"/>
                <w:sz w:val="20"/>
              </w:rPr>
              <w:t> </w:t>
            </w:r>
            <w:r>
              <w:rPr>
                <w:rFonts w:ascii="Times New Roman" w:hAnsi="Times New Roman"/>
                <w:color w:val="000000"/>
                <w:sz w:val="14"/>
              </w:rPr>
              <w:t>shares)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6/7/2024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Mayesh Wholesale Florist, LLC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(j)(be)</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9.65%/0.00%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($500</w:t>
            </w:r>
            <w:r>
              <w:rPr>
                <w:rFonts w:ascii="Times New Roman" w:hAnsi="Times New Roman"/>
                <w:color w:val="000000"/>
                <w:sz w:val="20"/>
              </w:rPr>
              <w:t> </w:t>
            </w:r>
            <w:r>
              <w:rPr>
                <w:rFonts w:ascii="Times New Roman" w:hAnsi="Times New Roman"/>
                <w:color w:val="000000"/>
                <w:sz w:val="14"/>
              </w:rPr>
              <w:t>unfunded commitment)(i)(be)</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9.65%/0.00%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(500,000</w:t>
            </w:r>
            <w:r>
              <w:rPr>
                <w:rFonts w:ascii="Times New Roman" w:hAnsi="Times New Roman"/>
                <w:color w:val="000000"/>
                <w:sz w:val="20"/>
              </w:rPr>
              <w:t> </w:t>
            </w:r>
            <w:r>
              <w:rPr>
                <w:rFonts w:ascii="Times New Roman" w:hAnsi="Times New Roman"/>
                <w:color w:val="000000"/>
                <w:sz w:val="14"/>
              </w:rPr>
              <w:t>units) (h)</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MBS Opco, LLC (dba Marketron)</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+ 8.50%) / (1.50%)</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9/29/2022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MDME Holding Corp.</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+ 6.25%) / (1.00%)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10.10%/0.00%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8/31/2023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(5,149</w:t>
            </w:r>
            <w:r>
              <w:rPr>
                <w:rFonts w:ascii="Times New Roman" w:hAnsi="Times New Roman"/>
                <w:color w:val="000000"/>
                <w:sz w:val="20"/>
              </w:rPr>
              <w:t> </w:t>
            </w:r>
            <w:r>
              <w:rPr>
                <w:rFonts w:ascii="Times New Roman" w:hAnsi="Times New Roman"/>
                <w:color w:val="000000"/>
                <w:sz w:val="14"/>
              </w:rPr>
              <w:t>units)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9/18/2023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(12,500</w:t>
            </w:r>
            <w:r>
              <w:rPr>
                <w:rFonts w:ascii="Times New Roman" w:hAnsi="Times New Roman"/>
                <w:color w:val="000000"/>
                <w:sz w:val="20"/>
              </w:rPr>
              <w:t> </w:t>
            </w:r>
            <w:r>
              <w:rPr>
                <w:rFonts w:ascii="Times New Roman" w:hAnsi="Times New Roman"/>
                <w:color w:val="000000"/>
                <w:sz w:val="14"/>
              </w:rPr>
              <w:t>units)</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9/18/2023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(713</w:t>
            </w:r>
            <w:r>
              <w:rPr>
                <w:rFonts w:ascii="Times New Roman" w:hAnsi="Times New Roman"/>
                <w:color w:val="000000"/>
                <w:sz w:val="20"/>
              </w:rPr>
              <w:t> </w:t>
            </w:r>
            <w:r>
              <w:rPr>
                <w:rFonts w:ascii="Times New Roman" w:hAnsi="Times New Roman"/>
                <w:color w:val="000000"/>
                <w:sz w:val="14"/>
              </w:rPr>
              <w:t>units)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MRC Drake Buyer LLC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(j)(p)</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+ 6.50%) / (2.00%)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10.17%/0.00%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3/13/2026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(750,000</w:t>
            </w:r>
            <w:r>
              <w:rPr>
                <w:rFonts w:ascii="Times New Roman" w:hAnsi="Times New Roman"/>
                <w:color w:val="000000"/>
                <w:sz w:val="20"/>
              </w:rPr>
              <w:t> </w:t>
            </w:r>
            <w:r>
              <w:rPr>
                <w:rFonts w:ascii="Times New Roman" w:hAnsi="Times New Roman"/>
                <w:color w:val="000000"/>
                <w:sz w:val="14"/>
              </w:rPr>
              <w:t>units)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3/13/2026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(750,000</w:t>
            </w:r>
            <w:r>
              <w:rPr>
                <w:rFonts w:ascii="Times New Roman" w:hAnsi="Times New Roman"/>
                <w:color w:val="000000"/>
                <w:sz w:val="20"/>
              </w:rPr>
              <w:t> </w:t>
            </w:r>
            <w:r>
              <w:rPr>
                <w:rFonts w:ascii="Times New Roman" w:hAnsi="Times New Roman"/>
                <w:color w:val="000000"/>
                <w:sz w:val="14"/>
              </w:rPr>
              <w:t>units)</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3/13/2026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Netbase Solutions, Inc. (dba Netbase Quid)</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(ap)</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 + 2.00%) / (3.25%)</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8.75%/2.00%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11/18/2021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NWS Technologies, LLC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($355</w:t>
            </w:r>
            <w:r>
              <w:rPr>
                <w:rFonts w:ascii="Times New Roman" w:hAnsi="Times New Roman"/>
                <w:color w:val="000000"/>
                <w:sz w:val="20"/>
              </w:rPr>
              <w:t> </w:t>
            </w:r>
            <w:r>
              <w:rPr>
                <w:rFonts w:ascii="Times New Roman" w:hAnsi="Times New Roman"/>
                <w:color w:val="000000"/>
                <w:sz w:val="14"/>
              </w:rPr>
              <w:t>unfunded commitment)(u)</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+ 7.50%) / (2.50%)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11.16%/0.00%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6/20/2023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w:t>
            </w:r>
            <w:r>
              <w:rPr>
                <w:rFonts w:ascii="Times New Roman" w:hAnsi="Times New Roman"/>
                <w:color w:val="000000"/>
                <w:sz w:val="20"/>
              </w:rPr>
              <w:t> </w:t>
            </w:r>
            <w:r>
              <w:rPr>
                <w:rFonts w:ascii="Times New Roman" w:hAnsi="Times New Roman"/>
                <w:color w:val="000000"/>
                <w:sz w:val="14"/>
              </w:rPr>
              <w:t>units) (h)</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6/20/2023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(0.375</w:t>
            </w:r>
            <w:r>
              <w:rPr>
                <w:rFonts w:ascii="Times New Roman" w:hAnsi="Times New Roman"/>
                <w:color w:val="000000"/>
                <w:sz w:val="20"/>
              </w:rPr>
              <w:t> </w:t>
            </w:r>
            <w:r>
              <w:rPr>
                <w:rFonts w:ascii="Times New Roman" w:hAnsi="Times New Roman"/>
                <w:color w:val="000000"/>
                <w:sz w:val="14"/>
              </w:rPr>
              <w:t>units) (h)</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6/20/2023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OnePath Systems, LLC (n)</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(732,542</w:t>
            </w:r>
            <w:r>
              <w:rPr>
                <w:rFonts w:ascii="Times New Roman" w:hAnsi="Times New Roman"/>
                <w:color w:val="000000"/>
                <w:sz w:val="20"/>
              </w:rPr>
              <w:t> </w:t>
            </w:r>
            <w:r>
              <w:rPr>
                <w:rFonts w:ascii="Times New Roman" w:hAnsi="Times New Roman"/>
                <w:color w:val="000000"/>
                <w:sz w:val="14"/>
              </w:rPr>
              <w:t>shares)</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Onsight Industries, LLC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(j)(bf)</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(1.50%)</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9.17%/0.00%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3/27/2025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(380,000</w:t>
            </w:r>
            <w:r>
              <w:rPr>
                <w:rFonts w:ascii="Times New Roman" w:hAnsi="Times New Roman"/>
                <w:color w:val="000000"/>
                <w:sz w:val="20"/>
              </w:rPr>
              <w:t> </w:t>
            </w:r>
            <w:r>
              <w:rPr>
                <w:rFonts w:ascii="Times New Roman" w:hAnsi="Times New Roman"/>
                <w:color w:val="000000"/>
                <w:sz w:val="14"/>
              </w:rPr>
              <w:t>units) (h)</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1/7/2025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Palmetto Moon, LLC</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Retail</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(499</w:t>
            </w:r>
            <w:r>
              <w:rPr>
                <w:rFonts w:ascii="Times New Roman" w:hAnsi="Times New Roman"/>
                <w:color w:val="000000"/>
                <w:sz w:val="20"/>
              </w:rPr>
              <w:t> </w:t>
            </w:r>
            <w:r>
              <w:rPr>
                <w:rFonts w:ascii="Times New Roman" w:hAnsi="Times New Roman"/>
                <w:color w:val="000000"/>
                <w:sz w:val="14"/>
              </w:rPr>
              <w:t>units)</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11/3/2016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PayEntry Financial Services, Inc. (dba Payentry)</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 (bg)</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10.50%/1.75%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10.50%/1.75%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Second Lien Debt ($3,126</w:t>
            </w:r>
            <w:r>
              <w:rPr>
                <w:rFonts w:ascii="Times New Roman" w:hAnsi="Times New Roman"/>
                <w:color w:val="000000"/>
                <w:sz w:val="20"/>
              </w:rPr>
              <w:t> </w:t>
            </w:r>
            <w:r>
              <w:rPr>
                <w:rFonts w:ascii="Times New Roman" w:hAnsi="Times New Roman"/>
                <w:color w:val="000000"/>
                <w:sz w:val="14"/>
              </w:rPr>
              <w:t>unfunded commitment)</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10.50%/1.75%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(10,000</w:t>
            </w:r>
            <w:r>
              <w:rPr>
                <w:rFonts w:ascii="Times New Roman" w:hAnsi="Times New Roman"/>
                <w:color w:val="000000"/>
                <w:sz w:val="20"/>
              </w:rPr>
              <w:t> </w:t>
            </w:r>
            <w:r>
              <w:rPr>
                <w:rFonts w:ascii="Times New Roman" w:hAnsi="Times New Roman"/>
                <w:color w:val="000000"/>
                <w:sz w:val="14"/>
              </w:rPr>
              <w:t>units)</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353"/>
        <w:gridCol w:w="1509"/>
        <w:gridCol w:w="946"/>
        <w:gridCol w:w="743"/>
        <w:gridCol w:w="601"/>
        <w:gridCol w:w="601"/>
        <w:gridCol w:w="146"/>
        <w:gridCol w:w="511"/>
        <w:gridCol w:w="146"/>
        <w:gridCol w:w="146"/>
        <w:gridCol w:w="146"/>
        <w:gridCol w:w="511"/>
        <w:gridCol w:w="151"/>
        <w:gridCol w:w="146"/>
        <w:gridCol w:w="146"/>
        <w:gridCol w:w="511"/>
        <w:gridCol w:w="146"/>
        <w:gridCol w:w="146"/>
        <w:gridCol w:w="181"/>
        <w:gridCol w:w="419"/>
      </w:tblGrid>
      <w:tr>
        <w:trPr/>
        <w:tc>
          <w:tcPr>
            <w:tcW w:w="235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Pinnergy, Ltd.</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Oil &amp; Gas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PowerGrid Services Acquisition,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(4,490</w:t>
            </w:r>
            <w:r>
              <w:rPr>
                <w:rFonts w:ascii="Times New Roman" w:hAnsi="Times New Roman"/>
                <w:color w:val="000000"/>
                <w:sz w:val="20"/>
              </w:rPr>
              <w:t> </w:t>
            </w:r>
            <w:r>
              <w:rPr>
                <w:rFonts w:ascii="Times New Roman" w:hAnsi="Times New Roman"/>
                <w:color w:val="000000"/>
                <w:sz w:val="14"/>
              </w:rPr>
              <w:t>units) (h)</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9/21/2021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(118</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(133</w:t>
            </w:r>
            <w:r>
              <w:rPr>
                <w:rFonts w:ascii="Times New Roman" w:hAnsi="Times New Roman"/>
                <w:color w:val="000000"/>
                <w:sz w:val="20"/>
              </w:rPr>
              <w:t> </w:t>
            </w:r>
            <w:r>
              <w:rPr>
                <w:rFonts w:ascii="Times New Roman" w:hAnsi="Times New Roman"/>
                <w:color w:val="000000"/>
                <w:sz w:val="14"/>
              </w:rPr>
              <w:t>units) (h)</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Prime AE Group, Inc.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(900,000</w:t>
            </w:r>
            <w:r>
              <w:rPr>
                <w:rFonts w:ascii="Times New Roman" w:hAnsi="Times New Roman"/>
                <w:color w:val="000000"/>
                <w:sz w:val="20"/>
              </w:rPr>
              <w:t> </w:t>
            </w:r>
            <w:r>
              <w:rPr>
                <w:rFonts w:ascii="Times New Roman" w:hAnsi="Times New Roman"/>
                <w:color w:val="000000"/>
                <w:sz w:val="14"/>
              </w:rPr>
              <w:t>shares)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11/25/2019</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Pronto Plumbing &amp; Drain,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+ 7.00%)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10.66%/0.00%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($500</w:t>
            </w:r>
            <w:r>
              <w:rPr>
                <w:rFonts w:ascii="Times New Roman" w:hAnsi="Times New Roman"/>
                <w:color w:val="000000"/>
                <w:sz w:val="20"/>
              </w:rPr>
              <w:t> </w:t>
            </w:r>
            <w:r>
              <w:rPr>
                <w:rFonts w:ascii="Times New Roman" w:hAnsi="Times New Roman"/>
                <w:color w:val="000000"/>
                <w:sz w:val="14"/>
              </w:rPr>
              <w:t>unfunded commitment)(i)</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+ 7.00%)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10.66%/0.00%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(Units N/A) (h)</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Puget Collision, LLC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Retail</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(0.75%)</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8.45%/0.00%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10/3/2025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10/3/2030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(310</w:t>
            </w:r>
            <w:r>
              <w:rPr>
                <w:rFonts w:ascii="Times New Roman" w:hAnsi="Times New Roman"/>
                <w:color w:val="000000"/>
                <w:sz w:val="20"/>
              </w:rPr>
              <w:t> </w:t>
            </w:r>
            <w:r>
              <w:rPr>
                <w:rFonts w:ascii="Times New Roman" w:hAnsi="Times New Roman"/>
                <w:color w:val="000000"/>
                <w:sz w:val="14"/>
              </w:rPr>
              <w:t>units) (h)</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1/4/2024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QED Technologies International, Inc.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(q)</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(1.50%)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8.91%0.00%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3/1/2023</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(j)(q)</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(1.50%)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8.91%0.00%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5/30/2025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(140</w:t>
            </w:r>
            <w:r>
              <w:rPr>
                <w:rFonts w:ascii="Times New Roman" w:hAnsi="Times New Roman"/>
                <w:color w:val="000000"/>
                <w:sz w:val="20"/>
              </w:rPr>
              <w:t> </w:t>
            </w:r>
            <w:r>
              <w:rPr>
                <w:rFonts w:ascii="Times New Roman" w:hAnsi="Times New Roman"/>
                <w:color w:val="000000"/>
                <w:sz w:val="14"/>
              </w:rPr>
              <w:t>shares)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Quest Software US Holdings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+ 1.00%) / (0.50%)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4.67%/6.75%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8/11/2025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R1 Holdings, LLC (dba RoadOne IntermodaLogistics)</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Transportation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+ 6.75%) / (1.00%)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10.45%/0.00%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8.75%/5.00%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(280,000</w:t>
            </w:r>
            <w:r>
              <w:rPr>
                <w:rFonts w:ascii="Times New Roman" w:hAnsi="Times New Roman"/>
                <w:color w:val="000000"/>
                <w:sz w:val="20"/>
              </w:rPr>
              <w:t> </w:t>
            </w:r>
            <w:r>
              <w:rPr>
                <w:rFonts w:ascii="Times New Roman" w:hAnsi="Times New Roman"/>
                <w:color w:val="000000"/>
                <w:sz w:val="14"/>
              </w:rPr>
              <w:t>units)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R.F. Fager Company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12.75%/0.00%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(12,500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Sales Rabbit,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11.00%/2.00%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12/23/2025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12/23/2030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ServicePower, Inc.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(k)(as)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10.50%/5.50%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3/15/2024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(ba)</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6/6/2025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SES Investors, LLC (dba SES Foam) (n)</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9/8/2016</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Sogno Toscano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(bi)</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+ 5.00%)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8.70%/0.00%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w:t>
            </w:r>
            <w:r>
              <w:rPr>
                <w:rFonts w:ascii="Times New Roman" w:hAnsi="Times New Roman"/>
                <w:color w:val="000000"/>
                <w:sz w:val="20"/>
              </w:rPr>
              <w:t> </w:t>
            </w:r>
            <w:r>
              <w:rPr>
                <w:rFonts w:ascii="Times New Roman" w:hAnsi="Times New Roman"/>
                <w:color w:val="000000"/>
                <w:sz w:val="14"/>
              </w:rPr>
              <w:t>units)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Tedia Company,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11.67%/0.00%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($1,750</w:t>
            </w:r>
            <w:r>
              <w:rPr>
                <w:rFonts w:ascii="Times New Roman" w:hAnsi="Times New Roman"/>
                <w:color w:val="000000"/>
                <w:sz w:val="20"/>
              </w:rPr>
              <w:t> </w:t>
            </w:r>
            <w:r>
              <w:rPr>
                <w:rFonts w:ascii="Times New Roman" w:hAnsi="Times New Roman"/>
                <w:color w:val="000000"/>
                <w:sz w:val="14"/>
              </w:rPr>
              <w:t>unfunded commitment) (i)</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11.67%/0.00%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7.25%/7.25%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Thrust Flight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(j)(au)</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9.40%/0.00%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($1,818</w:t>
            </w:r>
            <w:r>
              <w:rPr>
                <w:rFonts w:ascii="Times New Roman" w:hAnsi="Times New Roman"/>
                <w:color w:val="000000"/>
                <w:sz w:val="20"/>
              </w:rPr>
              <w:t> </w:t>
            </w:r>
            <w:r>
              <w:rPr>
                <w:rFonts w:ascii="Times New Roman" w:hAnsi="Times New Roman"/>
                <w:color w:val="000000"/>
                <w:sz w:val="14"/>
              </w:rPr>
              <w:t>unfunded commitment)(i)(au)</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9.40%/0.00%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 (j)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10.00%/5.00%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(1,050,000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True Environmental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 (bj)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($511</w:t>
            </w:r>
            <w:r>
              <w:rPr>
                <w:rFonts w:ascii="Times New Roman" w:hAnsi="Times New Roman"/>
                <w:color w:val="000000"/>
                <w:sz w:val="20"/>
              </w:rPr>
              <w:t> </w:t>
            </w:r>
            <w:r>
              <w:rPr>
                <w:rFonts w:ascii="Times New Roman" w:hAnsi="Times New Roman"/>
                <w:color w:val="000000"/>
                <w:sz w:val="14"/>
              </w:rPr>
              <w:t>unfunded commitment)(bj)</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9.15%/0.00%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($1,023</w:t>
            </w:r>
            <w:r>
              <w:rPr>
                <w:rFonts w:ascii="Times New Roman" w:hAnsi="Times New Roman"/>
                <w:color w:val="000000"/>
                <w:sz w:val="20"/>
              </w:rPr>
              <w:t> </w:t>
            </w:r>
            <w:r>
              <w:rPr>
                <w:rFonts w:ascii="Times New Roman" w:hAnsi="Times New Roman"/>
                <w:color w:val="000000"/>
                <w:sz w:val="14"/>
              </w:rPr>
              <w:t>unfunded commitment)(bj)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(397,026</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UBEO,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(705,000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4/3/2018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349"/>
        <w:gridCol w:w="1221"/>
        <w:gridCol w:w="882"/>
        <w:gridCol w:w="639"/>
        <w:gridCol w:w="501"/>
        <w:gridCol w:w="501"/>
        <w:gridCol w:w="146"/>
        <w:gridCol w:w="511"/>
        <w:gridCol w:w="146"/>
        <w:gridCol w:w="146"/>
        <w:gridCol w:w="181"/>
        <w:gridCol w:w="691"/>
        <w:gridCol w:w="151"/>
        <w:gridCol w:w="146"/>
        <w:gridCol w:w="181"/>
        <w:gridCol w:w="691"/>
        <w:gridCol w:w="146"/>
        <w:gridCol w:w="146"/>
        <w:gridCol w:w="331"/>
        <w:gridCol w:w="499"/>
      </w:tblGrid>
      <w:tr>
        <w:trPr/>
        <w:tc>
          <w:tcPr>
            <w:tcW w:w="234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United Biologics, LLC</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(98,377</w:t>
            </w:r>
            <w:r>
              <w:rPr>
                <w:rFonts w:ascii="Times New Roman" w:hAnsi="Times New Roman"/>
                <w:color w:val="000000"/>
                <w:sz w:val="20"/>
              </w:rPr>
              <w:t> </w:t>
            </w:r>
            <w:r>
              <w:rPr>
                <w:rFonts w:ascii="Times New Roman" w:hAnsi="Times New Roman"/>
                <w:color w:val="000000"/>
                <w:sz w:val="14"/>
              </w:rPr>
              <w:t>units) (h)</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4/1/2012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Warrant (57,469</w:t>
            </w:r>
            <w:r>
              <w:rPr>
                <w:rFonts w:ascii="Times New Roman" w:hAnsi="Times New Roman"/>
                <w:color w:val="000000"/>
                <w:sz w:val="20"/>
              </w:rPr>
              <w:t> </w:t>
            </w:r>
            <w:r>
              <w:rPr>
                <w:rFonts w:ascii="Times New Roman" w:hAnsi="Times New Roman"/>
                <w:color w:val="000000"/>
                <w:sz w:val="14"/>
              </w:rPr>
              <w:t>units) (m)</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3/5/2012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USG AS Holdings, LLC</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(Units N/A)</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2/21/2023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Virginia Tile Company, LLC (n)</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(Units N/A)</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12/19/2014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Virtex Enterprises, LP</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 (y)</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+ 0.00%) / (2.50%)</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3.77%/9.75%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4/13/2022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 (y)</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+ 4.00%) / (2.50%)</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9.77%/0.00%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VMS MSO, LLC (dba Vytal Health Partners)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13.75%/0.00%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12/18/2025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($1,500</w:t>
            </w:r>
            <w:r>
              <w:rPr>
                <w:rFonts w:ascii="Times New Roman" w:hAnsi="Times New Roman"/>
                <w:color w:val="000000"/>
                <w:sz w:val="20"/>
              </w:rPr>
              <w:t> </w:t>
            </w:r>
            <w:r>
              <w:rPr>
                <w:rFonts w:ascii="Times New Roman" w:hAnsi="Times New Roman"/>
                <w:color w:val="000000"/>
                <w:sz w:val="14"/>
              </w:rPr>
              <w:t>unfunded commitment)(i)</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13.75%/0.00%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12/18/2025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W50 Holdings, LLC</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3/22/2024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(Units N/A) ($100</w:t>
            </w:r>
            <w:r>
              <w:rPr>
                <w:rFonts w:ascii="Times New Roman" w:hAnsi="Times New Roman"/>
                <w:color w:val="000000"/>
                <w:sz w:val="20"/>
              </w:rPr>
              <w:t> </w:t>
            </w:r>
            <w:r>
              <w:rPr>
                <w:rFonts w:ascii="Times New Roman" w:hAnsi="Times New Roman"/>
                <w:color w:val="000000"/>
                <w:sz w:val="14"/>
              </w:rPr>
              <w:t>unfunded commitment)</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3/21/2024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Waterworks Solutions Acquisition, Inc. (dba CITCO Water)</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($2,450</w:t>
            </w:r>
            <w:r>
              <w:rPr>
                <w:rFonts w:ascii="Times New Roman" w:hAnsi="Times New Roman"/>
                <w:color w:val="000000"/>
                <w:sz w:val="20"/>
              </w:rPr>
              <w:t> </w:t>
            </w:r>
            <w:r>
              <w:rPr>
                <w:rFonts w:ascii="Times New Roman" w:hAnsi="Times New Roman"/>
                <w:color w:val="000000"/>
                <w:sz w:val="14"/>
              </w:rPr>
              <w:t>unfunded commitment)(bh)</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+ 4.75%) / (2.00%)</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8.41%/0.00%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12/26/2025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White Label Communication, LLC</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(j)(ab)</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 / (1.00%)</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8.90%/0.00%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(536</w:t>
            </w:r>
            <w:r>
              <w:rPr>
                <w:rFonts w:ascii="Times New Roman" w:hAnsi="Times New Roman"/>
                <w:color w:val="000000"/>
                <w:sz w:val="20"/>
              </w:rPr>
              <w:t> </w:t>
            </w:r>
            <w:r>
              <w:rPr>
                <w:rFonts w:ascii="Times New Roman" w:hAnsi="Times New Roman"/>
                <w:color w:val="000000"/>
                <w:sz w:val="14"/>
              </w:rPr>
              <w:t>units) (h)</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10/11/2023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(5,000</w:t>
            </w:r>
            <w:r>
              <w:rPr>
                <w:rFonts w:ascii="Times New Roman" w:hAnsi="Times New Roman"/>
                <w:color w:val="000000"/>
                <w:sz w:val="20"/>
              </w:rPr>
              <w:t> </w:t>
            </w:r>
            <w:r>
              <w:rPr>
                <w:rFonts w:ascii="Times New Roman" w:hAnsi="Times New Roman"/>
                <w:color w:val="000000"/>
                <w:sz w:val="14"/>
              </w:rPr>
              <w:t>units) (h)</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10/11/2023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Wonderware Holdings, LLC (dba CORE Business Technologies)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(z)</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(2.00%)</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8.67%/0.00%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2/10/2021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5/14/2028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World Tours LLC</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Services</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(ay)</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+ 6.50%) / (2.00%)</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(1,000,000</w:t>
            </w:r>
            <w:r>
              <w:rPr>
                <w:rFonts w:ascii="Times New Roman" w:hAnsi="Times New Roman"/>
                <w:color w:val="000000"/>
                <w:sz w:val="20"/>
              </w:rPr>
              <w:t> </w:t>
            </w:r>
            <w:r>
              <w:rPr>
                <w:rFonts w:ascii="Times New Roman" w:hAnsi="Times New Roman"/>
                <w:color w:val="000000"/>
                <w:sz w:val="14"/>
              </w:rPr>
              <w:t>units) (h)</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Worldwide Express Operations, LLC</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Transportation services</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(795,000</w:t>
            </w:r>
            <w:r>
              <w:rPr>
                <w:rFonts w:ascii="Times New Roman" w:hAnsi="Times New Roman"/>
                <w:color w:val="000000"/>
                <w:sz w:val="20"/>
              </w:rPr>
              <w:t> </w:t>
            </w:r>
            <w:r>
              <w:rPr>
                <w:rFonts w:ascii="Times New Roman" w:hAnsi="Times New Roman"/>
                <w:color w:val="000000"/>
                <w:sz w:val="14"/>
              </w:rPr>
              <w:t>units)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(752,380</w:t>
            </w:r>
            <w:r>
              <w:rPr>
                <w:rFonts w:ascii="Times New Roman" w:hAnsi="Times New Roman"/>
                <w:color w:val="000000"/>
                <w:sz w:val="20"/>
              </w:rPr>
              <w:t> </w:t>
            </w:r>
            <w:r>
              <w:rPr>
                <w:rFonts w:ascii="Times New Roman" w:hAnsi="Times New Roman"/>
                <w:color w:val="000000"/>
                <w:sz w:val="14"/>
              </w:rPr>
              <w:t>units) (h)</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7/26/2021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Non-control/Non-affiliate Investments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1,257,389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1,336,135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Money market funds (included in cash and cash equivalents)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Goldman Sachs Financial Square Treasury Obligation Institution CUSIP (38141W323) (ad)</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3.53%/0.00%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4"/>
              </w:rPr>
            </w:pPr>
            <w:r>
              <w:rPr>
                <w:rFonts w:ascii="Times New Roman" w:hAnsi="Times New Roman"/>
                <w:b/>
                <w:color w:val="000000"/>
                <w:sz w:val="14"/>
              </w:rPr>
              <w:t>Total money market funds</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 and Money Market Funds</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1,384,412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1,417,534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4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March 31, 2026, the Company held restricted securities with an aggregate fair value of $1,369,257, or 185% of the Company's net assets.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 All debt investments are income producing, unless otherwise indicated. Equity investments are non-income producing unless otherwise noted.</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March 31, 2026.</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March 31, 2026. Generally, payment-in-kind interest can be paid-in-kind or all in cash.</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 Investment is held by a taxable subsidiary of the Company.</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 The disclosed commitment represents the unfunded amount as of March 31, 2026. The Company is earning 0.50% interest on the unfunded balance of the commitment. The interest rate disclosed represents the rate which will be earned if the commitment is funded.</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 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 The portion of the investment not held by the SBIC Funds is pledged as collateral for the SPV Credit Facility and, as a result, is not directly available to the creditors of the Company to satisfy any obligations of the Company other than the Company's obligations under the SPV Credit Facility (see Note 6 to the consolidated financial statements).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(m) Warrants entitle the Company to purchase a predetermined number of shares or units of common equity, and are non-income producing. The purchase price and number of shares are subject to adjustment under certain conditions until </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expiration date, if any.</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 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2.68%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1.50%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1.06%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 The disclosed commitment represents the unfunded amount as of March 31, 2026. The Company is earning 0.75% interest on the unfunded balance of the commitment. The interest rate disclosed represents the rate earned on the outstanding, funded balance of the commitment.</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(x) The disclosed commitment represents the unfunded amount as of March 31, 2026. The Company is earning 1.00% interest on the unfunded balance of the commitment. The interest rate disclosed represents the rate earned on the outstanding, funded balance of the commitment.</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(y) Investment was on non-accrual status as of March 31, 2026.</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1.92%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2.85% and PIK interest amount of 1.26%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2.18%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1.53%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3.75%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2.78%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3.89%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March 31, 2026, total non-qualifying assets at fair value represented 1.11% of the Company's total assets calculated in accordance with the 1940 Act.</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0.45% and PIK interest amount of 1.81%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2.58%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cash interest amount of 0.30% and PIK interest amount of 0.58%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2.67%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 In addition to the interest earned based on the stated interest rate of this security, the Company is entitled to receive an additional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(ax) In addition to the interest earned based on the stated interest rate of this security, the Company is entitled to receive an additional interest amount of 1.01%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(ay) In addition to the interest earned based on the stated interest rate of this security, the Company is entitled to receive an additional interest amount of 2.03%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(az) In addition to the interest earned based on the stated interest rate of this security, the Company is entitled to receive an additional interest amount of 2.35%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(ba) The Company sold a participating interest of approximately $0.005</w:t>
            </w:r>
            <w:r>
              <w:rPr>
                <w:rFonts w:ascii="Times New Roman" w:hAnsi="Times New Roman"/>
                <w:color w:val="000000"/>
                <w:sz w:val="20"/>
              </w:rPr>
              <w:t>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(bb) In addition to the interest earned based on the stated interest rate of this security, the Company is entitled to receive an additional interest amount of 3.15%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(bc) In addition to the interest earned based on the stated interest rate of this security, the Company is entitled to receive an additional cash interest amount of 2.21% and PIK interest amount of 0.74%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(bd) In addition to the interest earned based on the stated interest rate of this security, the Company is entitled to receive an additional interest amount of 3.05%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 In addition to the interest earned based on the stated interest rate of this security, the Company is entitled to receive an additional interest amount of 2.96%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(bf) In addition to the interest earned based on the stated interest rate of this security, the Company is entitled to receive an additional interest amount of 2.39%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(bg) As of March 31, 2026, the Company is earning an incremental 0.60% interest on the outstanding principal balance.</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(bh) In addition to the interest earned based on the stated interest rate of this security, the Company is entitled to receive an additional interest amount of 3.97%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 In addition to the interest earned based on the stated interest rate of this security, the Company is entitled to receive an additional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(bj) In addition to the interest earned based on the stated interest rate of this security, the Company is entitled to receive an additional interest amount of 3.35%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(bk) In addition to the interest earned based on the stated interest rate of this security, the Company is entitled to receive an additional interest amount of 2.99%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 In addition to the interest earned based on the stated interest rate of this security, the Company is entitled to receive an additional interest amount of 3.10%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(bm) In addition to the interest earned based on the stated interest rate of this security, the Company is entitled to receive an additional interest amount of 2.31%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tc>
      </w:tr>
    </w:tbl>
    <w:p>
      <w:pPr>
        <w:pStyle w:val="TextBody"/>
        <w:bidi w:val="0"/>
        <w:jc w:val="center"/>
        <w:rPr/>
      </w:pPr>
      <w:r>
        <w:rPr/>
        <w:t> </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046"/>
        <w:gridCol w:w="1309"/>
        <w:gridCol w:w="905"/>
        <w:gridCol w:w="655"/>
        <w:gridCol w:w="774"/>
        <w:gridCol w:w="688"/>
        <w:gridCol w:w="181"/>
        <w:gridCol w:w="511"/>
        <w:gridCol w:w="146"/>
        <w:gridCol w:w="146"/>
        <w:gridCol w:w="181"/>
        <w:gridCol w:w="511"/>
        <w:gridCol w:w="151"/>
        <w:gridCol w:w="146"/>
        <w:gridCol w:w="181"/>
        <w:gridCol w:w="586"/>
        <w:gridCol w:w="146"/>
        <w:gridCol w:w="212"/>
        <w:gridCol w:w="374"/>
        <w:gridCol w:w="356"/>
      </w:tblGrid>
      <w:tr>
        <w:trPr/>
        <w:tc>
          <w:tcPr>
            <w:tcW w:w="204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(a)(b)</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Variable Index</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Rate (e)</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Investment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Investment Type (c)</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Industry</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Spread / Floor (d)</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Cash/PIK</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Date (f)</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Maturity</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Assets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Control Investments (t)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US GreenFiber, LLC (n)</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(2,522</w:t>
            </w:r>
            <w:r>
              <w:rPr>
                <w:rFonts w:ascii="Times New Roman" w:hAnsi="Times New Roman"/>
                <w:color w:val="000000"/>
                <w:sz w:val="20"/>
              </w:rPr>
              <w:t> </w:t>
            </w:r>
            <w:r>
              <w:rPr>
                <w:rFonts w:ascii="Times New Roman" w:hAnsi="Times New Roman"/>
                <w:color w:val="000000"/>
                <w:sz w:val="14"/>
              </w:rPr>
              <w:t>units) (h)</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7/3/2014</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(425,508</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8/30/2019</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(1,022,813</w:t>
            </w:r>
            <w:r>
              <w:rPr>
                <w:rFonts w:ascii="Times New Roman" w:hAnsi="Times New Roman"/>
                <w:color w:val="000000"/>
                <w:sz w:val="20"/>
              </w:rPr>
              <w:t> </w:t>
            </w:r>
            <w:r>
              <w:rPr>
                <w:rFonts w:ascii="Times New Roman" w:hAnsi="Times New Roman"/>
                <w:color w:val="000000"/>
                <w:sz w:val="14"/>
              </w:rPr>
              <w:t>units) (h)</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7/1/2020</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Control Investments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Affiliate Investments (l)</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Applegate Greenfiber Intermediate Inc. (fka US GreenFiber, LLC)</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11.00%/0.00%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(5,690</w:t>
            </w:r>
            <w:r>
              <w:rPr>
                <w:rFonts w:ascii="Times New Roman" w:hAnsi="Times New Roman"/>
                <w:color w:val="000000"/>
                <w:sz w:val="20"/>
              </w:rPr>
              <w:t> </w:t>
            </w:r>
            <w:r>
              <w:rPr>
                <w:rFonts w:ascii="Times New Roman" w:hAnsi="Times New Roman"/>
                <w:color w:val="000000"/>
                <w:sz w:val="14"/>
              </w:rPr>
              <w:t>units) (h)</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(7,113</w:t>
            </w:r>
            <w:r>
              <w:rPr>
                <w:rFonts w:ascii="Times New Roman" w:hAnsi="Times New Roman"/>
                <w:color w:val="000000"/>
                <w:sz w:val="20"/>
              </w:rPr>
              <w:t> </w:t>
            </w:r>
            <w:r>
              <w:rPr>
                <w:rFonts w:ascii="Times New Roman" w:hAnsi="Times New Roman"/>
                <w:color w:val="000000"/>
                <w:sz w:val="14"/>
              </w:rPr>
              <w:t>units) (h)</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(2,012</w:t>
            </w:r>
            <w:r>
              <w:rPr>
                <w:rFonts w:ascii="Times New Roman" w:hAnsi="Times New Roman"/>
                <w:color w:val="000000"/>
                <w:sz w:val="20"/>
              </w:rPr>
              <w:t> </w:t>
            </w:r>
            <w:r>
              <w:rPr>
                <w:rFonts w:ascii="Times New Roman" w:hAnsi="Times New Roman"/>
                <w:color w:val="000000"/>
                <w:sz w:val="14"/>
              </w:rPr>
              <w:t>units) (h)</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CP Communications, LLC</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(am)</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+ 8.50%) / (4.00%)</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12/4/2024</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(62</w:t>
            </w:r>
            <w:r>
              <w:rPr>
                <w:rFonts w:ascii="Times New Roman" w:hAnsi="Times New Roman"/>
                <w:color w:val="000000"/>
                <w:sz w:val="20"/>
              </w:rPr>
              <w:t> </w:t>
            </w:r>
            <w:r>
              <w:rPr>
                <w:rFonts w:ascii="Times New Roman" w:hAnsi="Times New Roman"/>
                <w:color w:val="000000"/>
                <w:sz w:val="14"/>
              </w:rPr>
              <w:t>units)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12/4/2024</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Medsurant Holdings, LLC (n)</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(84,997</w:t>
            </w:r>
            <w:r>
              <w:rPr>
                <w:rFonts w:ascii="Times New Roman" w:hAnsi="Times New Roman"/>
                <w:color w:val="000000"/>
                <w:sz w:val="20"/>
              </w:rPr>
              <w:t> </w:t>
            </w:r>
            <w:r>
              <w:rPr>
                <w:rFonts w:ascii="Times New Roman" w:hAnsi="Times New Roman"/>
                <w:color w:val="000000"/>
                <w:sz w:val="14"/>
              </w:rPr>
              <w:t>units) (h)</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4/12/2011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Warrant (252,588</w:t>
            </w:r>
            <w:r>
              <w:rPr>
                <w:rFonts w:ascii="Times New Roman" w:hAnsi="Times New Roman"/>
                <w:color w:val="000000"/>
                <w:sz w:val="20"/>
              </w:rPr>
              <w:t> </w:t>
            </w:r>
            <w:r>
              <w:rPr>
                <w:rFonts w:ascii="Times New Roman" w:hAnsi="Times New Roman"/>
                <w:color w:val="000000"/>
                <w:sz w:val="14"/>
              </w:rPr>
              <w:t>units) (h)(m)</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4/12/2011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Pfanstiehl, Inc.</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(2,550</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3/29/2013</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PIPCO, LLC</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+ 6.25%) / (2.00%)</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9.99%/0.00%</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($3,000</w:t>
            </w:r>
            <w:r>
              <w:rPr>
                <w:rFonts w:ascii="Times New Roman" w:hAnsi="Times New Roman"/>
                <w:color w:val="000000"/>
                <w:sz w:val="20"/>
              </w:rPr>
              <w:t> </w:t>
            </w:r>
            <w:r>
              <w:rPr>
                <w:rFonts w:ascii="Times New Roman" w:hAnsi="Times New Roman"/>
                <w:color w:val="000000"/>
                <w:sz w:val="14"/>
              </w:rPr>
              <w:t>unfunded commitment)(i)</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+ 6.25%) / (2.00%)</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9.99%/0.00%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(750</w:t>
            </w:r>
            <w:r>
              <w:rPr>
                <w:rFonts w:ascii="Times New Roman" w:hAnsi="Times New Roman"/>
                <w:color w:val="000000"/>
                <w:sz w:val="20"/>
              </w:rPr>
              <w:t> </w:t>
            </w:r>
            <w:r>
              <w:rPr>
                <w:rFonts w:ascii="Times New Roman" w:hAnsi="Times New Roman"/>
                <w:color w:val="000000"/>
                <w:sz w:val="14"/>
              </w:rPr>
              <w:t>units)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Spectra A&amp;D Acquisition, Inc. (fka FDS Avionics Corp.)</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Aerospace &amp; Defense Manufacturing</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(ag)</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+ 6.00%) / (1.00%)</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9.93%/0.00%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8/11/2027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(12,035</w:t>
            </w:r>
            <w:r>
              <w:rPr>
                <w:rFonts w:ascii="Times New Roman" w:hAnsi="Times New Roman"/>
                <w:color w:val="000000"/>
                <w:sz w:val="20"/>
              </w:rPr>
              <w:t> </w:t>
            </w:r>
            <w:r>
              <w:rPr>
                <w:rFonts w:ascii="Times New Roman" w:hAnsi="Times New Roman"/>
                <w:color w:val="000000"/>
                <w:sz w:val="14"/>
              </w:rPr>
              <w:t>units)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8/25/2021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(38,493</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12/16/2022</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(6,783</w:t>
            </w:r>
            <w:r>
              <w:rPr>
                <w:rFonts w:ascii="Times New Roman" w:hAnsi="Times New Roman"/>
                <w:color w:val="000000"/>
                <w:sz w:val="20"/>
              </w:rPr>
              <w:t> </w:t>
            </w:r>
            <w:r>
              <w:rPr>
                <w:rFonts w:ascii="Times New Roman" w:hAnsi="Times New Roman"/>
                <w:color w:val="000000"/>
                <w:sz w:val="14"/>
              </w:rPr>
              <w:t>units)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7/10/2023</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(4,663</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9/16/2022</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(21,689</w:t>
            </w:r>
            <w:r>
              <w:rPr>
                <w:rFonts w:ascii="Times New Roman" w:hAnsi="Times New Roman"/>
                <w:color w:val="000000"/>
                <w:sz w:val="20"/>
              </w:rPr>
              <w:t> </w:t>
            </w:r>
            <w:r>
              <w:rPr>
                <w:rFonts w:ascii="Times New Roman" w:hAnsi="Times New Roman"/>
                <w:color w:val="000000"/>
                <w:sz w:val="14"/>
              </w:rPr>
              <w:t>units)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5/22/2024</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Steward Holding LLC (dba Steward Advanced Materials)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Aerospace &amp; Defense Manufacturing</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11/12/2015</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Affiliate Investments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2KDirect, Inc. (dba iPromote)</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+ 8.00%) / (0.50%)</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12.13%/0.00%</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6/25/2021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(aa)</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+ 8.00%) / (0.50%)</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8.38%/0.00%</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7/30/2021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6/25/2021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301 Edison Holdings Inc. (dba LGG Industrial)</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11.75%/1.50%</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11/14/2023</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(518,135</w:t>
            </w:r>
            <w:r>
              <w:rPr>
                <w:rFonts w:ascii="Times New Roman" w:hAnsi="Times New Roman"/>
                <w:color w:val="000000"/>
                <w:sz w:val="20"/>
              </w:rPr>
              <w:t> </w:t>
            </w:r>
            <w:r>
              <w:rPr>
                <w:rFonts w:ascii="Times New Roman" w:hAnsi="Times New Roman"/>
                <w:color w:val="000000"/>
                <w:sz w:val="14"/>
              </w:rPr>
              <w:t>units)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11/14/2023</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Acendre Midco, Inc.</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12.50%/1.25%</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12.50%/1.25%</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Revolving Loan</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12.50%/1.25%</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shares)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Warrant (275,000</w:t>
            </w:r>
            <w:r>
              <w:rPr>
                <w:rFonts w:ascii="Times New Roman" w:hAnsi="Times New Roman"/>
                <w:color w:val="000000"/>
                <w:sz w:val="20"/>
              </w:rPr>
              <w:t> </w:t>
            </w:r>
            <w:r>
              <w:rPr>
                <w:rFonts w:ascii="Times New Roman" w:hAnsi="Times New Roman"/>
                <w:color w:val="000000"/>
                <w:sz w:val="14"/>
              </w:rPr>
              <w:t>shares) (m)</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10/6/2021</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(77,016</w:t>
            </w:r>
            <w:r>
              <w:rPr>
                <w:rFonts w:ascii="Times New Roman" w:hAnsi="Times New Roman"/>
                <w:color w:val="000000"/>
                <w:sz w:val="20"/>
              </w:rPr>
              <w:t> </w:t>
            </w:r>
            <w:r>
              <w:rPr>
                <w:rFonts w:ascii="Times New Roman" w:hAnsi="Times New Roman"/>
                <w:color w:val="000000"/>
                <w:sz w:val="14"/>
              </w:rPr>
              <w:t>shares)</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9/26/2022</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(568,182</w:t>
            </w:r>
            <w:r>
              <w:rPr>
                <w:rFonts w:ascii="Times New Roman" w:hAnsi="Times New Roman"/>
                <w:color w:val="000000"/>
                <w:sz w:val="20"/>
              </w:rPr>
              <w:t> </w:t>
            </w:r>
            <w:r>
              <w:rPr>
                <w:rFonts w:ascii="Times New Roman" w:hAnsi="Times New Roman"/>
                <w:color w:val="000000"/>
                <w:sz w:val="14"/>
              </w:rPr>
              <w:t>shares)</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6/10/2025</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2"/>
        <w:gridCol w:w="1412"/>
        <w:gridCol w:w="983"/>
        <w:gridCol w:w="708"/>
        <w:gridCol w:w="566"/>
        <w:gridCol w:w="566"/>
        <w:gridCol w:w="146"/>
        <w:gridCol w:w="511"/>
        <w:gridCol w:w="146"/>
        <w:gridCol w:w="146"/>
        <w:gridCol w:w="146"/>
        <w:gridCol w:w="511"/>
        <w:gridCol w:w="151"/>
        <w:gridCol w:w="146"/>
        <w:gridCol w:w="146"/>
        <w:gridCol w:w="511"/>
        <w:gridCol w:w="146"/>
        <w:gridCol w:w="146"/>
        <w:gridCol w:w="181"/>
        <w:gridCol w:w="355"/>
      </w:tblGrid>
      <w:tr>
        <w:trPr/>
        <w:tc>
          <w:tcPr>
            <w:tcW w:w="258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Ad Info Parent, Inc. (dba MediaRadar)</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(1.00%)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8.67%/0.00%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($1,195</w:t>
            </w:r>
            <w:r>
              <w:rPr>
                <w:rFonts w:ascii="Times New Roman" w:hAnsi="Times New Roman"/>
                <w:color w:val="000000"/>
                <w:sz w:val="20"/>
              </w:rPr>
              <w:t> </w:t>
            </w:r>
            <w:r>
              <w:rPr>
                <w:rFonts w:ascii="Times New Roman" w:hAnsi="Times New Roman"/>
                <w:color w:val="000000"/>
                <w:sz w:val="14"/>
              </w:rPr>
              <w:t>unfunded commitment) (i)</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(1.00%)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8.67%/0.00%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(1,250,000</w:t>
            </w:r>
            <w:r>
              <w:rPr>
                <w:rFonts w:ascii="Times New Roman" w:hAnsi="Times New Roman"/>
                <w:color w:val="000000"/>
                <w:sz w:val="20"/>
              </w:rPr>
              <w:t> </w:t>
            </w:r>
            <w:r>
              <w:rPr>
                <w:rFonts w:ascii="Times New Roman" w:hAnsi="Times New Roman"/>
                <w:color w:val="000000"/>
                <w:sz w:val="14"/>
              </w:rPr>
              <w:t>units)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Air Burners, Inc.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Utility Equipment Manufacturing</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8.74%/0.00%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(817</w:t>
            </w:r>
            <w:r>
              <w:rPr>
                <w:rFonts w:ascii="Times New Roman" w:hAnsi="Times New Roman"/>
                <w:color w:val="000000"/>
                <w:sz w:val="20"/>
              </w:rPr>
              <w:t> </w:t>
            </w:r>
            <w:r>
              <w:rPr>
                <w:rFonts w:ascii="Times New Roman" w:hAnsi="Times New Roman"/>
                <w:color w:val="000000"/>
                <w:sz w:val="14"/>
              </w:rPr>
              <w:t>units) ($200</w:t>
            </w:r>
            <w:r>
              <w:rPr>
                <w:rFonts w:ascii="Times New Roman" w:hAnsi="Times New Roman"/>
                <w:color w:val="000000"/>
                <w:sz w:val="20"/>
              </w:rPr>
              <w:t> </w:t>
            </w:r>
            <w:r>
              <w:rPr>
                <w:rFonts w:ascii="Times New Roman" w:hAnsi="Times New Roman"/>
                <w:color w:val="000000"/>
                <w:sz w:val="14"/>
              </w:rPr>
              <w:t>unfunded commitment)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11/24/2025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Allredi, LLC (fka Marco Group International OpCo, LLC)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Industrial Cleaning &amp; Coatings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0.00%/15.00%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3/2/2020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(570,636</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7/21/2017</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(39,443</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11/24/2021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(524,624units)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American AllWaste LLC (dba WasteWater Transport Services)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Environmental Industries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(p)</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+ 6.75%) / (1.00%)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10.68%/0.00%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6/28/2021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(o)</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+ 6.75%) / (1.00%)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8.18%/0.00%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6/28/2021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15.25%/0.00%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5/31/2018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(207</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8/6/2019</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(141</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11/2/2020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(74</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12/29/2021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(52</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(312</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(1,405</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AmeriWater, LLC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(af)</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+ 6.25%) / (1.00%)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7/8/2022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AMOpportunities, Inc.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12.50%/0.00%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(801,414</w:t>
            </w:r>
            <w:r>
              <w:rPr>
                <w:rFonts w:ascii="Times New Roman" w:hAnsi="Times New Roman"/>
                <w:color w:val="000000"/>
                <w:sz w:val="20"/>
              </w:rPr>
              <w:t> </w:t>
            </w:r>
            <w:r>
              <w:rPr>
                <w:rFonts w:ascii="Times New Roman" w:hAnsi="Times New Roman"/>
                <w:color w:val="000000"/>
                <w:sz w:val="14"/>
              </w:rPr>
              <w:t>shares)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3/17/2025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AOM Intermediate Holdco, LLC (dba AllOver Media)</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(1,232</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2/1/2022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APM Intermediate Holdings, LLC (dba Artistic Paver Manufacturing, Inc.)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(ai)</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+ 7.00%) / (2.00%)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10.99%/0.00%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11/8/2022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10.00%/5.00%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12/19/2025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(1,200</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11/8/2022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Auto CRM LLC (dba Dealer Holdings)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0.00%/14.50%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0.00%/14.50%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w:t>
            </w:r>
            <w:r>
              <w:rPr>
                <w:rFonts w:ascii="Times New Roman" w:hAnsi="Times New Roman"/>
                <w:color w:val="000000"/>
                <w:sz w:val="20"/>
              </w:rPr>
              <w:t> </w:t>
            </w:r>
            <w:r>
              <w:rPr>
                <w:rFonts w:ascii="Times New Roman" w:hAnsi="Times New Roman"/>
                <w:color w:val="000000"/>
                <w:sz w:val="14"/>
              </w:rPr>
              <w:t>units)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Axis Medical Technologies LLC (dba MoveMedical)</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+ 6.50%) / (2.00%)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10.49%/0.00%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($800</w:t>
            </w:r>
            <w:r>
              <w:rPr>
                <w:rFonts w:ascii="Times New Roman" w:hAnsi="Times New Roman"/>
                <w:color w:val="000000"/>
                <w:sz w:val="20"/>
              </w:rPr>
              <w:t> </w:t>
            </w:r>
            <w:r>
              <w:rPr>
                <w:rFonts w:ascii="Times New Roman" w:hAnsi="Times New Roman"/>
                <w:color w:val="000000"/>
                <w:sz w:val="14"/>
              </w:rPr>
              <w:t>unfunded commitment) (x)</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+ 6.50%)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10.49%/0.00%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(1,200,000</w:t>
            </w:r>
            <w:r>
              <w:rPr>
                <w:rFonts w:ascii="Times New Roman" w:hAnsi="Times New Roman"/>
                <w:color w:val="000000"/>
                <w:sz w:val="20"/>
              </w:rPr>
              <w:t> </w:t>
            </w:r>
            <w:r>
              <w:rPr>
                <w:rFonts w:ascii="Times New Roman" w:hAnsi="Times New Roman"/>
                <w:color w:val="000000"/>
                <w:sz w:val="14"/>
              </w:rPr>
              <w:t>units)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10/25/2024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Bad Boy Mowers JV Acquisition, LLC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Products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 / (0.75%)</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8.94%/0.00%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12/12/2025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(13,000</w:t>
            </w:r>
            <w:r>
              <w:rPr>
                <w:rFonts w:ascii="Times New Roman" w:hAnsi="Times New Roman"/>
                <w:color w:val="000000"/>
                <w:sz w:val="20"/>
              </w:rPr>
              <w:t> </w:t>
            </w:r>
            <w:r>
              <w:rPr>
                <w:rFonts w:ascii="Times New Roman" w:hAnsi="Times New Roman"/>
                <w:color w:val="000000"/>
                <w:sz w:val="14"/>
              </w:rPr>
              <w:t>units)</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Barefoot Mosquito and Pest Control, LLC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(k)(s)</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+ 6.00%)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9.99%/0.00%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(ba)</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+ 6.00%) / (2.00%)</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7.24%/0.00%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7/14/2025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(5,474</w:t>
            </w:r>
            <w:r>
              <w:rPr>
                <w:rFonts w:ascii="Times New Roman" w:hAnsi="Times New Roman"/>
                <w:color w:val="000000"/>
                <w:sz w:val="20"/>
              </w:rPr>
              <w:t> </w:t>
            </w:r>
            <w:r>
              <w:rPr>
                <w:rFonts w:ascii="Times New Roman" w:hAnsi="Times New Roman"/>
                <w:color w:val="000000"/>
                <w:sz w:val="14"/>
              </w:rPr>
              <w:t>units) (h)</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(20,137</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12/22/2023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BCM One Group Holdings, Inc.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11.75%/0.00%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11/17/2021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Bedford Precision Parts LLC</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units) (h)</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3/12/2019</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Bobcat of Connecticut, LLC</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(bk)</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+ 5.75%) / (2.00%)</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9.74%/0.00%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2"/>
        <w:gridCol w:w="1386"/>
        <w:gridCol w:w="975"/>
        <w:gridCol w:w="702"/>
        <w:gridCol w:w="561"/>
        <w:gridCol w:w="561"/>
        <w:gridCol w:w="146"/>
        <w:gridCol w:w="511"/>
        <w:gridCol w:w="146"/>
        <w:gridCol w:w="146"/>
        <w:gridCol w:w="146"/>
        <w:gridCol w:w="511"/>
        <w:gridCol w:w="151"/>
        <w:gridCol w:w="146"/>
        <w:gridCol w:w="146"/>
        <w:gridCol w:w="511"/>
        <w:gridCol w:w="146"/>
        <w:gridCol w:w="146"/>
        <w:gridCol w:w="181"/>
        <w:gridCol w:w="355"/>
      </w:tblGrid>
      <w:tr>
        <w:trPr/>
        <w:tc>
          <w:tcPr>
            <w:tcW w:w="263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LP Units) ($250</w:t>
            </w:r>
            <w:r>
              <w:rPr>
                <w:rFonts w:ascii="Times New Roman" w:hAnsi="Times New Roman"/>
                <w:color w:val="000000"/>
                <w:sz w:val="20"/>
              </w:rPr>
              <w:t> </w:t>
            </w:r>
            <w:r>
              <w:rPr>
                <w:rFonts w:ascii="Times New Roman" w:hAnsi="Times New Roman"/>
                <w:color w:val="000000"/>
                <w:sz w:val="14"/>
              </w:rPr>
              <w:t>unfunded commitment)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Brightmore Brands LLC</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Retail</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(j)(al)</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+ 5.38%) / (1.50%)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9.38%/0.00%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9/13/2022</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w:t>
            </w:r>
            <w:r>
              <w:rPr>
                <w:rFonts w:ascii="Times New Roman" w:hAnsi="Times New Roman"/>
                <w:color w:val="000000"/>
                <w:sz w:val="20"/>
              </w:rPr>
              <w:t> </w:t>
            </w:r>
            <w:r>
              <w:rPr>
                <w:rFonts w:ascii="Times New Roman" w:hAnsi="Times New Roman"/>
                <w:color w:val="000000"/>
                <w:sz w:val="14"/>
              </w:rPr>
              <w:t>units)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9/13/2022</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(371</w:t>
            </w:r>
            <w:r>
              <w:rPr>
                <w:rFonts w:ascii="Times New Roman" w:hAnsi="Times New Roman"/>
                <w:color w:val="000000"/>
                <w:sz w:val="20"/>
              </w:rPr>
              <w:t> </w:t>
            </w:r>
            <w:r>
              <w:rPr>
                <w:rFonts w:ascii="Times New Roman" w:hAnsi="Times New Roman"/>
                <w:color w:val="000000"/>
                <w:sz w:val="14"/>
              </w:rPr>
              <w:t>units)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Cardback Intermediate, LLC (dba Chargeback Gurus)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(j)(bl)</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 / (0.75%)</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9.20%/0.00%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(495</w:t>
            </w:r>
            <w:r>
              <w:rPr>
                <w:rFonts w:ascii="Times New Roman" w:hAnsi="Times New Roman"/>
                <w:color w:val="000000"/>
                <w:sz w:val="20"/>
              </w:rPr>
              <w:t> </w:t>
            </w:r>
            <w:r>
              <w:rPr>
                <w:rFonts w:ascii="Times New Roman" w:hAnsi="Times New Roman"/>
                <w:color w:val="000000"/>
                <w:sz w:val="14"/>
              </w:rPr>
              <w:t>shares)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8/10/2021</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(495</w:t>
            </w:r>
            <w:r>
              <w:rPr>
                <w:rFonts w:ascii="Times New Roman" w:hAnsi="Times New Roman"/>
                <w:color w:val="000000"/>
                <w:sz w:val="20"/>
              </w:rPr>
              <w:t> </w:t>
            </w:r>
            <w:r>
              <w:rPr>
                <w:rFonts w:ascii="Times New Roman" w:hAnsi="Times New Roman"/>
                <w:color w:val="000000"/>
                <w:sz w:val="14"/>
              </w:rPr>
              <w:t>shares)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8/10/2021</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Choice Technology Solutions, LLC (dba Choice Merchant Solutions, LLC) (n)</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(500,000</w:t>
            </w:r>
            <w:r>
              <w:rPr>
                <w:rFonts w:ascii="Times New Roman" w:hAnsi="Times New Roman"/>
                <w:color w:val="000000"/>
                <w:sz w:val="20"/>
              </w:rPr>
              <w:t> </w:t>
            </w:r>
            <w:r>
              <w:rPr>
                <w:rFonts w:ascii="Times New Roman" w:hAnsi="Times New Roman"/>
                <w:color w:val="000000"/>
                <w:sz w:val="14"/>
              </w:rPr>
              <w:t>units) (h)</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8/21/2023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CIH Intermediate,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(563</w:t>
            </w:r>
            <w:r>
              <w:rPr>
                <w:rFonts w:ascii="Times New Roman" w:hAnsi="Times New Roman"/>
                <w:color w:val="000000"/>
                <w:sz w:val="20"/>
              </w:rPr>
              <w:t> </w:t>
            </w:r>
            <w:r>
              <w:rPr>
                <w:rFonts w:ascii="Times New Roman" w:hAnsi="Times New Roman"/>
                <w:color w:val="000000"/>
                <w:sz w:val="14"/>
              </w:rPr>
              <w:t>shares)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3/3/2022</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(563</w:t>
            </w:r>
            <w:r>
              <w:rPr>
                <w:rFonts w:ascii="Times New Roman" w:hAnsi="Times New Roman"/>
                <w:color w:val="000000"/>
                <w:sz w:val="20"/>
              </w:rPr>
              <w:t> </w:t>
            </w:r>
            <w:r>
              <w:rPr>
                <w:rFonts w:ascii="Times New Roman" w:hAnsi="Times New Roman"/>
                <w:color w:val="000000"/>
                <w:sz w:val="14"/>
              </w:rPr>
              <w:t>shares)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3/3/2022</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Cleanova Topco Limited</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Equity (746,893shares)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6/12/2025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Equity (373,447shares)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6/12/2025</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(113,166</w:t>
            </w:r>
            <w:r>
              <w:rPr>
                <w:rFonts w:ascii="Times New Roman" w:hAnsi="Times New Roman"/>
                <w:color w:val="000000"/>
                <w:sz w:val="20"/>
              </w:rPr>
              <w:t> </w:t>
            </w:r>
            <w:r>
              <w:rPr>
                <w:rFonts w:ascii="Times New Roman" w:hAnsi="Times New Roman"/>
                <w:color w:val="000000"/>
                <w:sz w:val="14"/>
              </w:rPr>
              <w:t>shares)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6/12/2025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CRS Solutions Holdings, LLC (dba CRS Texas)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(574,929</w:t>
            </w:r>
            <w:r>
              <w:rPr>
                <w:rFonts w:ascii="Times New Roman" w:hAnsi="Times New Roman"/>
                <w:color w:val="000000"/>
                <w:sz w:val="20"/>
              </w:rPr>
              <w:t> </w:t>
            </w:r>
            <w:r>
              <w:rPr>
                <w:rFonts w:ascii="Times New Roman" w:hAnsi="Times New Roman"/>
                <w:color w:val="000000"/>
                <w:sz w:val="14"/>
              </w:rPr>
              <w:t>units) (h)</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6/28/2022</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CTM Group, Inc. (dba Venuplus, Inc.)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+ 6.75%)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10.57%/0.75%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11.50%/2.75%</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(400,000</w:t>
            </w:r>
            <w:r>
              <w:rPr>
                <w:rFonts w:ascii="Times New Roman" w:hAnsi="Times New Roman"/>
                <w:color w:val="000000"/>
                <w:sz w:val="20"/>
              </w:rPr>
              <w:t> </w:t>
            </w:r>
            <w:r>
              <w:rPr>
                <w:rFonts w:ascii="Times New Roman" w:hAnsi="Times New Roman"/>
                <w:color w:val="000000"/>
                <w:sz w:val="14"/>
              </w:rPr>
              <w:t>units)</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Customer Expressions Corp (dba Case IQ) (aq)</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(bc)(ao)</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8.82%/0.50%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1/6/2025</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(502,894</w:t>
            </w:r>
            <w:r>
              <w:rPr>
                <w:rFonts w:ascii="Times New Roman" w:hAnsi="Times New Roman"/>
                <w:color w:val="000000"/>
                <w:sz w:val="20"/>
              </w:rPr>
              <w:t> </w:t>
            </w:r>
            <w:r>
              <w:rPr>
                <w:rFonts w:ascii="Times New Roman" w:hAnsi="Times New Roman"/>
                <w:color w:val="000000"/>
                <w:sz w:val="14"/>
              </w:rPr>
              <w:t>units) (ao)</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1/6/2025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Dataguise, Inc.</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(909</w:t>
            </w:r>
            <w:r>
              <w:rPr>
                <w:rFonts w:ascii="Times New Roman" w:hAnsi="Times New Roman"/>
                <w:color w:val="000000"/>
                <w:sz w:val="20"/>
              </w:rPr>
              <w:t> </w:t>
            </w:r>
            <w:r>
              <w:rPr>
                <w:rFonts w:ascii="Times New Roman" w:hAnsi="Times New Roman"/>
                <w:color w:val="000000"/>
                <w:sz w:val="14"/>
              </w:rPr>
              <w:t>shares)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12/31/2020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Dealerbuilt Acquisition,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(ac)</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+ 5.75%) / (4.00%)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9.75%/1.00%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7.50%/7.50%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w:t>
            </w:r>
            <w:r>
              <w:rPr>
                <w:rFonts w:ascii="Times New Roman" w:hAnsi="Times New Roman"/>
                <w:color w:val="000000"/>
                <w:sz w:val="20"/>
              </w:rPr>
              <w:t> </w:t>
            </w:r>
            <w:r>
              <w:rPr>
                <w:rFonts w:ascii="Times New Roman" w:hAnsi="Times New Roman"/>
                <w:color w:val="000000"/>
                <w:sz w:val="14"/>
              </w:rPr>
              <w:t>Units) (h)</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w:t>
            </w:r>
            <w:r>
              <w:rPr>
                <w:rFonts w:ascii="Times New Roman" w:hAnsi="Times New Roman"/>
                <w:color w:val="000000"/>
                <w:sz w:val="20"/>
              </w:rPr>
              <w:t> </w:t>
            </w:r>
            <w:r>
              <w:rPr>
                <w:rFonts w:ascii="Times New Roman" w:hAnsi="Times New Roman"/>
                <w:color w:val="000000"/>
                <w:sz w:val="14"/>
              </w:rPr>
              <w:t>Units) (h)</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Detechtion Holdings,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+ 5.75%) / (2.25%)</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9.74%/2.50%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($1,000</w:t>
            </w:r>
            <w:r>
              <w:rPr>
                <w:rFonts w:ascii="Times New Roman" w:hAnsi="Times New Roman"/>
                <w:color w:val="000000"/>
                <w:sz w:val="20"/>
              </w:rPr>
              <w:t> </w:t>
            </w:r>
            <w:r>
              <w:rPr>
                <w:rFonts w:ascii="Times New Roman" w:hAnsi="Times New Roman"/>
                <w:color w:val="000000"/>
                <w:sz w:val="14"/>
              </w:rPr>
              <w:t>unfunded commitment) (w)</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+ 8.25%) / (2.25%)</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12.24%/0.00%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7/12/2024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0.00%/14.00%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(601,532</w:t>
            </w:r>
            <w:r>
              <w:rPr>
                <w:rFonts w:ascii="Times New Roman" w:hAnsi="Times New Roman"/>
                <w:color w:val="000000"/>
                <w:sz w:val="20"/>
              </w:rPr>
              <w:t> </w:t>
            </w:r>
            <w:r>
              <w:rPr>
                <w:rFonts w:ascii="Times New Roman" w:hAnsi="Times New Roman"/>
                <w:color w:val="000000"/>
                <w:sz w:val="14"/>
              </w:rPr>
              <w:t>units) (h)</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6/21/2023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Diversified Search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(j)(r)</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+ 7.50%)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11.17%/0.00%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6/10/2019</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12/23/2026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(573</w:t>
            </w:r>
            <w:r>
              <w:rPr>
                <w:rFonts w:ascii="Times New Roman" w:hAnsi="Times New Roman"/>
                <w:color w:val="000000"/>
                <w:sz w:val="20"/>
              </w:rPr>
              <w:t> </w:t>
            </w:r>
            <w:r>
              <w:rPr>
                <w:rFonts w:ascii="Times New Roman" w:hAnsi="Times New Roman"/>
                <w:color w:val="000000"/>
                <w:sz w:val="14"/>
              </w:rPr>
              <w:t>units) (h)</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2/7/2019</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Donovan Food Brokerage,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(ae)</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+ 6.00%) / (2.00%)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9.67%/0.00%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2/23/2024</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(679,301</w:t>
            </w:r>
            <w:r>
              <w:rPr>
                <w:rFonts w:ascii="Times New Roman" w:hAnsi="Times New Roman"/>
                <w:color w:val="000000"/>
                <w:sz w:val="20"/>
              </w:rPr>
              <w:t> </w:t>
            </w:r>
            <w:r>
              <w:rPr>
                <w:rFonts w:ascii="Times New Roman" w:hAnsi="Times New Roman"/>
                <w:color w:val="000000"/>
                <w:sz w:val="14"/>
              </w:rPr>
              <w:t>units)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2/23/2024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E-PlanSoft Buyer, LLC (dba e-PlanSoft)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11.00%/2.00%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(1,500</w:t>
            </w:r>
            <w:r>
              <w:rPr>
                <w:rFonts w:ascii="Times New Roman" w:hAnsi="Times New Roman"/>
                <w:color w:val="000000"/>
                <w:sz w:val="20"/>
              </w:rPr>
              <w:t> </w:t>
            </w:r>
            <w:r>
              <w:rPr>
                <w:rFonts w:ascii="Times New Roman" w:hAnsi="Times New Roman"/>
                <w:color w:val="000000"/>
                <w:sz w:val="14"/>
              </w:rPr>
              <w:t>units)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6/27/2025</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Enterprise Asset Management FM Purchaser, Inc. (dba MCIM)</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($3,000</w:t>
            </w:r>
            <w:r>
              <w:rPr>
                <w:rFonts w:ascii="Times New Roman" w:hAnsi="Times New Roman"/>
                <w:color w:val="000000"/>
                <w:sz w:val="20"/>
              </w:rPr>
              <w:t> </w:t>
            </w:r>
            <w:r>
              <w:rPr>
                <w:rFonts w:ascii="Times New Roman" w:hAnsi="Times New Roman"/>
                <w:color w:val="000000"/>
                <w:sz w:val="14"/>
              </w:rPr>
              <w:t>unfunded commitment)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+ 5.75%) / (2.00%)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9.74%/2.00%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5/20/2024</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(551,470</w:t>
            </w:r>
            <w:r>
              <w:rPr>
                <w:rFonts w:ascii="Times New Roman" w:hAnsi="Times New Roman"/>
                <w:color w:val="000000"/>
                <w:sz w:val="20"/>
              </w:rPr>
              <w:t> </w:t>
            </w:r>
            <w:r>
              <w:rPr>
                <w:rFonts w:ascii="Times New Roman" w:hAnsi="Times New Roman"/>
                <w:color w:val="000000"/>
                <w:sz w:val="14"/>
              </w:rPr>
              <w:t>units)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5/20/2024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Estex Manufacturing Company,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(j)(az)</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+ 5.00%) / (2.00%)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8.87%/0.00%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10/1/2024</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(75,000</w:t>
            </w:r>
            <w:r>
              <w:rPr>
                <w:rFonts w:ascii="Times New Roman" w:hAnsi="Times New Roman"/>
                <w:color w:val="000000"/>
                <w:sz w:val="20"/>
              </w:rPr>
              <w:t> </w:t>
            </w:r>
            <w:r>
              <w:rPr>
                <w:rFonts w:ascii="Times New Roman" w:hAnsi="Times New Roman"/>
                <w:color w:val="000000"/>
                <w:sz w:val="14"/>
              </w:rPr>
              <w:t>units)</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10/1/2024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Fishbowl Solutions, LLC</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+ 7.75%)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11.97%/0.00%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3/25/2022</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11.97%/0.00%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12/27/2024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6"/>
        <w:gridCol w:w="1465"/>
        <w:gridCol w:w="1020"/>
        <w:gridCol w:w="732"/>
        <w:gridCol w:w="590"/>
        <w:gridCol w:w="590"/>
        <w:gridCol w:w="146"/>
        <w:gridCol w:w="511"/>
        <w:gridCol w:w="146"/>
        <w:gridCol w:w="146"/>
        <w:gridCol w:w="146"/>
        <w:gridCol w:w="511"/>
        <w:gridCol w:w="146"/>
        <w:gridCol w:w="146"/>
        <w:gridCol w:w="146"/>
        <w:gridCol w:w="511"/>
        <w:gridCol w:w="146"/>
        <w:gridCol w:w="146"/>
        <w:gridCol w:w="181"/>
        <w:gridCol w:w="354"/>
      </w:tblGrid>
      <w:tr>
        <w:trPr/>
        <w:tc>
          <w:tcPr>
            <w:tcW w:w="242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($3,000</w:t>
            </w:r>
            <w:r>
              <w:rPr>
                <w:rFonts w:ascii="Times New Roman" w:hAnsi="Times New Roman"/>
                <w:color w:val="000000"/>
                <w:sz w:val="20"/>
              </w:rPr>
              <w:t> </w:t>
            </w:r>
            <w:r>
              <w:rPr>
                <w:rFonts w:ascii="Times New Roman" w:hAnsi="Times New Roman"/>
                <w:color w:val="000000"/>
                <w:sz w:val="14"/>
              </w:rPr>
              <w:t>unfunded commitment) (i)</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+ 7.75%) / (1.00%)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11.97%/0.00%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12/27/2024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Fraser Steel LLC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(bn)</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+ 6.00%) / (2.00%)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9.99%/0.00%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11/5/2025</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(500,000</w:t>
            </w:r>
            <w:r>
              <w:rPr>
                <w:rFonts w:ascii="Times New Roman" w:hAnsi="Times New Roman"/>
                <w:color w:val="000000"/>
                <w:sz w:val="20"/>
              </w:rPr>
              <w:t> </w:t>
            </w:r>
            <w:r>
              <w:rPr>
                <w:rFonts w:ascii="Times New Roman" w:hAnsi="Times New Roman"/>
                <w:color w:val="000000"/>
                <w:sz w:val="14"/>
              </w:rPr>
              <w:t>units) (h)</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2/5/2025</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Fumex, LLC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Industrial Product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(j)(ar)</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+ 4.75%) / (1.00%)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8.75%/0.00%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(3,500</w:t>
            </w:r>
            <w:r>
              <w:rPr>
                <w:rFonts w:ascii="Times New Roman" w:hAnsi="Times New Roman"/>
                <w:color w:val="000000"/>
                <w:sz w:val="20"/>
              </w:rPr>
              <w:t> </w:t>
            </w:r>
            <w:r>
              <w:rPr>
                <w:rFonts w:ascii="Times New Roman" w:hAnsi="Times New Roman"/>
                <w:color w:val="000000"/>
                <w:sz w:val="14"/>
              </w:rPr>
              <w:t>units) (h)</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11/27/2024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Global Plasma Solutions, Inc.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(601</w:t>
            </w:r>
            <w:r>
              <w:rPr>
                <w:rFonts w:ascii="Times New Roman" w:hAnsi="Times New Roman"/>
                <w:color w:val="000000"/>
                <w:sz w:val="20"/>
              </w:rPr>
              <w:t> </w:t>
            </w:r>
            <w:r>
              <w:rPr>
                <w:rFonts w:ascii="Times New Roman" w:hAnsi="Times New Roman"/>
                <w:color w:val="000000"/>
                <w:sz w:val="14"/>
              </w:rPr>
              <w:t>shares)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2/1/2024</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(1,705</w:t>
            </w:r>
            <w:r>
              <w:rPr>
                <w:rFonts w:ascii="Times New Roman" w:hAnsi="Times New Roman"/>
                <w:color w:val="000000"/>
                <w:sz w:val="20"/>
              </w:rPr>
              <w:t> </w:t>
            </w:r>
            <w:r>
              <w:rPr>
                <w:rFonts w:ascii="Times New Roman" w:hAnsi="Times New Roman"/>
                <w:color w:val="000000"/>
                <w:sz w:val="14"/>
              </w:rPr>
              <w:t>shares)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9/21/2018</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GMP HVAC, LLC (dba McGee Heating &amp; Air, LLC)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(j)(bb)</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+ 6.50%) / (2.00%)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10.37%/0.00%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12/8/2023</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(1,366</w:t>
            </w:r>
            <w:r>
              <w:rPr>
                <w:rFonts w:ascii="Times New Roman" w:hAnsi="Times New Roman"/>
                <w:color w:val="000000"/>
                <w:sz w:val="20"/>
              </w:rPr>
              <w:t> </w:t>
            </w:r>
            <w:r>
              <w:rPr>
                <w:rFonts w:ascii="Times New Roman" w:hAnsi="Times New Roman"/>
                <w:color w:val="000000"/>
                <w:sz w:val="14"/>
              </w:rPr>
              <w:t>units) (h)</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12/8/2023</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GPS Insight, Inc.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(av)</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+ 5.58%) / (1.00%)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9.57%/0.00%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10/17/2025</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Green Cubes Technology, LLC (dba Green Cubes)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(j)(ax)</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+ 7.50%)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11.46%/0.00%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Haematologic Technologies, Inc.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 / (3.00%)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9.49%/3.00%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10/11/2019</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(630</w:t>
            </w:r>
            <w:r>
              <w:rPr>
                <w:rFonts w:ascii="Times New Roman" w:hAnsi="Times New Roman"/>
                <w:color w:val="000000"/>
                <w:sz w:val="20"/>
              </w:rPr>
              <w:t> </w:t>
            </w:r>
            <w:r>
              <w:rPr>
                <w:rFonts w:ascii="Times New Roman" w:hAnsi="Times New Roman"/>
                <w:color w:val="000000"/>
                <w:sz w:val="14"/>
              </w:rPr>
              <w:t>units) (h)</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10/11/2019</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(169</w:t>
            </w:r>
            <w:r>
              <w:rPr>
                <w:rFonts w:ascii="Times New Roman" w:hAnsi="Times New Roman"/>
                <w:color w:val="000000"/>
                <w:sz w:val="20"/>
              </w:rPr>
              <w:t> </w:t>
            </w:r>
            <w:r>
              <w:rPr>
                <w:rFonts w:ascii="Times New Roman" w:hAnsi="Times New Roman"/>
                <w:color w:val="000000"/>
                <w:sz w:val="14"/>
              </w:rPr>
              <w:t>units) (h)</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6/26/2023</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Hallmark Health Care Solutions, Inc.</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(3,645,752</w:t>
            </w:r>
            <w:r>
              <w:rPr>
                <w:rFonts w:ascii="Times New Roman" w:hAnsi="Times New Roman"/>
                <w:color w:val="000000"/>
                <w:sz w:val="20"/>
              </w:rPr>
              <w:t> </w:t>
            </w:r>
            <w:r>
              <w:rPr>
                <w:rFonts w:ascii="Times New Roman" w:hAnsi="Times New Roman"/>
                <w:color w:val="000000"/>
                <w:sz w:val="14"/>
              </w:rPr>
              <w:t>units)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9/18/2023</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Hub Acquisition Sub, LLC (dba Hub Pen)</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Promotional products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11.50%/1.25%</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4/25/2023</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(5,837</w:t>
            </w:r>
            <w:r>
              <w:rPr>
                <w:rFonts w:ascii="Times New Roman" w:hAnsi="Times New Roman"/>
                <w:color w:val="000000"/>
                <w:sz w:val="20"/>
              </w:rPr>
              <w:t> </w:t>
            </w:r>
            <w:r>
              <w:rPr>
                <w:rFonts w:ascii="Times New Roman" w:hAnsi="Times New Roman"/>
                <w:color w:val="000000"/>
                <w:sz w:val="14"/>
              </w:rPr>
              <w:t>units)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3/23/2016</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(637</w:t>
            </w:r>
            <w:r>
              <w:rPr>
                <w:rFonts w:ascii="Times New Roman" w:hAnsi="Times New Roman"/>
                <w:color w:val="000000"/>
                <w:sz w:val="20"/>
              </w:rPr>
              <w:t> </w:t>
            </w:r>
            <w:r>
              <w:rPr>
                <w:rFonts w:ascii="Times New Roman" w:hAnsi="Times New Roman"/>
                <w:color w:val="000000"/>
                <w:sz w:val="14"/>
              </w:rPr>
              <w:t>units)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8/7/2023</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(868</w:t>
            </w:r>
            <w:r>
              <w:rPr>
                <w:rFonts w:ascii="Times New Roman" w:hAnsi="Times New Roman"/>
                <w:color w:val="000000"/>
                <w:sz w:val="20"/>
              </w:rPr>
              <w:t> </w:t>
            </w:r>
            <w:r>
              <w:rPr>
                <w:rFonts w:ascii="Times New Roman" w:hAnsi="Times New Roman"/>
                <w:color w:val="000000"/>
                <w:sz w:val="14"/>
              </w:rPr>
              <w:t>units)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10/16/2020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IBH Holdings, LLC (fka Inflexxion, Inc.)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(150,000</w:t>
            </w:r>
            <w:r>
              <w:rPr>
                <w:rFonts w:ascii="Times New Roman" w:hAnsi="Times New Roman"/>
                <w:color w:val="000000"/>
                <w:sz w:val="20"/>
              </w:rPr>
              <w:t> </w:t>
            </w:r>
            <w:r>
              <w:rPr>
                <w:rFonts w:ascii="Times New Roman" w:hAnsi="Times New Roman"/>
                <w:color w:val="000000"/>
                <w:sz w:val="14"/>
              </w:rPr>
              <w:t>units)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6/20/2018</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InductiveHealth Informatics, LLC</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+ 7.75%)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11.71%/0.50%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+ 7.75%) / (2.00%)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11.71%/0.50%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12/16/2025</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(367</w:t>
            </w:r>
            <w:r>
              <w:rPr>
                <w:rFonts w:ascii="Times New Roman" w:hAnsi="Times New Roman"/>
                <w:color w:val="000000"/>
                <w:sz w:val="20"/>
              </w:rPr>
              <w:t> </w:t>
            </w:r>
            <w:r>
              <w:rPr>
                <w:rFonts w:ascii="Times New Roman" w:hAnsi="Times New Roman"/>
                <w:color w:val="000000"/>
                <w:sz w:val="14"/>
              </w:rPr>
              <w:t>units)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(1,361</w:t>
            </w:r>
            <w:r>
              <w:rPr>
                <w:rFonts w:ascii="Times New Roman" w:hAnsi="Times New Roman"/>
                <w:color w:val="000000"/>
                <w:sz w:val="20"/>
              </w:rPr>
              <w:t> </w:t>
            </w:r>
            <w:r>
              <w:rPr>
                <w:rFonts w:ascii="Times New Roman" w:hAnsi="Times New Roman"/>
                <w:color w:val="000000"/>
                <w:sz w:val="14"/>
              </w:rPr>
              <w:t>units)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9/20/2024</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Info Tech Operating, LLC (dba infotech)</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(bd)</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+ 4.88%)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8.55%/0.00%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3/31/2025</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Informatics Holdings, Inc. (dba Wasp Barcode Technologies)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(j)(v)</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+ 6.50%) / (2.50%)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10.49%/0.00%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5/1/2024</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(1,000,000</w:t>
            </w:r>
            <w:r>
              <w:rPr>
                <w:rFonts w:ascii="Times New Roman" w:hAnsi="Times New Roman"/>
                <w:color w:val="000000"/>
                <w:sz w:val="20"/>
              </w:rPr>
              <w:t> </w:t>
            </w:r>
            <w:r>
              <w:rPr>
                <w:rFonts w:ascii="Times New Roman" w:hAnsi="Times New Roman"/>
                <w:color w:val="000000"/>
                <w:sz w:val="14"/>
              </w:rPr>
              <w:t>units)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ISI PSG Holdings, LLC (dba Incentive Solutions, Inc.)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(j)(aj)</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+ 7.50%) / (0.50%)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11.32%/0.00%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4/5/2021</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(an)</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+ 7.50%) / (0.50%)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7.82%/0.00%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6/30/2021</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(256,964</w:t>
            </w:r>
            <w:r>
              <w:rPr>
                <w:rFonts w:ascii="Times New Roman" w:hAnsi="Times New Roman"/>
                <w:color w:val="000000"/>
                <w:sz w:val="20"/>
              </w:rPr>
              <w:t> </w:t>
            </w:r>
            <w:r>
              <w:rPr>
                <w:rFonts w:ascii="Times New Roman" w:hAnsi="Times New Roman"/>
                <w:color w:val="000000"/>
                <w:sz w:val="14"/>
              </w:rPr>
              <w:t>units) (h)</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4/5/2021</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Janus Health Technologies, Inc.</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(68,361</w:t>
            </w:r>
            <w:r>
              <w:rPr>
                <w:rFonts w:ascii="Times New Roman" w:hAnsi="Times New Roman"/>
                <w:color w:val="000000"/>
                <w:sz w:val="20"/>
              </w:rPr>
              <w:t> </w:t>
            </w:r>
            <w:r>
              <w:rPr>
                <w:rFonts w:ascii="Times New Roman" w:hAnsi="Times New Roman"/>
                <w:color w:val="000000"/>
                <w:sz w:val="14"/>
              </w:rPr>
              <w:t>units)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Jumo Health, Inc.</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(j)(aw)</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 / (2.00%)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9.46%/0.00%</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8/16/2024</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(1,359</w:t>
            </w:r>
            <w:r>
              <w:rPr>
                <w:rFonts w:ascii="Times New Roman" w:hAnsi="Times New Roman"/>
                <w:color w:val="000000"/>
                <w:sz w:val="20"/>
              </w:rPr>
              <w:t> </w:t>
            </w:r>
            <w:r>
              <w:rPr>
                <w:rFonts w:ascii="Times New Roman" w:hAnsi="Times New Roman"/>
                <w:color w:val="000000"/>
                <w:sz w:val="14"/>
              </w:rPr>
              <w:t>shares)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8/16/2024</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(1,359</w:t>
            </w:r>
            <w:r>
              <w:rPr>
                <w:rFonts w:ascii="Times New Roman" w:hAnsi="Times New Roman"/>
                <w:color w:val="000000"/>
                <w:sz w:val="20"/>
              </w:rPr>
              <w:t> </w:t>
            </w:r>
            <w:r>
              <w:rPr>
                <w:rFonts w:ascii="Times New Roman" w:hAnsi="Times New Roman"/>
                <w:color w:val="000000"/>
                <w:sz w:val="14"/>
              </w:rPr>
              <w:t>shares)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8/16/2024</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KG Lawn Care, Inc. (dba King Green)</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Services</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($2,500</w:t>
            </w:r>
            <w:r>
              <w:rPr>
                <w:rFonts w:ascii="Times New Roman" w:hAnsi="Times New Roman"/>
                <w:color w:val="000000"/>
                <w:sz w:val="20"/>
              </w:rPr>
              <w:t> </w:t>
            </w:r>
            <w:r>
              <w:rPr>
                <w:rFonts w:ascii="Times New Roman" w:hAnsi="Times New Roman"/>
                <w:color w:val="000000"/>
                <w:sz w:val="14"/>
              </w:rPr>
              <w:t>unfunded commitment)(i)</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9.34%/0.00%</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11/26/2025</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11/26/2030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(62</w:t>
            </w:r>
            <w:r>
              <w:rPr>
                <w:rFonts w:ascii="Times New Roman" w:hAnsi="Times New Roman"/>
                <w:color w:val="000000"/>
                <w:sz w:val="20"/>
              </w:rPr>
              <w:t> </w:t>
            </w:r>
            <w:r>
              <w:rPr>
                <w:rFonts w:ascii="Times New Roman" w:hAnsi="Times New Roman"/>
                <w:color w:val="000000"/>
                <w:sz w:val="14"/>
              </w:rPr>
              <w:t>Units)</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11/26/2025</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The Kyjen Company, LLC (dba Outward Hound)</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Products</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(855</w:t>
            </w:r>
            <w:r>
              <w:rPr>
                <w:rFonts w:ascii="Times New Roman" w:hAnsi="Times New Roman"/>
                <w:color w:val="000000"/>
                <w:sz w:val="20"/>
              </w:rPr>
              <w:t> </w:t>
            </w:r>
            <w:r>
              <w:rPr>
                <w:rFonts w:ascii="Times New Roman" w:hAnsi="Times New Roman"/>
                <w:color w:val="000000"/>
                <w:sz w:val="14"/>
              </w:rPr>
              <w:t>shares)</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12/8/2017</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8"/>
        <w:gridCol w:w="1492"/>
        <w:gridCol w:w="1035"/>
        <w:gridCol w:w="743"/>
        <w:gridCol w:w="600"/>
        <w:gridCol w:w="600"/>
        <w:gridCol w:w="146"/>
        <w:gridCol w:w="511"/>
        <w:gridCol w:w="146"/>
        <w:gridCol w:w="146"/>
        <w:gridCol w:w="146"/>
        <w:gridCol w:w="511"/>
        <w:gridCol w:w="151"/>
        <w:gridCol w:w="146"/>
        <w:gridCol w:w="146"/>
        <w:gridCol w:w="511"/>
        <w:gridCol w:w="146"/>
        <w:gridCol w:w="146"/>
        <w:gridCol w:w="181"/>
        <w:gridCol w:w="354"/>
      </w:tblGrid>
      <w:tr>
        <w:trPr/>
        <w:tc>
          <w:tcPr>
            <w:tcW w:w="234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Laboratory Testing, LLC</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9.24%/0.00%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($3,427</w:t>
            </w:r>
            <w:r>
              <w:rPr>
                <w:rFonts w:ascii="Times New Roman" w:hAnsi="Times New Roman"/>
                <w:color w:val="000000"/>
                <w:sz w:val="20"/>
              </w:rPr>
              <w:t> </w:t>
            </w:r>
            <w:r>
              <w:rPr>
                <w:rFonts w:ascii="Times New Roman" w:hAnsi="Times New Roman"/>
                <w:color w:val="000000"/>
                <w:sz w:val="14"/>
              </w:rPr>
              <w:t>unfunded commitment) (i)</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9.24%/0.00%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(3,881</w:t>
            </w:r>
            <w:r>
              <w:rPr>
                <w:rFonts w:ascii="Times New Roman" w:hAnsi="Times New Roman"/>
                <w:color w:val="000000"/>
                <w:sz w:val="20"/>
              </w:rPr>
              <w:t> </w:t>
            </w:r>
            <w:r>
              <w:rPr>
                <w:rFonts w:ascii="Times New Roman" w:hAnsi="Times New Roman"/>
                <w:color w:val="000000"/>
                <w:sz w:val="14"/>
              </w:rPr>
              <w:t>units) (h)</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(3,619</w:t>
            </w:r>
            <w:r>
              <w:rPr>
                <w:rFonts w:ascii="Times New Roman" w:hAnsi="Times New Roman"/>
                <w:color w:val="000000"/>
                <w:sz w:val="20"/>
              </w:rPr>
              <w:t> </w:t>
            </w:r>
            <w:r>
              <w:rPr>
                <w:rFonts w:ascii="Times New Roman" w:hAnsi="Times New Roman"/>
                <w:color w:val="000000"/>
                <w:sz w:val="14"/>
              </w:rPr>
              <w:t>units) (h)</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4/15/2025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Level Education Group, LLC (dba CE4Less)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(ak)</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9.47%/0.00%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4/1/2021</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(1,000,000</w:t>
            </w:r>
            <w:r>
              <w:rPr>
                <w:rFonts w:ascii="Times New Roman" w:hAnsi="Times New Roman"/>
                <w:color w:val="000000"/>
                <w:sz w:val="20"/>
              </w:rPr>
              <w:t> </w:t>
            </w:r>
            <w:r>
              <w:rPr>
                <w:rFonts w:ascii="Times New Roman" w:hAnsi="Times New Roman"/>
                <w:color w:val="000000"/>
                <w:sz w:val="14"/>
              </w:rPr>
              <w:t>units)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4/1/2021</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LifeSpan Biosciences, Inc.</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3/19/2021</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(108</w:t>
            </w:r>
            <w:r>
              <w:rPr>
                <w:rFonts w:ascii="Times New Roman" w:hAnsi="Times New Roman"/>
                <w:color w:val="000000"/>
                <w:sz w:val="20"/>
              </w:rPr>
              <w:t> </w:t>
            </w:r>
            <w:r>
              <w:rPr>
                <w:rFonts w:ascii="Times New Roman" w:hAnsi="Times New Roman"/>
                <w:color w:val="000000"/>
                <w:sz w:val="14"/>
              </w:rPr>
              <w:t>shares)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6/7/2024</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Mayesh Wholesale Florist, LLC</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(j)(be)</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9.96%/0.00%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($2,000</w:t>
            </w:r>
            <w:r>
              <w:rPr>
                <w:rFonts w:ascii="Times New Roman" w:hAnsi="Times New Roman"/>
                <w:color w:val="000000"/>
                <w:sz w:val="20"/>
              </w:rPr>
              <w:t> </w:t>
            </w:r>
            <w:r>
              <w:rPr>
                <w:rFonts w:ascii="Times New Roman" w:hAnsi="Times New Roman"/>
                <w:color w:val="000000"/>
                <w:sz w:val="14"/>
              </w:rPr>
              <w:t>unfunded commitment)(i)(be)</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+ 6.00%)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9.96%/0.00%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(500,000</w:t>
            </w:r>
            <w:r>
              <w:rPr>
                <w:rFonts w:ascii="Times New Roman" w:hAnsi="Times New Roman"/>
                <w:color w:val="000000"/>
                <w:sz w:val="20"/>
              </w:rPr>
              <w:t> </w:t>
            </w:r>
            <w:r>
              <w:rPr>
                <w:rFonts w:ascii="Times New Roman" w:hAnsi="Times New Roman"/>
                <w:color w:val="000000"/>
                <w:sz w:val="14"/>
              </w:rPr>
              <w:t>units) (h)</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MBS Opco, LLC (dba Marketron)</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+ 8.50%) / (1.50%)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12.75%/0.00%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9/29/2022</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MDME Holding Corp.</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+ 6.25%) / (1.00%)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10.07%/0.00%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8/31/2023</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8/3/2027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(5,149</w:t>
            </w:r>
            <w:r>
              <w:rPr>
                <w:rFonts w:ascii="Times New Roman" w:hAnsi="Times New Roman"/>
                <w:color w:val="000000"/>
                <w:sz w:val="20"/>
              </w:rPr>
              <w:t> </w:t>
            </w:r>
            <w:r>
              <w:rPr>
                <w:rFonts w:ascii="Times New Roman" w:hAnsi="Times New Roman"/>
                <w:color w:val="000000"/>
                <w:sz w:val="14"/>
              </w:rPr>
              <w:t>units)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9/18/2023</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(12,500</w:t>
            </w:r>
            <w:r>
              <w:rPr>
                <w:rFonts w:ascii="Times New Roman" w:hAnsi="Times New Roman"/>
                <w:color w:val="000000"/>
                <w:sz w:val="20"/>
              </w:rPr>
              <w:t> </w:t>
            </w:r>
            <w:r>
              <w:rPr>
                <w:rFonts w:ascii="Times New Roman" w:hAnsi="Times New Roman"/>
                <w:color w:val="000000"/>
                <w:sz w:val="14"/>
              </w:rPr>
              <w:t>units)</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9/18/2023</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(713</w:t>
            </w:r>
            <w:r>
              <w:rPr>
                <w:rFonts w:ascii="Times New Roman" w:hAnsi="Times New Roman"/>
                <w:color w:val="000000"/>
                <w:sz w:val="20"/>
              </w:rPr>
              <w:t> </w:t>
            </w:r>
            <w:r>
              <w:rPr>
                <w:rFonts w:ascii="Times New Roman" w:hAnsi="Times New Roman"/>
                <w:color w:val="000000"/>
                <w:sz w:val="14"/>
              </w:rPr>
              <w:t>units)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Netbase Solutions, Inc. (dba Netbase Quid)</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(ap)</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 + 2.00%) / (3.25%)</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8.75%/2.00%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11/18/2021</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NWS Technologies, LLC</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($1,140</w:t>
            </w:r>
            <w:r>
              <w:rPr>
                <w:rFonts w:ascii="Times New Roman" w:hAnsi="Times New Roman"/>
                <w:color w:val="000000"/>
                <w:sz w:val="20"/>
              </w:rPr>
              <w:t> </w:t>
            </w:r>
            <w:r>
              <w:rPr>
                <w:rFonts w:ascii="Times New Roman" w:hAnsi="Times New Roman"/>
                <w:color w:val="000000"/>
                <w:sz w:val="14"/>
              </w:rPr>
              <w:t>unfunded commitment)(u)</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+ 7.50%) / (2.50%)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11.49%/0.00%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6/20/2023</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w:t>
            </w:r>
            <w:r>
              <w:rPr>
                <w:rFonts w:ascii="Times New Roman" w:hAnsi="Times New Roman"/>
                <w:color w:val="000000"/>
                <w:sz w:val="20"/>
              </w:rPr>
              <w:t> </w:t>
            </w:r>
            <w:r>
              <w:rPr>
                <w:rFonts w:ascii="Times New Roman" w:hAnsi="Times New Roman"/>
                <w:color w:val="000000"/>
                <w:sz w:val="14"/>
              </w:rPr>
              <w:t>unit) (h)</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6/20/2023</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(0.375</w:t>
            </w:r>
            <w:r>
              <w:rPr>
                <w:rFonts w:ascii="Times New Roman" w:hAnsi="Times New Roman"/>
                <w:color w:val="000000"/>
                <w:sz w:val="20"/>
              </w:rPr>
              <w:t> </w:t>
            </w:r>
            <w:r>
              <w:rPr>
                <w:rFonts w:ascii="Times New Roman" w:hAnsi="Times New Roman"/>
                <w:color w:val="000000"/>
                <w:sz w:val="14"/>
              </w:rPr>
              <w:t>units) (h)</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6/20/2023</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OnePath Systems, LLC (n)</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(732,542</w:t>
            </w:r>
            <w:r>
              <w:rPr>
                <w:rFonts w:ascii="Times New Roman" w:hAnsi="Times New Roman"/>
                <w:color w:val="000000"/>
                <w:sz w:val="20"/>
              </w:rPr>
              <w:t> </w:t>
            </w:r>
            <w:r>
              <w:rPr>
                <w:rFonts w:ascii="Times New Roman" w:hAnsi="Times New Roman"/>
                <w:color w:val="000000"/>
                <w:sz w:val="14"/>
              </w:rPr>
              <w:t>shares)</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9/30/2022</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Onsight Industries, LLC</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(j)(bf)</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(1.50%)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9.49%/0.00%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3/27/2025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(380,000</w:t>
            </w:r>
            <w:r>
              <w:rPr>
                <w:rFonts w:ascii="Times New Roman" w:hAnsi="Times New Roman"/>
                <w:color w:val="000000"/>
                <w:sz w:val="20"/>
              </w:rPr>
              <w:t> </w:t>
            </w:r>
            <w:r>
              <w:rPr>
                <w:rFonts w:ascii="Times New Roman" w:hAnsi="Times New Roman"/>
                <w:color w:val="000000"/>
                <w:sz w:val="14"/>
              </w:rPr>
              <w:t>units) (h)</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1/7/2025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Palmetto Moon, LLC</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Retail</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(499</w:t>
            </w:r>
            <w:r>
              <w:rPr>
                <w:rFonts w:ascii="Times New Roman" w:hAnsi="Times New Roman"/>
                <w:color w:val="000000"/>
                <w:sz w:val="20"/>
              </w:rPr>
              <w:t> </w:t>
            </w:r>
            <w:r>
              <w:rPr>
                <w:rFonts w:ascii="Times New Roman" w:hAnsi="Times New Roman"/>
                <w:color w:val="000000"/>
                <w:sz w:val="14"/>
              </w:rPr>
              <w:t>units)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11/3/2016</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PayEntry Financial Services, Inc. (dba Payentry)</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 (bg)</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10.50%/1.75%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10.50%/1.75%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Second Lien Debt ($3,125</w:t>
            </w:r>
            <w:r>
              <w:rPr>
                <w:rFonts w:ascii="Times New Roman" w:hAnsi="Times New Roman"/>
                <w:color w:val="000000"/>
                <w:sz w:val="20"/>
              </w:rPr>
              <w:t> </w:t>
            </w:r>
            <w:r>
              <w:rPr>
                <w:rFonts w:ascii="Times New Roman" w:hAnsi="Times New Roman"/>
                <w:color w:val="000000"/>
                <w:sz w:val="14"/>
              </w:rPr>
              <w:t>unfunded commitment)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10.50%/1.75%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(10,000</w:t>
            </w:r>
            <w:r>
              <w:rPr>
                <w:rFonts w:ascii="Times New Roman" w:hAnsi="Times New Roman"/>
                <w:color w:val="000000"/>
                <w:sz w:val="20"/>
              </w:rPr>
              <w:t> </w:t>
            </w:r>
            <w:r>
              <w:rPr>
                <w:rFonts w:ascii="Times New Roman" w:hAnsi="Times New Roman"/>
                <w:color w:val="000000"/>
                <w:sz w:val="14"/>
              </w:rPr>
              <w:t>units)</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3/28/2025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Pinnergy, Ltd.</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Oil &amp; Gas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6/30/2022</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PowerGrid Services Acquisition, LLC</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(4,490</w:t>
            </w:r>
            <w:r>
              <w:rPr>
                <w:rFonts w:ascii="Times New Roman" w:hAnsi="Times New Roman"/>
                <w:color w:val="000000"/>
                <w:sz w:val="20"/>
              </w:rPr>
              <w:t> </w:t>
            </w:r>
            <w:r>
              <w:rPr>
                <w:rFonts w:ascii="Times New Roman" w:hAnsi="Times New Roman"/>
                <w:color w:val="000000"/>
                <w:sz w:val="14"/>
              </w:rPr>
              <w:t>units) (h)</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9/21/2021</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(118</w:t>
            </w:r>
            <w:r>
              <w:rPr>
                <w:rFonts w:ascii="Times New Roman" w:hAnsi="Times New Roman"/>
                <w:color w:val="000000"/>
                <w:sz w:val="20"/>
              </w:rPr>
              <w:t> </w:t>
            </w:r>
            <w:r>
              <w:rPr>
                <w:rFonts w:ascii="Times New Roman" w:hAnsi="Times New Roman"/>
                <w:color w:val="000000"/>
                <w:sz w:val="14"/>
              </w:rPr>
              <w:t>units) (h)</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(133</w:t>
            </w:r>
            <w:r>
              <w:rPr>
                <w:rFonts w:ascii="Times New Roman" w:hAnsi="Times New Roman"/>
                <w:color w:val="000000"/>
                <w:sz w:val="20"/>
              </w:rPr>
              <w:t> </w:t>
            </w:r>
            <w:r>
              <w:rPr>
                <w:rFonts w:ascii="Times New Roman" w:hAnsi="Times New Roman"/>
                <w:color w:val="000000"/>
                <w:sz w:val="14"/>
              </w:rPr>
              <w:t>units) (h)</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Prime AE Group, Inc.</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(900,000</w:t>
            </w:r>
            <w:r>
              <w:rPr>
                <w:rFonts w:ascii="Times New Roman" w:hAnsi="Times New Roman"/>
                <w:color w:val="000000"/>
                <w:sz w:val="20"/>
              </w:rPr>
              <w:t> </w:t>
            </w:r>
            <w:r>
              <w:rPr>
                <w:rFonts w:ascii="Times New Roman" w:hAnsi="Times New Roman"/>
                <w:color w:val="000000"/>
                <w:sz w:val="14"/>
              </w:rPr>
              <w:t>shares)</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11/25/2019</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Pronto Plumbing &amp; Drain, Inc.</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+ 7.00%)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10.99%/0.00%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($500</w:t>
            </w:r>
            <w:r>
              <w:rPr>
                <w:rFonts w:ascii="Times New Roman" w:hAnsi="Times New Roman"/>
                <w:color w:val="000000"/>
                <w:sz w:val="20"/>
              </w:rPr>
              <w:t> </w:t>
            </w:r>
            <w:r>
              <w:rPr>
                <w:rFonts w:ascii="Times New Roman" w:hAnsi="Times New Roman"/>
                <w:color w:val="000000"/>
                <w:sz w:val="14"/>
              </w:rPr>
              <w:t>unfunded commitment)(i)</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+ 7.00%)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10.99%/0.00%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(Units N/A) (h)</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5/22/2025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Puget Collision, LLC</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Retail</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(0.75%)</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8.42%/0.00%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10/3/2025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10/3/2030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(310</w:t>
            </w:r>
            <w:r>
              <w:rPr>
                <w:rFonts w:ascii="Times New Roman" w:hAnsi="Times New Roman"/>
                <w:color w:val="000000"/>
                <w:sz w:val="20"/>
              </w:rPr>
              <w:t> </w:t>
            </w:r>
            <w:r>
              <w:rPr>
                <w:rFonts w:ascii="Times New Roman" w:hAnsi="Times New Roman"/>
                <w:color w:val="000000"/>
                <w:sz w:val="14"/>
              </w:rPr>
              <w:t>units) (h)</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1/4/2024</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QED Technologies International, Inc.</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4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(q)</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(1.50%)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9.24%0.00%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3/1/2023</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3"/>
        <w:gridCol w:w="1509"/>
        <w:gridCol w:w="946"/>
        <w:gridCol w:w="743"/>
        <w:gridCol w:w="601"/>
        <w:gridCol w:w="601"/>
        <w:gridCol w:w="146"/>
        <w:gridCol w:w="511"/>
        <w:gridCol w:w="146"/>
        <w:gridCol w:w="146"/>
        <w:gridCol w:w="146"/>
        <w:gridCol w:w="511"/>
        <w:gridCol w:w="151"/>
        <w:gridCol w:w="146"/>
        <w:gridCol w:w="146"/>
        <w:gridCol w:w="511"/>
        <w:gridCol w:w="146"/>
        <w:gridCol w:w="146"/>
        <w:gridCol w:w="181"/>
        <w:gridCol w:w="419"/>
      </w:tblGrid>
      <w:tr>
        <w:trPr/>
        <w:tc>
          <w:tcPr>
            <w:tcW w:w="235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(j)(q)</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(1.50%)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9.24%0.00%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5/30/2025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(140</w:t>
            </w:r>
            <w:r>
              <w:rPr>
                <w:rFonts w:ascii="Times New Roman" w:hAnsi="Times New Roman"/>
                <w:color w:val="000000"/>
                <w:sz w:val="20"/>
              </w:rPr>
              <w:t> </w:t>
            </w:r>
            <w:r>
              <w:rPr>
                <w:rFonts w:ascii="Times New Roman" w:hAnsi="Times New Roman"/>
                <w:color w:val="000000"/>
                <w:sz w:val="14"/>
              </w:rPr>
              <w:t>shares)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2/28/2023</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Quest Software US Holdings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+ 1.00%) / (0.50%)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4.84%/6.75%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8/11/2025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R1 Holdings, LLC (dba RoadOne IntermodaLogistics)</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Transportation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+ 6.25%) / (1.00%)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9.95%/0.00%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8.75%/5.00%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(280,000</w:t>
            </w:r>
            <w:r>
              <w:rPr>
                <w:rFonts w:ascii="Times New Roman" w:hAnsi="Times New Roman"/>
                <w:color w:val="000000"/>
                <w:sz w:val="20"/>
              </w:rPr>
              <w:t> </w:t>
            </w:r>
            <w:r>
              <w:rPr>
                <w:rFonts w:ascii="Times New Roman" w:hAnsi="Times New Roman"/>
                <w:color w:val="000000"/>
                <w:sz w:val="14"/>
              </w:rPr>
              <w:t>units)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12/30/2022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R.F. Fager Company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12.75%/0.00%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(12,500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Sales Rabbit,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11.00%/2.00%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12/23/2025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12/23/2030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ServicePower, Inc.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(k)(as)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10.50%/5.50%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3/15/2024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(ba)</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6/6/2025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SES Investors, LLC (dba SES Foam) (n)</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Building Products Manufacturing</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(6,000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9/8/2016</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Sogno Toscano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(bi)</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+ 5.00%)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9.00%/0.00%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(6</w:t>
            </w:r>
            <w:r>
              <w:rPr>
                <w:rFonts w:ascii="Times New Roman" w:hAnsi="Times New Roman"/>
                <w:color w:val="000000"/>
                <w:sz w:val="20"/>
              </w:rPr>
              <w:t> </w:t>
            </w:r>
            <w:r>
              <w:rPr>
                <w:rFonts w:ascii="Times New Roman" w:hAnsi="Times New Roman"/>
                <w:color w:val="000000"/>
                <w:sz w:val="14"/>
              </w:rPr>
              <w:t>units)</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Suited Connector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 (y)</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0.00%/13.00%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10/29/2021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(97,808</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12/1/2021</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Tedia Company,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Products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12.00%/0.00%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($1,750</w:t>
            </w:r>
            <w:r>
              <w:rPr>
                <w:rFonts w:ascii="Times New Roman" w:hAnsi="Times New Roman"/>
                <w:color w:val="000000"/>
                <w:sz w:val="20"/>
              </w:rPr>
              <w:t> </w:t>
            </w:r>
            <w:r>
              <w:rPr>
                <w:rFonts w:ascii="Times New Roman" w:hAnsi="Times New Roman"/>
                <w:color w:val="000000"/>
                <w:sz w:val="14"/>
              </w:rPr>
              <w:t>unfunded commitment) (i)</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+ 7.75%) / (1.00%)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12.00%/0.00%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7.25%/7.25%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Thrust Flight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(j)(au)</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9.71%/0.00%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($1,818</w:t>
            </w:r>
            <w:r>
              <w:rPr>
                <w:rFonts w:ascii="Times New Roman" w:hAnsi="Times New Roman"/>
                <w:color w:val="000000"/>
                <w:sz w:val="20"/>
              </w:rPr>
              <w:t> </w:t>
            </w:r>
            <w:r>
              <w:rPr>
                <w:rFonts w:ascii="Times New Roman" w:hAnsi="Times New Roman"/>
                <w:color w:val="000000"/>
                <w:sz w:val="14"/>
              </w:rPr>
              <w:t>unfunded commitment)(i)(au)</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+ 5.75%)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9.71%/0.00%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 (j)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10.00%/5.00%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12/11/2025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(1,050,000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9/9/2024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True Environmental Inc.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 (bj)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9.46%/0.00%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($1,125</w:t>
            </w:r>
            <w:r>
              <w:rPr>
                <w:rFonts w:ascii="Times New Roman" w:hAnsi="Times New Roman"/>
                <w:color w:val="000000"/>
                <w:sz w:val="20"/>
              </w:rPr>
              <w:t> </w:t>
            </w:r>
            <w:r>
              <w:rPr>
                <w:rFonts w:ascii="Times New Roman" w:hAnsi="Times New Roman"/>
                <w:color w:val="000000"/>
                <w:sz w:val="14"/>
              </w:rPr>
              <w:t>unfunded commitment)(bj)</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9.46%/0.00%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($2,250</w:t>
            </w:r>
            <w:r>
              <w:rPr>
                <w:rFonts w:ascii="Times New Roman" w:hAnsi="Times New Roman"/>
                <w:color w:val="000000"/>
                <w:sz w:val="20"/>
              </w:rPr>
              <w:t> </w:t>
            </w:r>
            <w:r>
              <w:rPr>
                <w:rFonts w:ascii="Times New Roman" w:hAnsi="Times New Roman"/>
                <w:color w:val="000000"/>
                <w:sz w:val="14"/>
              </w:rPr>
              <w:t>unfunded commitment)(bj)</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+ 5.50%) / (2.00%)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9.46%/0.00%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(312,500</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5/12/2025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UBEO, LLC</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(705,000</w:t>
            </w:r>
            <w:r>
              <w:rPr>
                <w:rFonts w:ascii="Times New Roman" w:hAnsi="Times New Roman"/>
                <w:color w:val="000000"/>
                <w:sz w:val="20"/>
              </w:rPr>
              <w:t> </w:t>
            </w:r>
            <w:r>
              <w:rPr>
                <w:rFonts w:ascii="Times New Roman" w:hAnsi="Times New Roman"/>
                <w:color w:val="000000"/>
                <w:sz w:val="14"/>
              </w:rPr>
              <w:t>units) (h)</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4/3/2018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United Biologics, LLC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(98,377</w:t>
            </w:r>
            <w:r>
              <w:rPr>
                <w:rFonts w:ascii="Times New Roman" w:hAnsi="Times New Roman"/>
                <w:color w:val="000000"/>
                <w:sz w:val="20"/>
              </w:rPr>
              <w:t> </w:t>
            </w:r>
            <w:r>
              <w:rPr>
                <w:rFonts w:ascii="Times New Roman" w:hAnsi="Times New Roman"/>
                <w:color w:val="000000"/>
                <w:sz w:val="14"/>
              </w:rPr>
              <w:t>units) (h)</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4/1/2012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Warrant (57,469</w:t>
            </w:r>
            <w:r>
              <w:rPr>
                <w:rFonts w:ascii="Times New Roman" w:hAnsi="Times New Roman"/>
                <w:color w:val="000000"/>
                <w:sz w:val="20"/>
              </w:rPr>
              <w:t> </w:t>
            </w:r>
            <w:r>
              <w:rPr>
                <w:rFonts w:ascii="Times New Roman" w:hAnsi="Times New Roman"/>
                <w:color w:val="000000"/>
                <w:sz w:val="14"/>
              </w:rPr>
              <w:t>units) (m)</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3/5/2012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USG AS Holdings, LLC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Utilities: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(Units N/A)</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2/21/2023</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Virginia Tile Company, LLC (n)</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Equity (Units N/A)</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12/19/2014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Virtex Enterprises, LP</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Second Lien Debt (y)</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+ 0.00%) / (2.50%)</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3.82%/9.75%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4/13/2022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 (y)</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+ 4.00%) / (2.50%)</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9.82%/0.00%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9/20/2023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VMS MSO, LLC (dba Vytal Health Partners)</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Healthcare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13.75%/0.00%</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Revolving Loan ($1,500</w:t>
            </w:r>
            <w:r>
              <w:rPr>
                <w:rFonts w:ascii="Times New Roman" w:hAnsi="Times New Roman"/>
                <w:color w:val="000000"/>
                <w:sz w:val="20"/>
              </w:rPr>
              <w:t> </w:t>
            </w:r>
            <w:r>
              <w:rPr>
                <w:rFonts w:ascii="Times New Roman" w:hAnsi="Times New Roman"/>
                <w:color w:val="000000"/>
                <w:sz w:val="14"/>
              </w:rPr>
              <w:t>unfunded commitment)(i)</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13.75%/0.00%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W50 Holdings, LLC</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Business Services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7"/>
        <w:gridCol w:w="1240"/>
        <w:gridCol w:w="768"/>
        <w:gridCol w:w="647"/>
        <w:gridCol w:w="508"/>
        <w:gridCol w:w="508"/>
        <w:gridCol w:w="146"/>
        <w:gridCol w:w="511"/>
        <w:gridCol w:w="146"/>
        <w:gridCol w:w="146"/>
        <w:gridCol w:w="181"/>
        <w:gridCol w:w="691"/>
        <w:gridCol w:w="146"/>
        <w:gridCol w:w="146"/>
        <w:gridCol w:w="181"/>
        <w:gridCol w:w="691"/>
        <w:gridCol w:w="146"/>
        <w:gridCol w:w="146"/>
        <w:gridCol w:w="331"/>
        <w:gridCol w:w="499"/>
      </w:tblGrid>
      <w:tr>
        <w:trPr/>
        <w:tc>
          <w:tcPr>
            <w:tcW w:w="242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Subordinated Debt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11.50%/0.00%</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3/22/2024</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(Units N/A) ($100</w:t>
            </w:r>
            <w:r>
              <w:rPr>
                <w:rFonts w:ascii="Times New Roman" w:hAnsi="Times New Roman"/>
                <w:color w:val="000000"/>
                <w:sz w:val="20"/>
              </w:rPr>
              <w:t> </w:t>
            </w:r>
            <w:r>
              <w:rPr>
                <w:rFonts w:ascii="Times New Roman" w:hAnsi="Times New Roman"/>
                <w:color w:val="000000"/>
                <w:sz w:val="14"/>
              </w:rPr>
              <w:t>unfunded commitment)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3/21/2024</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Waterworks Solutions Acquisition, Inc. (dba CITCO Water)</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Specialty Distribution</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First Lien Debt ($3,500</w:t>
            </w:r>
            <w:r>
              <w:rPr>
                <w:rFonts w:ascii="Times New Roman" w:hAnsi="Times New Roman"/>
                <w:color w:val="000000"/>
                <w:sz w:val="20"/>
              </w:rPr>
              <w:t> </w:t>
            </w:r>
            <w:r>
              <w:rPr>
                <w:rFonts w:ascii="Times New Roman" w:hAnsi="Times New Roman"/>
                <w:color w:val="000000"/>
                <w:sz w:val="14"/>
              </w:rPr>
              <w:t>unfunded commitment)(z)(bm)</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+ 4.75%) / (2.00%)</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8.44%/0.00%</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12/26/2025</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12/26/2030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White Label Communication, LLC</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(j)(ab)</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+ 5.25%) / (1.00%)</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9.21%/0.00%</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6/30/2025</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(536</w:t>
            </w:r>
            <w:r>
              <w:rPr>
                <w:rFonts w:ascii="Times New Roman" w:hAnsi="Times New Roman"/>
                <w:color w:val="000000"/>
                <w:sz w:val="20"/>
              </w:rPr>
              <w:t> </w:t>
            </w:r>
            <w:r>
              <w:rPr>
                <w:rFonts w:ascii="Times New Roman" w:hAnsi="Times New Roman"/>
                <w:color w:val="000000"/>
                <w:sz w:val="14"/>
              </w:rPr>
              <w:t>units) (h)</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10/11/2023</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(5,000</w:t>
            </w:r>
            <w:r>
              <w:rPr>
                <w:rFonts w:ascii="Times New Roman" w:hAnsi="Times New Roman"/>
                <w:color w:val="000000"/>
                <w:sz w:val="20"/>
              </w:rPr>
              <w:t> </w:t>
            </w:r>
            <w:r>
              <w:rPr>
                <w:rFonts w:ascii="Times New Roman" w:hAnsi="Times New Roman"/>
                <w:color w:val="000000"/>
                <w:sz w:val="14"/>
              </w:rPr>
              <w:t>units) (h)</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10/11/2023</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Wonderware Holdings, LLC (dba CORE Business Technologies)</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Information Technology Services</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(z)</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+ 5.00%) / (2.00%)</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8.72%/0.00%</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2/10/2021</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5/14/2028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World Tours LLC</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Consumer Services</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First Lien Debt (ay)</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 + 6.50%) / (2.00%)</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10.49%/0.00%</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11/13/2024</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Preferred Equity (1,000,000</w:t>
            </w:r>
            <w:r>
              <w:rPr>
                <w:rFonts w:ascii="Times New Roman" w:hAnsi="Times New Roman"/>
                <w:color w:val="000000"/>
                <w:sz w:val="20"/>
              </w:rPr>
              <w:t> </w:t>
            </w:r>
            <w:r>
              <w:rPr>
                <w:rFonts w:ascii="Times New Roman" w:hAnsi="Times New Roman"/>
                <w:color w:val="000000"/>
                <w:sz w:val="14"/>
              </w:rPr>
              <w:t>units) (h)</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11/13/2024</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Worldwide Express Operations, LLC</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Transportation services</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(795,000</w:t>
            </w:r>
            <w:r>
              <w:rPr>
                <w:rFonts w:ascii="Times New Roman" w:hAnsi="Times New Roman"/>
                <w:color w:val="000000"/>
                <w:sz w:val="20"/>
              </w:rPr>
              <w:t> </w:t>
            </w:r>
            <w:r>
              <w:rPr>
                <w:rFonts w:ascii="Times New Roman" w:hAnsi="Times New Roman"/>
                <w:color w:val="000000"/>
                <w:sz w:val="14"/>
              </w:rPr>
              <w:t>units)</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7/21/2021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(752,380</w:t>
            </w:r>
            <w:r>
              <w:rPr>
                <w:rFonts w:ascii="Times New Roman" w:hAnsi="Times New Roman"/>
                <w:color w:val="000000"/>
                <w:sz w:val="20"/>
              </w:rPr>
              <w:t> </w:t>
            </w:r>
            <w:r>
              <w:rPr>
                <w:rFonts w:ascii="Times New Roman" w:hAnsi="Times New Roman"/>
                <w:color w:val="000000"/>
                <w:sz w:val="14"/>
              </w:rPr>
              <w:t>units) (h)</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7/26/2021</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Zonkd, LLC</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Component Manufacturing</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Equity (4,987</w:t>
            </w:r>
            <w:r>
              <w:rPr>
                <w:rFonts w:ascii="Times New Roman" w:hAnsi="Times New Roman"/>
                <w:color w:val="000000"/>
                <w:sz w:val="20"/>
              </w:rPr>
              <w:t> </w:t>
            </w:r>
            <w:r>
              <w:rPr>
                <w:rFonts w:ascii="Times New Roman" w:hAnsi="Times New Roman"/>
                <w:color w:val="000000"/>
                <w:sz w:val="14"/>
              </w:rPr>
              <w:t>units) (h)</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3/18/2022</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Non-control/Non-affiliate Investments</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1,205,738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1,299,294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Money market funds (included in cash and cash equivalents)</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Goldman Sachs Financial Square Treasury Obligation Institution CUSIP (38141W323) (ad)</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3.65%/0.00%</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4"/>
              </w:rPr>
            </w:pPr>
            <w:r>
              <w:rPr>
                <w:rFonts w:ascii="Times New Roman" w:hAnsi="Times New Roman"/>
                <w:b/>
                <w:color w:val="000000"/>
                <w:sz w:val="14"/>
              </w:rPr>
              <w:t>Total money market funds</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 and Money Market Funds</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1,368,268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1,393,727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December 31, 2025, the Company held restricted securities with an aggregate fair value of $1,324,753, or 179% of the Company's net assets.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 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2025.</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December 31, 2025.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December 31, 2025.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sz w:val="20"/>
        </w:rPr>
      </w:pPr>
      <w:r>
        <w:rPr>
          <w:rFonts w:ascii="Times New Roman" w:hAnsi="Times New Roman"/>
          <w:color w:val="000000"/>
          <w:sz w:val="12"/>
        </w:rPr>
        <w:t>(j) The investments of</w:t>
      </w:r>
      <w:r>
        <w:rPr>
          <w:rFonts w:ascii="Times New Roman" w:hAnsi="Times New Roman"/>
          <w:color w:val="000000"/>
          <w:sz w:val="20"/>
        </w:rPr>
        <w:t xml:space="preserve"> </w:t>
      </w:r>
      <w:r>
        <w:rPr>
          <w:rFonts w:ascii="Times New Roman" w:hAnsi="Times New Roman"/>
          <w:color w:val="000000"/>
          <w:sz w:val="12"/>
        </w:rPr>
        <w:t>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the SBIC Funds is pledged as collateral for the SPV Credit Facility and, as a result, is not directly available to the creditors of the Company to satisfy any obligations of the Company other than the Company's obligations under the SPV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1.72%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1.56%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2.30%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1.07%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December 31, 2025. The Company is earning 0.75%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The disclosed commitment represents the unfunded amount as of December 31, 2025.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December 31, 2025.</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sz w:val="20"/>
        </w:rPr>
      </w:pPr>
      <w:r>
        <w:rPr>
          <w:rFonts w:ascii="Times New Roman" w:hAnsi="Times New Roman"/>
          <w:color w:val="000000"/>
          <w:sz w:val="12"/>
        </w:rPr>
        <w:t>(ab) In addition to the interest earned based on the stated interest rate of this security, the Company is entitled to receive an additional interest amount of 1.92% on its “last out” tranche of the portfolio company’s senior term debt, which was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2.86% and PIK interest amount of 1.27%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1.68%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3.75%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2025, total non-qualifying assets at fair value represented 1.12%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0.46% and PIK interest amount of 1.83%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2.59%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cash interest amount of 0.24% and PIK interest amount of 0.59%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2.67%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(ax) In addition to the interest earned based on the stated interest rate of this security, the Company is entitled to receive an additional interest amount of 1.02%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(ay) In addition to the interest earned based on the stated interest rate of this security, the Company is entitled to receive an additional interest amount of 2.06%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(az)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(ba) The Company sold a participating interest of approximately $0.005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(bb) In addition to the interest earned based on the stated interest rate of this security, the Company is entitled to receive an additional interest amount of 2.71%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(bc) In addition to the interest earned based on the stated interest rate of this security, the Company is entitled to receive an additional cash interest amount of 2.20% and PIK interest amount of 0.74%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(bd) In addition to the interest earned based on the stated interest rate of this security, the Company is entitled to receive an additional interest amount of 3.06%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(be) In addition to the interest earned based on the stated interest rate of this security, the Company is entitled to receive an additional interest amount of 2.97%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(bf) In addition to the interest earned based on the stated interest rate of this security, the Company is entitled to receive an additional interest amount of 2.40%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(bg) As of December 31, 2025, the Company is earning an incremental 0.60% interest on the outstanding principal balance.</w:t>
      </w:r>
    </w:p>
    <w:p>
      <w:pPr>
        <w:pStyle w:val="TextBody"/>
        <w:bidi w:val="0"/>
        <w:jc w:val="left"/>
        <w:rPr>
          <w:rFonts w:ascii="Times New Roman" w:hAnsi="Times New Roman"/>
          <w:color w:val="000000"/>
          <w:sz w:val="12"/>
        </w:rPr>
      </w:pPr>
      <w:r>
        <w:rPr>
          <w:rFonts w:ascii="Times New Roman" w:hAnsi="Times New Roman"/>
          <w:color w:val="000000"/>
          <w:sz w:val="12"/>
        </w:rPr>
        <w:t>(bh) The fair value for this investment includes a multiple of invested capital fee equal to (i) the principal amount repaid multiplied by a return percentage that is subject to change based upon the loan repayment date minus (ii) the sum of (a) the principal amount repaid plus (b) all interest paid in cash on such principal amount plus (c) the aggregate amount of fees paid in cash on or prior to the date of such repayment.</w:t>
      </w:r>
    </w:p>
    <w:p>
      <w:pPr>
        <w:pStyle w:val="TextBody"/>
        <w:bidi w:val="0"/>
        <w:jc w:val="left"/>
        <w:rPr>
          <w:rFonts w:ascii="Times New Roman" w:hAnsi="Times New Roman"/>
          <w:color w:val="000000"/>
          <w:sz w:val="12"/>
        </w:rPr>
      </w:pPr>
      <w:r>
        <w:rPr>
          <w:rFonts w:ascii="Times New Roman" w:hAnsi="Times New Roman"/>
          <w:color w:val="000000"/>
          <w:sz w:val="12"/>
        </w:rPr>
        <w:t>(bi) In addition to the interest earned based on the stated interest rate of this security, the Company is entitled to receive an additional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(bj) In addition to the interest earned based on the stated interest rate of this security, the Company is entitled to receive an additional interest amount of 3.20%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(bk)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(bl) In addition to the interest earned based on the stated interest rate of this security, the Company is entitled to receive an additional interest amount of 3.10%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(bm) In addition to the interest earned based on the stated interest rate of this security, the Company is entitled to receive an additional interest amount of 3.71%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(bn) In addition to the interest earned based on the stated interest rate of this security, the Company is entitled to receive an additional interest amount of 2.34%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pPr>
      <w:r>
        <w:rPr/>
        <w:t> </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bookmarkStart w:id="9" w:name="notes_consolidated_financial_statements"/>
      <w:bookmarkEnd w:id="9"/>
      <w:r>
        <w:rPr>
          <w:rFonts w:ascii="Times New Roman" w:hAnsi="Times New Roman"/>
          <w:b/>
          <w:color w:val="000000"/>
          <w:sz w:val="20"/>
        </w:rPr>
        <w:t>Note 1. Organization and Nature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and together with Fund III, the “SBIC Funds”). Each SBIC Fund is licensed by the U.S. Small Business Administration (the “SBA”) as a small business investment company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The accompanying consolidated financial statements of the Company have been prepared in accordance with generally accepted accounting principles in the United States of America (“GAAP”) pursuant to the requirements for reporting on Form 10-Q, Accounting Standards Codification (“ASC”) 946, </w:t>
      </w:r>
      <w:r>
        <w:rPr>
          <w:rFonts w:ascii="Times New Roman" w:hAnsi="Times New Roman"/>
          <w:i/>
          <w:color w:val="000000"/>
          <w:sz w:val="20"/>
        </w:rPr>
        <w:t xml:space="preserve">Financial Services – Investment Companies </w:t>
      </w:r>
      <w:r>
        <w:rPr>
          <w:rFonts w:ascii="Times New Roman" w:hAnsi="Times New Roman"/>
          <w:color w:val="000000"/>
          <w:sz w:val="20"/>
        </w:rPr>
        <w:t>(“ASC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2025.</w:t>
      </w:r>
    </w:p>
    <w:p>
      <w:pPr>
        <w:pStyle w:val="TextBody"/>
        <w:bidi w:val="0"/>
        <w:spacing w:before="18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i/>
          <w:color w:val="000000"/>
          <w:sz w:val="20"/>
        </w:rPr>
        <w:t>Consolidation:</w:t>
      </w:r>
      <w:r>
        <w:rPr>
          <w:rFonts w:ascii="Times New Roman" w:hAnsi="Times New Roman"/>
          <w:color w:val="000000"/>
          <w:sz w:val="20"/>
        </w:rPr>
        <w:t xml:space="preserve"> 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risks:</w:t>
      </w:r>
      <w:r>
        <w:rPr>
          <w:rFonts w:ascii="Times New Roman" w:hAnsi="Times New Roman"/>
          <w:color w:val="000000"/>
          <w:sz w:val="20"/>
        </w:rPr>
        <w:t xml:space="preserve"> The Company’s investments are subject to a variety of risks. These risks may include, but are not limited to the following: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Market risk - </w:t>
      </w:r>
      <w:r>
        <w:rPr>
          <w:rFonts w:ascii="Times New Roman" w:hAnsi="Times New Roman"/>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Credit risk - </w:t>
      </w:r>
      <w:r>
        <w:rPr>
          <w:rFonts w:ascii="Times New Roman" w:hAnsi="Times New Roman"/>
          <w:color w:val="000000"/>
          <w:sz w:val="20"/>
        </w:rPr>
        <w:t xml:space="preserve">Credit risk represents the risk of counterparties failing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Liquidity risk - </w:t>
      </w:r>
      <w:r>
        <w:rPr>
          <w:rFonts w:ascii="Times New Roman" w:hAnsi="Times New Roman"/>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Interest rate risk - </w:t>
      </w:r>
      <w:r>
        <w:rPr>
          <w:rFonts w:ascii="Times New Roman" w:hAnsi="Times New Roman"/>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Prepayment risk - </w:t>
      </w:r>
      <w:r>
        <w:rPr>
          <w:rFonts w:ascii="Times New Roman" w:hAnsi="Times New Roman"/>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Off-Balance sheet risk - </w:t>
      </w:r>
      <w:r>
        <w:rPr>
          <w:rFonts w:ascii="Times New Roman" w:hAnsi="Times New Roman"/>
          <w:color w:val="000000"/>
          <w:sz w:val="20"/>
        </w:rPr>
        <w:t>Some of the Company’s financial instruments contain off-balance sheet risk. Generally, these financial instruments represent future commitments to purchase other financial instruments at defined terms at defined future dates. See Note 7. Commitments and Contingencies for further details.</w:t>
      </w:r>
    </w:p>
    <w:p>
      <w:pPr>
        <w:pStyle w:val="TextBody"/>
        <w:bidi w:val="0"/>
        <w:spacing w:before="180" w:after="283"/>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measures and discloses fair value with respect to substantially all of its financial instruments in accordance with ASC Topic 820 — </w:t>
      </w:r>
      <w:r>
        <w:rPr>
          <w:rFonts w:ascii="Times New Roman" w:hAnsi="Times New Roman"/>
          <w:i/>
          <w:color w:val="000000"/>
          <w:sz w:val="20"/>
        </w:rPr>
        <w:t>Fair Value Measurements and Disclosures</w:t>
      </w:r>
      <w:r>
        <w:rPr>
          <w:rFonts w:ascii="Times New Roman" w:hAnsi="Times New Roman"/>
          <w:color w:val="000000"/>
          <w:sz w:val="20"/>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Fair Value Measurements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classification:</w:t>
      </w:r>
      <w:r>
        <w:rPr>
          <w:rFonts w:ascii="Times New Roman" w:hAnsi="Times New Roman"/>
          <w:color w:val="000000"/>
          <w:sz w:val="20"/>
        </w:rPr>
        <w:t xml:space="preserve"> The Company classifies its investments in accordance with the requirements of the 1940 Act. Under the 1940 Act, “Control Investments” are defined as investments in companies where the Company owns more than 25% of the voting securities of such company or has rights to maintain greater than 50% of the board representation. Under the 1940 Act, “Affiliate Investments” are defined as investments in companies where the Company owns between 5% and 25% of the voting securities of such company. “Non-Control/Non-Affiliate Investments” are those that neither qualify as Control Investments nor Affiliate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Segments: </w:t>
      </w:r>
      <w:r>
        <w:rPr>
          <w:rFonts w:ascii="Times New Roman" w:hAnsi="Times New Roman"/>
          <w:color w:val="000000"/>
          <w:sz w:val="20"/>
        </w:rPr>
        <w:t>In accordance with ASC Topic 280 — Segment Reporting, the Company is externally managed and has determined that it has a single reporting segment and operating unit structure, which derives investment income from its portfolio investments. The chief operating decision maker (the “CODM”) assesses performance for the Company based on net investment income, net realized and unrealized gains (losses) from investments, and net increase (decrease) in net assets resulting from operations, which are reported on the consolidated statements of operations. The CODM also may assess the Company's performance by completing an industry benchmarking analysis using the metrics disclosed in Note 10. Financial Highlights. The CODM is the Investment Advisor’s investment committee. Subject to the overall supervision of the Company's board of directors, the Investment Advisor manages the day-to-day operations of, and provides investment advisory and management services to the Company. The information and operating expense categories included in the consolidated statements of operations are fully reflective of the significant expense categories and amounts that are regularly provided to the CODM.</w:t>
      </w:r>
    </w:p>
    <w:p>
      <w:pPr>
        <w:pStyle w:val="TextBody"/>
        <w:bidi w:val="0"/>
        <w:spacing w:before="180" w:after="283"/>
        <w:jc w:val="both"/>
        <w:rPr>
          <w:rFonts w:ascii="Times New Roman" w:hAnsi="Times New Roman"/>
          <w:sz w:val="20"/>
        </w:rPr>
      </w:pPr>
      <w:r>
        <w:rPr>
          <w:rFonts w:ascii="Times New Roman" w:hAnsi="Times New Roman"/>
          <w:i/>
          <w:color w:val="000000"/>
          <w:sz w:val="20"/>
        </w:rPr>
        <w:t>Restricted cash and cash and cash equivalents:</w:t>
      </w:r>
      <w:r>
        <w:rPr>
          <w:rFonts w:ascii="Times New Roman" w:hAnsi="Times New Roman"/>
          <w:color w:val="000000"/>
          <w:sz w:val="20"/>
        </w:rPr>
        <w:t xml:space="preserve"> 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 Restricted cash includes amounts that are collected and are held by a trustee who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has been appointed as custodian of the assets securing the Company’s line of credit. Restricted cash is held by the trustee for payment of interest expense and principal on the outstanding borrowings or reinvestment into new assets.</w:t>
      </w:r>
    </w:p>
    <w:p>
      <w:pPr>
        <w:pStyle w:val="TextBody"/>
        <w:bidi w:val="0"/>
        <w:spacing w:before="180" w:after="283"/>
        <w:jc w:val="both"/>
        <w:rPr>
          <w:rFonts w:ascii="Times New Roman" w:hAnsi="Times New Roman"/>
          <w:sz w:val="20"/>
        </w:rPr>
      </w:pPr>
      <w:r>
        <w:rPr>
          <w:rFonts w:ascii="Times New Roman" w:hAnsi="Times New Roman"/>
          <w:i/>
          <w:color w:val="000000"/>
          <w:sz w:val="20"/>
        </w:rPr>
        <w:t>Deferred financing costs:</w:t>
      </w:r>
      <w:r>
        <w:rPr>
          <w:rFonts w:ascii="Times New Roman" w:hAnsi="Times New Roman"/>
          <w:color w:val="000000"/>
          <w:sz w:val="20"/>
        </w:rPr>
        <w:t xml:space="preserve"> Deferred financing costs consist of fees and expenses paid in connection with the SBA debentures, the SPV Credit Facility and the unsecured notes (each as described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spacing w:before="180" w:after="283"/>
        <w:jc w:val="both"/>
        <w:rPr>
          <w:rFonts w:ascii="Times New Roman" w:hAnsi="Times New Roman"/>
          <w:sz w:val="20"/>
        </w:rPr>
      </w:pPr>
      <w:r>
        <w:rPr>
          <w:rFonts w:ascii="Times New Roman" w:hAnsi="Times New Roman"/>
          <w:i/>
          <w:color w:val="000000"/>
          <w:sz w:val="20"/>
        </w:rPr>
        <w:t>Realized losses on extinguishment of debt:</w:t>
      </w:r>
      <w:r>
        <w:rPr>
          <w:rFonts w:ascii="Times New Roman" w:hAnsi="Times New Roman"/>
          <w:color w:val="000000"/>
          <w:sz w:val="20"/>
        </w:rPr>
        <w:t xml:space="preserve"> 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 xml:space="preserve"> Deferred offering costs consist of fees paid in relation to legal, accounting, regulatory and printing work completed in preparation of offering its securities.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 These expenses are included in prepaid expenses and other assets on the consolidated statements of assets and liabilities.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Realized gains or losses and unrealized appreciation or depreciation on investments: </w:t>
      </w:r>
      <w:r>
        <w:rPr>
          <w:rFonts w:ascii="Times New Roman" w:hAnsi="Times New Roman"/>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xml:space="preserve"> 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PIK income: </w:t>
      </w:r>
      <w:r>
        <w:rPr>
          <w:rFonts w:ascii="Times New Roman" w:hAnsi="Times New Roman"/>
          <w:color w:val="000000"/>
          <w:sz w:val="20"/>
        </w:rPr>
        <w:t xml:space="preserve">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Non-accrual: </w:t>
      </w:r>
      <w:r>
        <w:rPr>
          <w:rFonts w:ascii="Times New Roman" w:hAnsi="Times New Roman"/>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Origination and closing fees: </w:t>
      </w:r>
      <w:r>
        <w:rPr>
          <w:rFonts w:ascii="Times New Roman" w:hAnsi="Times New Roman"/>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xml:space="preserve">: In connection with the Company’s debt investments, the Company will sometimes receive warrants or other equity-related securities from the borrower (“Warrants”). The Company determines the cost basis of Warrants based upon their respective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The Company follows the guidance in ASC 860, </w:t>
      </w:r>
      <w:r>
        <w:rPr>
          <w:rFonts w:ascii="Times New Roman" w:hAnsi="Times New Roman"/>
          <w:i/>
          <w:color w:val="000000"/>
          <w:sz w:val="20"/>
        </w:rPr>
        <w:t>Transfers and Servicing</w:t>
      </w:r>
      <w:r>
        <w:rPr>
          <w:rFonts w:ascii="Times New Roman" w:hAnsi="Times New Roman"/>
          <w:color w:val="000000"/>
          <w:sz w:val="20"/>
        </w:rPr>
        <w:t xml:space="preserve"> (“ASC 860”)</w:t>
      </w:r>
      <w:r>
        <w:rPr>
          <w:rFonts w:ascii="Times New Roman" w:hAnsi="Times New Roman"/>
          <w:i/>
          <w:color w:val="000000"/>
          <w:sz w:val="20"/>
        </w:rPr>
        <w:t xml:space="preserve">, </w:t>
      </w:r>
      <w:r>
        <w:rPr>
          <w:rFonts w:ascii="Times New Roman" w:hAnsi="Times New Roman"/>
          <w:color w:val="000000"/>
          <w:sz w:val="20"/>
        </w:rPr>
        <w:t>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The Company has elected, and intends to qualify annually, to be treated as a RIC under subchapter M of the Code, and, as such will not be subject to U.S. federal income tax on the portion of its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 The Company’s net assets as included on the Consolidated Statements of Assets and Liabilities and Consolidated Statements of Changes in Net Assets include an adjustment to classification as a result of permanent book-to-tax differences, which include differences in the book and tax treatment of income and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U.S. federal income tax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the SBIC Funds may be limited by provisions of the SBIC Act and SBA regulations governing SBICs from making certain distributions to FIC that may be necessary to enable FIC to make the minimum distributions required to maintain its RIC tax treatment.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certain wholly-owned subsidiaries (the “Taxable Subsidiaries”) that have elected to be treated as corporations for U.S. federal income tax purposes and are thus subject to U.S. federal income tax imposed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income tax purposes, and each Taxable Subsidiary will be subject to U.S. federal income tax on its taxable income. Any such income or expense is reflected in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U.S. federal income tax determinations differ from GAAP, and as a result, distributions for U.S. federal income tax purposes may differ from net investment income and realized gains recognized under GAAP. Differences may be permanent or temporary. Permanent differences may arise as a result of, among other items, a difference in the book and adjusted tax basis of certain assets and nondeductible U.S. federal income tax. Temporary differences arise when certain items of income, expense, gain or loss are recognized at some time in the future.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ASC Topic 740 — </w:t>
      </w:r>
      <w:r>
        <w:rPr>
          <w:rFonts w:ascii="Times New Roman" w:hAnsi="Times New Roman"/>
          <w:i/>
          <w:color w:val="000000"/>
          <w:sz w:val="20"/>
        </w:rPr>
        <w:t>Accounting for Uncertainty in Income Taxes</w:t>
      </w:r>
      <w:r>
        <w:rPr>
          <w:rFonts w:ascii="Times New Roman" w:hAnsi="Times New Roman"/>
          <w:color w:val="000000"/>
          <w:sz w:val="20"/>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2026 and December 31, 2025. The Company’s tax returns are generally subject to examination by U.S. federal and most state tax authorities for a period of three years from the date the respective returns are filed, and, accordingly, tax years after 2021 remain subject to examination. </w:t>
      </w:r>
    </w:p>
    <w:p>
      <w:pPr>
        <w:pStyle w:val="TextBody"/>
        <w:bidi w:val="0"/>
        <w:spacing w:before="180" w:after="283"/>
        <w:jc w:val="both"/>
        <w:rPr>
          <w:rFonts w:ascii="Times New Roman" w:hAnsi="Times New Roman"/>
          <w:sz w:val="20"/>
        </w:rPr>
      </w:pPr>
      <w:r>
        <w:rPr>
          <w:rFonts w:ascii="Times New Roman" w:hAnsi="Times New Roman"/>
          <w:i/>
          <w:color w:val="000000"/>
          <w:sz w:val="20"/>
        </w:rPr>
        <w:t>Dividends to stockholders:</w:t>
      </w:r>
      <w:r>
        <w:rPr>
          <w:rFonts w:ascii="Times New Roman" w:hAnsi="Times New Roman"/>
          <w:color w:val="000000"/>
          <w:sz w:val="20"/>
        </w:rPr>
        <w:t xml:space="preserve"> 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Dividends and Distributions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i/>
          <w:color w:val="000000"/>
          <w:sz w:val="20"/>
        </w:rPr>
        <w:t>Earnings and net asset value per share:</w:t>
      </w:r>
      <w:r>
        <w:rPr>
          <w:rFonts w:ascii="Times New Roman" w:hAnsi="Times New Roman"/>
          <w:color w:val="000000"/>
          <w:sz w:val="20"/>
        </w:rPr>
        <w:t xml:space="preserve"> The earnings per share calculations for the three months ended March 31, 2026 and 2025 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The Company has an open market stock repurchase program (the “Stock 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Most recently, on November 3, 2025, the Board extended the Stock Repurchase Program through December 31, 2026,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2026 and 2025. Refer to Note 8. Common Stock for additional information concerning stock repurchases.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2026, the Company had active investments in 97 portfolio companies and residual investments in seven portfolio companies that have sold their underlying operations. The aggregate fair value of the total portfolio was $1,369,257 and the weighted average yield on the Company’s debt investments was 12.5% as of such date. As of March 31, 2026, the Company held equity investments in 85.6% of its portfolio companies and the average fully diluted equity ownership in those portfolio companies was 2.0%.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2025, the Company had active investments in 97 portfolio companies and residual investments in six portfolio companies that have sold their underlying operations. The aggregate fair value of the total portfolio was $1,324,753 and the weighted average yield on the Company’s debt investments was 12.6% as of such date. As of December 31, 2025, the Company held equity investments in 85.4% of its portfolio companies and the average fully diluted equity ownership in those portfolio companies was 1.9%. </w:t>
      </w:r>
    </w:p>
    <w:p>
      <w:pPr>
        <w:pStyle w:val="TextBody"/>
        <w:bidi w:val="0"/>
        <w:spacing w:before="180" w:after="283"/>
        <w:jc w:val="both"/>
        <w:rPr>
          <w:rFonts w:ascii="Times New Roman" w:hAnsi="Times New Roman"/>
          <w:sz w:val="20"/>
        </w:rPr>
      </w:pPr>
      <w:r>
        <w:rPr>
          <w:rFonts w:ascii="Times New Roman" w:hAnsi="Times New Roman"/>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color w:val="0070C0"/>
          <w:sz w:val="20"/>
        </w:rPr>
        <w:t xml:space="preserve"> </w:t>
      </w:r>
      <w:r>
        <w:rPr>
          <w:rFonts w:ascii="Times New Roman" w:hAnsi="Times New Roman"/>
          <w:color w:val="000000"/>
          <w:sz w:val="20"/>
        </w:rPr>
        <w:t>The weighted average yields were computed using the effective interest rates for debt investments at cost as of March 31, 2026 and December 31, 2025, including accretion of OID and debt investment origination fees, but excluding investments on non-accrual status and investments recorded as a 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Purchases of debt and equity investments for the three months ended March 31, 2026 and 2025 totaled $118,646 and $115,555, respectively. Proceeds from sales and repayments, including principal, return of capital distributions and realized gains, of portfolio investments for the three months ended March 31, 2026 and 2025 totaled $73,052 and $57,343, respectively. </w:t>
      </w:r>
    </w:p>
    <w:p>
      <w:pPr>
        <w:pStyle w:val="TextBody"/>
        <w:bidi w:val="0"/>
        <w:spacing w:before="180" w:after="283"/>
        <w:jc w:val="both"/>
        <w:rPr>
          <w:rFonts w:ascii="Times New Roman" w:hAnsi="Times New Roman"/>
          <w:color w:val="000000"/>
          <w:sz w:val="20"/>
        </w:rPr>
      </w:pPr>
      <w:bookmarkStart w:id="10" w:name="fis_unidentified_table_8"/>
      <w:bookmarkEnd w:id="10"/>
      <w:r>
        <w:rPr>
          <w:rFonts w:ascii="Times New Roman" w:hAnsi="Times New Roman"/>
          <w:color w:val="000000"/>
          <w:sz w:val="20"/>
        </w:rPr>
        <w:t>Investments by type with corresponding percentage of total portfolio investments consisted of the following:</w:t>
      </w:r>
    </w:p>
    <w:tbl>
      <w:tblPr>
        <w:tblW w:w="11112" w:type="dxa"/>
        <w:jc w:val="left"/>
        <w:tblInd w:w="0" w:type="dxa"/>
        <w:tblLayout w:type="fixed"/>
        <w:tblCellMar>
          <w:top w:w="28" w:type="dxa"/>
          <w:left w:w="28" w:type="dxa"/>
          <w:bottom w:w="28" w:type="dxa"/>
          <w:right w:w="28" w:type="dxa"/>
        </w:tblCellMar>
      </w:tblPr>
      <w:tblGrid>
        <w:gridCol w:w="1051"/>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Includes unitranche investments, which account for 50.0% and 51.3% of the Company's portfolio on a fair value and cost basis as of March 31, 2026, respectively. Includes unitranche investments, which account for 48.3% and 49.3% of the Company's portfolio on a fair value and cost basis as of December 31, 2025, respectively.</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1087" w:type="dxa"/>
        <w:jc w:val="left"/>
        <w:tblInd w:w="0" w:type="dxa"/>
        <w:tblLayout w:type="fixed"/>
        <w:tblCellMar>
          <w:top w:w="28" w:type="dxa"/>
          <w:left w:w="28" w:type="dxa"/>
          <w:bottom w:w="28" w:type="dxa"/>
          <w:right w:w="28" w:type="dxa"/>
        </w:tblCellMar>
      </w:tblPr>
      <w:tblGrid>
        <w:gridCol w:w="92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portfolio composition by type and by geographic region at fair value as a percentage of net assets.</w:t>
      </w:r>
    </w:p>
    <w:p>
      <w:pPr>
        <w:pStyle w:val="TextBody"/>
        <w:bidi w:val="0"/>
        <w:jc w:val="both"/>
        <w:rPr/>
      </w:pPr>
      <w:r>
        <w:rPr/>
        <w:t> </w:t>
      </w:r>
    </w:p>
    <w:tbl>
      <w:tblPr>
        <w:tblW w:w="8609" w:type="dxa"/>
        <w:jc w:val="left"/>
        <w:tblInd w:w="0" w:type="dxa"/>
        <w:tblLayout w:type="fixed"/>
        <w:tblCellMar>
          <w:top w:w="28" w:type="dxa"/>
          <w:left w:w="28" w:type="dxa"/>
          <w:bottom w:w="28" w:type="dxa"/>
          <w:right w:w="28" w:type="dxa"/>
        </w:tblCellMar>
      </w:tblPr>
      <w:tblGrid>
        <w:gridCol w:w="1426"/>
        <w:gridCol w:w="146"/>
        <w:gridCol w:w="190"/>
        <w:gridCol w:w="665"/>
        <w:gridCol w:w="241"/>
        <w:gridCol w:w="146"/>
        <w:gridCol w:w="146"/>
        <w:gridCol w:w="242"/>
        <w:gridCol w:w="853"/>
        <w:gridCol w:w="241"/>
        <w:gridCol w:w="146"/>
        <w:gridCol w:w="246"/>
        <w:gridCol w:w="1006"/>
        <w:gridCol w:w="146"/>
        <w:gridCol w:w="190"/>
        <w:gridCol w:w="665"/>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5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Type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Geographic Region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March 31, 2026 and December 31, 2025, the Company had no portfolio company investments that represented more than 10% of the total investment portfolio on a fair value or cost basis. As of March 31, 2026 and December 31, 2025, the Company had no investments that exceeded 5% of total assets.</w:t>
      </w:r>
    </w:p>
    <w:p>
      <w:pPr>
        <w:pStyle w:val="TextBody"/>
        <w:bidi w:val="0"/>
        <w:jc w:val="both"/>
        <w:rPr>
          <w:rFonts w:ascii="Times New Roman" w:hAnsi="Times New Roman"/>
          <w:color w:val="000000"/>
          <w:sz w:val="20"/>
        </w:rPr>
      </w:pPr>
      <w:r>
        <w:rPr>
          <w:rFonts w:ascii="Times New Roman" w:hAnsi="Times New Roman"/>
          <w:color w:val="000000"/>
          <w:sz w:val="20"/>
        </w:rPr>
        <w:t>As of March 31, 2026 and December 31, 2025, the Company had debt investments in one portfolio company and two portfolio companies, respectively, on non-accrual status.</w:t>
      </w:r>
    </w:p>
    <w:p>
      <w:pPr>
        <w:pStyle w:val="TextBody"/>
        <w:bidi w:val="0"/>
        <w:jc w:val="both"/>
        <w:rPr/>
      </w:pPr>
      <w:r>
        <w:rPr/>
        <w:t> </w:t>
      </w:r>
    </w:p>
    <w:tbl>
      <w:tblPr>
        <w:tblW w:w="6073" w:type="dxa"/>
        <w:jc w:val="left"/>
        <w:tblInd w:w="0" w:type="dxa"/>
        <w:tblLayout w:type="fixed"/>
        <w:tblCellMar>
          <w:top w:w="28" w:type="dxa"/>
          <w:left w:w="28" w:type="dxa"/>
          <w:bottom w:w="28" w:type="dxa"/>
          <w:right w:w="28" w:type="dxa"/>
        </w:tblCellMar>
      </w:tblPr>
      <w:tblGrid>
        <w:gridCol w:w="1681"/>
        <w:gridCol w:w="146"/>
        <w:gridCol w:w="196"/>
        <w:gridCol w:w="376"/>
        <w:gridCol w:w="146"/>
        <w:gridCol w:w="226"/>
        <w:gridCol w:w="196"/>
        <w:gridCol w:w="601"/>
        <w:gridCol w:w="146"/>
        <w:gridCol w:w="226"/>
        <w:gridCol w:w="196"/>
        <w:gridCol w:w="511"/>
        <w:gridCol w:w="146"/>
        <w:gridCol w:w="146"/>
        <w:gridCol w:w="196"/>
        <w:gridCol w:w="601"/>
        <w:gridCol w:w="14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107" w:type="dxa"/>
        <w:jc w:val="left"/>
        <w:tblInd w:w="0" w:type="dxa"/>
        <w:tblLayout w:type="fixed"/>
        <w:tblCellMar>
          <w:top w:w="28" w:type="dxa"/>
          <w:left w:w="28" w:type="dxa"/>
          <w:bottom w:w="28" w:type="dxa"/>
          <w:right w:w="28" w:type="dxa"/>
        </w:tblCellMar>
      </w:tblPr>
      <w:tblGrid>
        <w:gridCol w:w="331"/>
        <w:gridCol w:w="8776"/>
      </w:tblGrid>
      <w:tr>
        <w:trPr/>
        <w:tc>
          <w:tcPr>
            <w:tcW w:w="331" w:type="dxa"/>
            <w:tcBorders/>
            <w:vAlign w:val="center"/>
          </w:tcPr>
          <w:p>
            <w:pPr>
              <w:pStyle w:val="TableContents"/>
              <w:bidi w:val="0"/>
              <w:spacing w:before="0" w:after="283"/>
              <w:jc w:val="left"/>
              <w:rPr>
                <w:sz w:val="4"/>
                <w:szCs w:val="4"/>
              </w:rPr>
            </w:pPr>
            <w:r>
              <w:rPr>
                <w:sz w:val="4"/>
                <w:szCs w:val="4"/>
              </w:rPr>
            </w:r>
          </w:p>
        </w:tc>
        <w:tc>
          <w:tcPr>
            <w:tcW w:w="87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exited its debt investment in such portfolio company and did not hold such investment as of March 31, 2026.</w:t>
            </w:r>
          </w:p>
        </w:tc>
      </w:tr>
    </w:tbl>
    <w:p>
      <w:pPr>
        <w:pStyle w:val="TextBody"/>
        <w:bidi w:val="0"/>
        <w:jc w:val="left"/>
        <w:rPr/>
      </w:pPr>
      <w:r>
        <w:rPr/>
        <w:t> </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Consolidated Schedule of Investments In and Advances To Affiliates</w:t>
      </w:r>
    </w:p>
    <w:p>
      <w:pPr>
        <w:pStyle w:val="TextBody"/>
        <w:bidi w:val="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2025 and any additions and reductions made to such investments during the three months ended March 31, 2026, the ending fair value as of March 31, 2026, and the total investment income earned on such investments during the period.</w:t>
      </w:r>
    </w:p>
    <w:tbl>
      <w:tblPr>
        <w:tblW w:w="11145" w:type="dxa"/>
        <w:jc w:val="left"/>
        <w:tblInd w:w="0" w:type="dxa"/>
        <w:tblLayout w:type="fixed"/>
        <w:tblCellMar>
          <w:top w:w="28" w:type="dxa"/>
          <w:left w:w="28" w:type="dxa"/>
          <w:bottom w:w="28" w:type="dxa"/>
          <w:right w:w="28" w:type="dxa"/>
        </w:tblCellMar>
      </w:tblPr>
      <w:tblGrid>
        <w:gridCol w:w="901"/>
        <w:gridCol w:w="146"/>
        <w:gridCol w:w="146"/>
        <w:gridCol w:w="182"/>
        <w:gridCol w:w="479"/>
        <w:gridCol w:w="146"/>
        <w:gridCol w:w="146"/>
        <w:gridCol w:w="166"/>
        <w:gridCol w:w="496"/>
        <w:gridCol w:w="146"/>
        <w:gridCol w:w="146"/>
        <w:gridCol w:w="170"/>
        <w:gridCol w:w="386"/>
        <w:gridCol w:w="146"/>
        <w:gridCol w:w="146"/>
        <w:gridCol w:w="199"/>
        <w:gridCol w:w="417"/>
        <w:gridCol w:w="146"/>
        <w:gridCol w:w="146"/>
        <w:gridCol w:w="166"/>
        <w:gridCol w:w="496"/>
        <w:gridCol w:w="146"/>
        <w:gridCol w:w="146"/>
        <w:gridCol w:w="166"/>
        <w:gridCol w:w="346"/>
        <w:gridCol w:w="146"/>
        <w:gridCol w:w="146"/>
        <w:gridCol w:w="220"/>
        <w:gridCol w:w="501"/>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Three Months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March 31, 2026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2025</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March 31, 2026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26,487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25,970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PIPCO,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Suited Connector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52,797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119,015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4,660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122,905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2024 and any additions and reductions made to such investments during the year ended December 31, 2025, including the total investment income earned on such investments during the period.</w:t>
      </w:r>
    </w:p>
    <w:tbl>
      <w:tblPr>
        <w:tblW w:w="11313" w:type="dxa"/>
        <w:jc w:val="left"/>
        <w:tblInd w:w="0" w:type="dxa"/>
        <w:tblLayout w:type="fixed"/>
        <w:tblCellMar>
          <w:top w:w="28" w:type="dxa"/>
          <w:left w:w="28" w:type="dxa"/>
          <w:bottom w:w="28" w:type="dxa"/>
          <w:right w:w="28" w:type="dxa"/>
        </w:tblCellMar>
      </w:tblPr>
      <w:tblGrid>
        <w:gridCol w:w="901"/>
        <w:gridCol w:w="146"/>
        <w:gridCol w:w="146"/>
        <w:gridCol w:w="182"/>
        <w:gridCol w:w="479"/>
        <w:gridCol w:w="146"/>
        <w:gridCol w:w="146"/>
        <w:gridCol w:w="166"/>
        <w:gridCol w:w="496"/>
        <w:gridCol w:w="146"/>
        <w:gridCol w:w="146"/>
        <w:gridCol w:w="166"/>
        <w:gridCol w:w="436"/>
        <w:gridCol w:w="146"/>
        <w:gridCol w:w="146"/>
        <w:gridCol w:w="166"/>
        <w:gridCol w:w="466"/>
        <w:gridCol w:w="146"/>
        <w:gridCol w:w="146"/>
        <w:gridCol w:w="166"/>
        <w:gridCol w:w="496"/>
        <w:gridCol w:w="146"/>
        <w:gridCol w:w="146"/>
        <w:gridCol w:w="166"/>
        <w:gridCol w:w="436"/>
        <w:gridCol w:w="146"/>
        <w:gridCol w:w="146"/>
        <w:gridCol w:w="209"/>
        <w:gridCol w:w="512"/>
        <w:gridCol w:w="146"/>
        <w:gridCol w:w="146"/>
        <w:gridCol w:w="166"/>
        <w:gridCol w:w="376"/>
        <w:gridCol w:w="146"/>
        <w:gridCol w:w="146"/>
        <w:gridCol w:w="282"/>
        <w:gridCol w:w="589"/>
        <w:gridCol w:w="146"/>
        <w:gridCol w:w="146"/>
        <w:gridCol w:w="166"/>
        <w:gridCol w:w="376"/>
        <w:gridCol w:w="146"/>
        <w:gridCol w:w="146"/>
        <w:gridCol w:w="166"/>
        <w:gridCol w:w="34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2025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2025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26,487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PIPCO,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3,897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include those that are both unobservable and significant to the overall fair value measurement.</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as of March 31, 2026. Therefore, the Company values such portfolio investments at fair value, as determined in good faith by the Board, using Level 3 inputs with the exception of money market funds that were valued using Level 1 inputs as of March 31, 2026.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Board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consulted with the independent third-party valuation firm(s) in arriving at our determination of fair value for 21 and 21 of our portfolio company investments representing 28.7% and 26.7% of the total portfolio investments at fair value (exclusive of new portfolio company investments made during the three months ended March 31, 2026 and December 31, 2025, respectively) as of March 31, 2026 and December 31, 2025,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tables present fair value measurements of investments by major class according to the fair value hierarchy:</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1,417,534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1,393,727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2026 and 2025.</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a reconciliation of the beginning and ending balances for fair valued investments measured using significant unobservable inputs (Level 3) for the three months ended March 31,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61"/>
        <w:gridCol w:w="146"/>
        <w:gridCol w:w="196"/>
        <w:gridCol w:w="826"/>
        <w:gridCol w:w="166"/>
        <w:gridCol w:w="146"/>
        <w:gridCol w:w="206"/>
        <w:gridCol w:w="696"/>
        <w:gridCol w:w="166"/>
        <w:gridCol w:w="146"/>
        <w:gridCol w:w="238"/>
        <w:gridCol w:w="843"/>
        <w:gridCol w:w="166"/>
        <w:gridCol w:w="146"/>
        <w:gridCol w:w="196"/>
        <w:gridCol w:w="691"/>
        <w:gridCol w:w="166"/>
        <w:gridCol w:w="146"/>
        <w:gridCol w:w="207"/>
        <w:gridCol w:w="604"/>
        <w:gridCol w:w="166"/>
        <w:gridCol w:w="146"/>
        <w:gridCol w:w="196"/>
        <w:gridCol w:w="826"/>
        <w:gridCol w:w="213"/>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(57,343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1,154,408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1,055,449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69,514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1,369,257</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change in unrealized appreciation/(depreciation) of $(1,445) for the three months ended March 31, 2026 was attributable to Level 3 investments held at March 31, 2026. Net change in unrealized appreciation/(depreciation) of $(6,416) for the three months ended March 31, 2025 was attributable to Level 3 investments held at March 31, 2025.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summarize the significant unobservable inputs by valuation technique used to determine the fair value of the Company’s Level 3 debt and equity investments as of March 31, 2026 and December 31, 2025. The tables are not intended to be all-inclusive, but instead capture the significant unobservable inputs relevant to the Company’s determination of fair values.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8"/>
        <w:gridCol w:w="146"/>
        <w:gridCol w:w="242"/>
        <w:gridCol w:w="1022"/>
        <w:gridCol w:w="146"/>
        <w:gridCol w:w="146"/>
        <w:gridCol w:w="2539"/>
        <w:gridCol w:w="146"/>
        <w:gridCol w:w="2271"/>
        <w:gridCol w:w="146"/>
        <w:gridCol w:w="1773"/>
      </w:tblGrid>
      <w:tr>
        <w:trPr/>
        <w:tc>
          <w:tcPr>
            <w:tcW w:w="1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7.0% - 25.3% (13.2%)</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12.8% - 22.5% (15.7%)</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3.8x - 3.8x (3.8x)</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12.0% - 35.0% (16.1%)</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3.8x - 3.8x (3.8x)</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3.0x - 19.0x (9.9x)</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1.3x - 7.5x (5.1x)</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 weighted expected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6.2% - 6.2% (6.2%)</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1.6x - 1.6x (1.6x)</w:t>
            </w:r>
          </w:p>
        </w:tc>
      </w:tr>
      <w:tr>
        <w:trPr/>
        <w:tc>
          <w:tcPr>
            <w:tcW w:w="1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 weighted expected return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6.2% - 6.2% (6.2%)</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spacing w:before="18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09"/>
        <w:gridCol w:w="146"/>
        <w:gridCol w:w="281"/>
        <w:gridCol w:w="1188"/>
        <w:gridCol w:w="146"/>
        <w:gridCol w:w="146"/>
        <w:gridCol w:w="2457"/>
        <w:gridCol w:w="146"/>
        <w:gridCol w:w="2213"/>
        <w:gridCol w:w="146"/>
        <w:gridCol w:w="1727"/>
      </w:tblGrid>
      <w:tr>
        <w:trPr/>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7.2% - 62.9% (13.7%)</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12.8% - 22.5% (15.5%)</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 pricing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70.0% - 70.0% (70.0%)</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11.5% - 20.0% (13.9%)</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1.3x - 22.0x (9.7x)</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0.4x - 8.5x (5.7x)</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 weighted expected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- 25.0% (11.5%)</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1.5x - 1.5x (1.5x)</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 weighted expected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Probability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- 25.0% (11.5%)</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 used in determining fair value under the option pricing technique (or Black-Scholes model) is volatility. Significant increases (or decreases) in this input could result in significantly higher (or lower)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 used in determining fair value under the probability weighted expected return technique is probability. Significant increases (or decreases) in this input could result in significantly higher (or lower) fair value estimates.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Other Financial Assets and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SPV Credit Facility (as defined in Note 6), the SBA debentures, and the Notes (as defined in Note 6) are recorded at their respective carrying values.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summarize the carrying value and fair value of the Company’s debt obligations as of March 31, 2026 and December 31, 2025.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419" w:type="dxa"/>
        <w:jc w:val="left"/>
        <w:tblInd w:w="0" w:type="dxa"/>
        <w:tblLayout w:type="fixed"/>
        <w:tblCellMar>
          <w:top w:w="28" w:type="dxa"/>
          <w:left w:w="28" w:type="dxa"/>
          <w:bottom w:w="28" w:type="dxa"/>
          <w:right w:w="28" w:type="dxa"/>
        </w:tblCellMar>
      </w:tblPr>
      <w:tblGrid>
        <w:gridCol w:w="286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March 31, 2026</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2025</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SBA debentures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SPV Credit Facility borrowings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November 2026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March 2030 Notes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633,762</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Carrying value represents the outstanding principal balance of the debt obligation.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SPV Credit Facility, if valued under ASC Topic 820, is based on a market yield approach and current interest rates, which are Level 3 inputs to the market yield model.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November 2026 Notes (as defined in Note 6) and the March 2030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sz w:val="20"/>
        </w:rPr>
      </w:pPr>
      <w:r>
        <w:rPr>
          <w:rFonts w:ascii="Times New Roman" w:hAnsi="Times New Roman"/>
          <w:color w:val="000000"/>
          <w:sz w:val="16"/>
        </w:rPr>
        <w:t>Totals exclude $11,594</w:t>
      </w:r>
      <w:r>
        <w:rPr>
          <w:rFonts w:ascii="Times New Roman" w:hAnsi="Times New Roman"/>
          <w:color w:val="000000"/>
          <w:sz w:val="20"/>
        </w:rPr>
        <w:t xml:space="preserve"> </w:t>
      </w:r>
      <w:r>
        <w:rPr>
          <w:rFonts w:ascii="Times New Roman" w:hAnsi="Times New Roman"/>
          <w:color w:val="000000"/>
          <w:sz w:val="16"/>
        </w:rPr>
        <w:t>and $12,000</w:t>
      </w:r>
      <w:r>
        <w:rPr>
          <w:rFonts w:ascii="Times New Roman" w:hAnsi="Times New Roman"/>
          <w:color w:val="000000"/>
          <w:sz w:val="20"/>
        </w:rPr>
        <w:t xml:space="preserve"> </w:t>
      </w:r>
      <w:r>
        <w:rPr>
          <w:rFonts w:ascii="Times New Roman" w:hAnsi="Times New Roman"/>
          <w:color w:val="000000"/>
          <w:sz w:val="16"/>
        </w:rPr>
        <w:t>of Secured Borrowings as of March 31, 2026 and December 31,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inputs used to value the Company’s debt obligations if measured at fair value as of March 31, 2026 and December 31, 2025.</w:t>
      </w:r>
    </w:p>
    <w:p>
      <w:pPr>
        <w:pStyle w:val="TextBody"/>
        <w:bidi w:val="0"/>
        <w:jc w:val="both"/>
        <w:rPr/>
      </w:pPr>
      <w:r>
        <w:rPr/>
        <w:t> </w:t>
      </w:r>
    </w:p>
    <w:tbl>
      <w:tblPr>
        <w:tblW w:w="4412"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The Company has entered into an Investment Advisory Agreement with the Investment Advisor. Most recently, on June 11, 2025, the Board approved the renewal of the Investment Advisory Agreement for the period from June 20, 2025 through June 20, 2026.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management fee is calculated at an annual rate of 1.75% based on the average value of total assets (other than restricted cash and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Debt – Secured Borrowings for more information about the secured borrowings. The base management fee is payable quarterly in arrears. The base management fee under the Investment Advisory Agreement for the three months ended March 31, 2026 and 2025 was $5,913 and $4,922, respectively. The base management fee waiver for the three months ended March 31, 2026 and 2025 was $51 and $59, respectively. Accordingly, as of March 31, 2026 and December 31, 2025, the base management fee payable (net of the base management fee waiver) was $5,862 and $5,596,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pays the Investment Advisor an incentive fee with respect to pre-incentive fee net investment income in each calendar quarter as follows: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no</w:t>
      </w:r>
      <w:r>
        <w:rPr>
          <w:color w:val="000000"/>
        </w:rPr>
        <w:t xml:space="preserve"> </w:t>
      </w:r>
      <w:r>
        <w:rPr>
          <w:rFonts w:ascii="Times New Roman" w:hAnsi="Times New Roman"/>
          <w:color w:val="000000"/>
          <w:sz w:val="20"/>
        </w:rPr>
        <w:t>incentive fee in any calendar quarter in which the pre-incentive fee net investment income does not exceed the hurdle rate of 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20.0% of the amount of the Company’s pre-incentive fee net investment income, if any, that exceeds 2.5% in any calendar quarter.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months ended March 31, 2026 and 2025 was $5,834 and $4,594, respectively. As of March 31, 2026 and December 31, 2025, the income incentive fee payable was $5,834 and $4,721,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March 31, 2026 and December 31, 2025, none of the capital gains incentive fee was payable in cash because cumulative aggregate realized capital gains and losses on investments exceeded aggregate unrealized capital depreciation on investments plus realized losses on extinguishment of debt. The aggregate amount of capital gains incentive fees paid from the IPO through March 31, 2026 was $17,577.</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months ended March 31, 2026 and 2025 was $(952) and $287, respectively. As of March 31, 2026 and December 31, 2025, the accrued capital gains incentive fee payable was $15,462 and $16,414,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Administration Agreement: </w:t>
      </w:r>
      <w:r>
        <w:rPr>
          <w:rFonts w:ascii="Times New Roman" w:hAnsi="Times New Roman"/>
          <w:color w:val="000000"/>
          <w:sz w:val="20"/>
        </w:rPr>
        <w:t>The Company also entered into an administration agreement (the “Administration Agreement”) with the Investment Advisor. Most recently, on June 11, 2025, the Board approved the renewal of the Administration Agreement for the period from June 20, 2025 through June 20, 2026.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i/>
          <w:color w:val="000000"/>
          <w:sz w:val="20"/>
        </w:rPr>
        <w:t>.</w:t>
      </w:r>
      <w:r>
        <w:rPr>
          <w:rFonts w:ascii="Times New Roman" w:hAnsi="Times New Roman"/>
          <w:color w:val="000000"/>
          <w:sz w:val="20"/>
        </w:rPr>
        <w:t xml:space="preserve"> Under the Administration Agreement, administrative service expenses for the three months ended March 31, 2026 and 2025 was $771 and $602, respectively. As of March 31, 2026 and December 31, 2025, the accrued administrative service expense payable was $390 and $993, respectively.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On June 16, 2014, FIC entered into a senior secured revolving credit agreement (as amended from time to time, the “Revolving Credit Agreement” and the senior secured revolving credit facility thereunder, the “Revolving Credit Facility”) with ING Capital LLC (“ING”), as the administrative agent, collateral agent, and lender. The Revolving Credit Facility was secured by certain portfolio investments held by the Company, except for the assets held by the SBIC Funds.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Concurrently with entering into the SPV Credit Agreement (as described below), on October 16, 2025, the Company terminated in full (i) the Revolving Credit Agreement and (ii) the amended and restated guarantee, pledge and security agreement, dated as of April 24, 2019 (as amended from time to time, the “Guarantee and Security Agreement”), by and among the Company, as borrower, the subsidiary guarantors party thereto, ING, as revolving administrative agent, each financing agent and designated indebtedness holder party thereto, and ING, as collateral agent. The Revolving Credit Agreement and the Guarantee and Security Agreement were terminated concurrently with the satisfaction of all obligations and liabilities of the Company to the lending parties thereunder, including, without limitation, payments of principal and interest, other fees, breakage costs and other amounts owing to the lending parties.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total commitments available under the Revolving Credit Facility was $140.0 million. Under the Revolving Credit Agreement, the Company paid a commitment fee that varied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w:t>
      </w:r>
    </w:p>
    <w:p>
      <w:pPr>
        <w:pStyle w:val="TextBody"/>
        <w:bidi w:val="0"/>
        <w:spacing w:before="180" w:after="283"/>
        <w:jc w:val="both"/>
        <w:rPr>
          <w:rFonts w:ascii="Times New Roman" w:hAnsi="Times New Roman"/>
          <w:sz w:val="20"/>
        </w:rPr>
      </w:pPr>
      <w:r>
        <w:rPr>
          <w:rFonts w:ascii="Times New Roman" w:hAnsi="Times New Roman"/>
          <w:i/>
          <w:color w:val="000000"/>
          <w:sz w:val="20"/>
        </w:rPr>
        <w:t>SPV Credit Facility</w:t>
      </w:r>
      <w:r>
        <w:rPr>
          <w:rFonts w:ascii="Times New Roman" w:hAnsi="Times New Roman"/>
          <w:color w:val="000000"/>
          <w:sz w:val="20"/>
        </w:rPr>
        <w:t xml:space="preserve">: On October 16, 2025, the Company entered into a credit and security agreement (the “SPV Credit Agreement”) relating to a special purpose vehicle credit facility (the “SPV Credit Facility” and together with the Revolving Credit Facility, the “Credit Facilities”) by and among FIC Funding, LLC (the “SPV”), as borrower, the Company, as servicer and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$175,000 of initial commitments, and has an accordion feature that allows for an increase of the total commitments to up to $250,000, subject to certain conditions (including the consent of the Administrative Agent). On December 22, 2025, the total commitments available under the SPV Credit Facility was increased from $175,000 to $225,000 pursuant to the accordion feature. The SPV Credit Facility has a reinvestment period until October 16, 2029 and matures on October 16, 2030. The advances under the SPV Credit Facility bear interest, subject to the Company’s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SPV Credit Facility are subject to a minimum borrowing/collateral base that applies an advance rate to certain investments held by the SPV. The SPV is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The SPV Credit Facility is secured primarily by a pledge of 100% of the equity interest in the SPV held by the Company and the SPV’s assets, which consist of certain bank loans or securities. As of March 31, 2026 and December 31, 2025, the remaining available borrowing base on the SPV Credit Facility was $92,472 and $102,208,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made customary representations and warranties and is required to comply with various covenants, reporting requirements and other customary requirements. These covenants are subject to important limitations and exceptions that are described in the documents governing the SPV Credit Facility. As of March 31, 2026 and December 31, 2025, the Company was in compliance in all material respects with the terms of the SPV Credit Agreement.</w:t>
      </w:r>
    </w:p>
    <w:p>
      <w:pPr>
        <w:pStyle w:val="TextBody"/>
        <w:bidi w:val="0"/>
        <w:spacing w:before="180" w:after="283"/>
        <w:jc w:val="both"/>
        <w:rPr>
          <w:rFonts w:ascii="Times New Roman" w:hAnsi="Times New Roman"/>
          <w:sz w:val="20"/>
        </w:rPr>
      </w:pPr>
      <w:r>
        <w:rPr>
          <w:rFonts w:ascii="Times New Roman" w:hAnsi="Times New Roman"/>
          <w:i/>
          <w:color w:val="000000"/>
          <w:sz w:val="20"/>
        </w:rPr>
        <w:t>SBA debentures:</w:t>
      </w:r>
      <w:r>
        <w:rPr>
          <w:rFonts w:ascii="Times New Roman" w:hAnsi="Times New Roman"/>
          <w:color w:val="000000"/>
          <w:sz w:val="20"/>
        </w:rPr>
        <w:t xml:space="preserve"> The SBIC Funds use debenture leverage provided through the SBA to fund a portion of its investment purchases.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2026 and December 31, 2025, approved and unused SBA debenture commitments were $54,000 and $84,000, respectively. The SBA may limit the amount that may be drawn each year under any SBA debenture commitments, and each issuance of leverage is conditioned on such SBIC Fund’s full compliance, as determined by the SBA, with the terms and conditions under SBA regulations.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2026 and December 31, 2025, the Company’s issued and outstanding SBA debentures mature as follows: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8486"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11"/>
        <w:gridCol w:w="781"/>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3/25/2026 (²)</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3/25/2026 (²)</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3/25/2026 (³)</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3/25/2026 (⁴)</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SBA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SBA has quarterly scheduled pooling dates for debentures (in each of March, June, September, and December). Certain debentures funded during the reporting periods may not be pooled until the subsequent pooling date.</w:t>
            </w:r>
          </w:p>
        </w:tc>
      </w:tr>
      <w:tr>
        <w:trPr/>
        <w:tc>
          <w:tcPr>
            <w:tcW w:w="3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(2)</w:t>
            </w:r>
          </w:p>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The Company issued SBA debentures which did not pool until March 2026. Prior to the pooling date, the debentures bore interest at a fixed interim interest rate of 4.74%.</w:t>
            </w:r>
            <w:r>
              <w:rPr>
                <w:rFonts w:ascii="Times New Roman" w:hAnsi="Times New Roman"/>
                <w:color w:val="000000"/>
                <w:sz w:val="20"/>
              </w:rPr>
              <w:t xml:space="preserve"> </w:t>
            </w:r>
          </w:p>
        </w:tc>
      </w:tr>
      <w:tr>
        <w:trPr/>
        <w:tc>
          <w:tcPr>
            <w:tcW w:w="3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(3)</w:t>
            </w:r>
          </w:p>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Company issued SBA debentures which did not pool until March 2026. Prior to the pooling date, the debentures bore interest at a fixed interim interest rate of 4.73%.</w:t>
            </w:r>
          </w:p>
        </w:tc>
      </w:tr>
      <w:tr>
        <w:trPr/>
        <w:tc>
          <w:tcPr>
            <w:tcW w:w="3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(4)</w:t>
            </w:r>
          </w:p>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Company issued SBA debentures which did not pool until March 2026. Prior to the pooling date, the debentures bore interest at a fixed interim interest rate of 4.55%.</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Notes:</w:t>
      </w:r>
      <w:r>
        <w:rPr>
          <w:rFonts w:ascii="Times New Roman" w:hAnsi="Times New Roman"/>
          <w:color w:val="000000"/>
          <w:sz w:val="20"/>
        </w:rPr>
        <w:t xml:space="preserve"> The term “Notes” refers to collectively to the January 2026 Notes, the November 2026 Notes and the March 2030 Notes. The Notes are the Company’s direct unsecured obligations, rank pari passu with the Company’s other outstanding and future unsecured unsubordinated indebtedness and are effectively or structurally subordinated to all of the Company’s existing and future secured indebtedness, including borrowings under the SPV Credit Facility and the 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23, 2020, the Company closed the offering of $125,000 in aggregate principal amount of its 4.75% notes due 2026 (the “January 2026 Notes”). The total net proceeds to the Company from the January 2026 Notes, based on a public offering price of 100.00% of par, after deducting underwriting discounts of $2,500 and offering expenses of $366, were $122,134. The maturity date of the January 2026 Notes was January 31, 2026 and the January 2026 Notes bore interest at a rate of 4.75%. On May 21, 2025, the Company redeemed $25,000 of the $125,000 aggregate principal amount on the January 2026 Notes, resulting in a realized loss on extinguishment of debt of $75. On November 3, 2025, the Company fully redeemed the remaining $100,000 in aggregate principal amount of the January 2026 Notes, resulting in a realized loss on extinguishment of debt of $112.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8, 2021, the Company closed the offering of $125,000 in aggregate principal amount of its 3.50% notes due 2026 (the “November 2026 Notes”). The total net proceeds to the Company from the November 2026 Notes, based on a public offering price of 99.996% of par, after deducting underwriting discounts of $2,500 and offering expenses of $318, were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March 19, 2025, the Company closed the offering of $100,000 in aggregate principal amount of its 6.75% notes due 2030 (the “Existing March 2030 Notes”). The total net proceeds to the Company from the Existing March 2030 Notes, based on a public offering price of 99.29954% of par, after deducting underwriting discounts of $2,000 and offering expenses of $354, were $96,946. On October 3, 2025, the Company issued an additional $100,000 in aggregate principal amount of the 6.75% notes due 2030 (the “Additional March 2030 Notes” and together with the Existing March 2030 Notes, the “March 2030 Notes”). The total net proceeds to us from the Additional March 2030 Notes, based on a public offering price of 100.705% of par, after deducting underwriting discounts of $1,500 and offering expenses of $329, was $98,876. The Additional March 2030 Notes are treated as a single series with the Existing March 2030 Notes under the indenture and have the same terms as the Initial March 2030 Notes (except the issue date, the offering price and the initial interest payment date). Upon issuance of the Additional March 2030 Notes, the outstanding aggregate principal amount of the March 2030 Notes was $200,000.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The Company does not intend to list the March 2030 Notes on any securities exchange or automated dealer quotation system.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sz w:val="20"/>
        </w:rPr>
      </w:pPr>
      <w:r>
        <w:rPr>
          <w:rFonts w:ascii="Times New Roman" w:hAnsi="Times New Roman"/>
          <w:color w:val="000000"/>
          <w:sz w:val="20"/>
        </w:rPr>
        <w:t>As of March 31, 2026 and December 31, 2025, the carrying value of secured borrowings totaled $11,594 and $12,000, respectively, and the fair value of the associated loans included in investments was $11,594 and $11,995,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hAnsi="Times New Roman"/>
          <w:i/>
          <w:color w:val="000000"/>
          <w:sz w:val="20"/>
        </w:rPr>
        <w:t>.</w:t>
      </w:r>
      <w:r>
        <w:rPr>
          <w:rFonts w:ascii="Times New Roman" w:hAnsi="Times New Roman"/>
          <w:color w:val="000000"/>
          <w:sz w:val="20"/>
        </w:rPr>
        <w:t xml:space="preserve"> As a result, sale treatment was not permitted and these partial loan sales were treated as secured borrowings. The weighted average interest rate on our secured borrowings was approximately 7.9% and 7.9% as of March 31, 2026, and December 31, 2025, respectively.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2026 and December 31, 2025, the aggregate amount outstanding of the senior securities (including secured borrowings) issued by the Company was $421,744 and $420,850, respectively, for which our asset coverage was 275.9% and 276.3%,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the Company’s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Interest and Financing Expenses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Interest and fees related to the Company’s debt for the three months ended March 31, 2026 and 2025 which are included in interest and financing expenses on the consolidated statements of operations, were as follows:</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3040"/>
        <w:gridCol w:w="146"/>
        <w:gridCol w:w="334"/>
        <w:gridCol w:w="876"/>
        <w:gridCol w:w="241"/>
        <w:gridCol w:w="146"/>
        <w:gridCol w:w="324"/>
        <w:gridCol w:w="786"/>
        <w:gridCol w:w="241"/>
        <w:gridCol w:w="146"/>
        <w:gridCol w:w="401"/>
        <w:gridCol w:w="1048"/>
        <w:gridCol w:w="241"/>
        <w:gridCol w:w="146"/>
        <w:gridCol w:w="196"/>
        <w:gridCol w:w="511"/>
        <w:gridCol w:w="241"/>
        <w:gridCol w:w="146"/>
        <w:gridCol w:w="196"/>
        <w:gridCol w:w="511"/>
        <w:gridCol w:w="288"/>
      </w:tblGrid>
      <w:tr>
        <w:trPr/>
        <w:tc>
          <w:tcPr>
            <w:tcW w:w="3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7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SPV</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5.626</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7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The effective interest rate is equal to the weighted average stated interest rate plus the amortization of deferred financing costs.</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Realized Losses on Extinguishment of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2026, the Company prepaid $7,000 of SBA debentures which were scheduled to mature in 2033. During the three months ended March 31, 2025, the Company prepaid $12,500 of SBA debentures which were scheduled to mature on dates ranging from 2032 to 2033. As a result of the prepayments, the Company recognized realized losses on extinguishment of debt of $117 and $251 equal to the write-off of the related unamortized deferred financing costs, during the three months ended March 31, 2026 and 2025, respectively.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Deferred Financing Costs</w:t>
      </w:r>
    </w:p>
    <w:p>
      <w:pPr>
        <w:pStyle w:val="TextBody"/>
        <w:bidi w:val="0"/>
        <w:jc w:val="both"/>
        <w:rPr>
          <w:rFonts w:ascii="Times New Roman" w:hAnsi="Times New Roman"/>
          <w:color w:val="000000"/>
          <w:sz w:val="20"/>
        </w:rPr>
      </w:pPr>
      <w:bookmarkStart w:id="11" w:name="fis_unidentified_table_13"/>
      <w:bookmarkEnd w:id="11"/>
      <w:r>
        <w:rPr>
          <w:rFonts w:ascii="Times New Roman" w:hAnsi="Times New Roman"/>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SPV Credit Facility, and the Notes as of March 31, 2026 and December 31,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0"/>
        <w:gridCol w:w="146"/>
        <w:gridCol w:w="217"/>
        <w:gridCol w:w="669"/>
        <w:gridCol w:w="166"/>
        <w:gridCol w:w="146"/>
        <w:gridCol w:w="196"/>
        <w:gridCol w:w="511"/>
        <w:gridCol w:w="166"/>
        <w:gridCol w:w="146"/>
        <w:gridCol w:w="196"/>
        <w:gridCol w:w="571"/>
        <w:gridCol w:w="166"/>
        <w:gridCol w:w="146"/>
        <w:gridCol w:w="196"/>
        <w:gridCol w:w="601"/>
        <w:gridCol w:w="166"/>
        <w:gridCol w:w="146"/>
        <w:gridCol w:w="226"/>
        <w:gridCol w:w="660"/>
        <w:gridCol w:w="166"/>
        <w:gridCol w:w="146"/>
        <w:gridCol w:w="196"/>
        <w:gridCol w:w="511"/>
        <w:gridCol w:w="166"/>
        <w:gridCol w:w="146"/>
        <w:gridCol w:w="196"/>
        <w:gridCol w:w="571"/>
        <w:gridCol w:w="166"/>
        <w:gridCol w:w="146"/>
        <w:gridCol w:w="196"/>
        <w:gridCol w:w="601"/>
        <w:gridCol w:w="211"/>
      </w:tblGrid>
      <w:tr>
        <w:trPr/>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SPV</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SPV</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commitment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leverage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SPV Credit Facility upfront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underwriting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Unamortized deferred financing costs are presented as a direct offset to the SBA debentures, the SPV Credit Facility and the Notes liabilities on the consolidated statements of assets and liabilities. The following table summarizes the outstanding debt net of unamortized deferred financing costs as of March 31, 2026 and December 31, 2025:</w:t>
      </w:r>
    </w:p>
    <w:p>
      <w:pPr>
        <w:pStyle w:val="TextBody"/>
        <w:bidi w:val="0"/>
        <w:jc w:val="both"/>
        <w:rPr/>
      </w:pPr>
      <w:r>
        <w:rPr/>
        <w:t> </w:t>
      </w:r>
    </w:p>
    <w:tbl>
      <w:tblPr>
        <w:tblW w:w="10418" w:type="dxa"/>
        <w:jc w:val="left"/>
        <w:tblInd w:w="0" w:type="dxa"/>
        <w:tblLayout w:type="fixed"/>
        <w:tblCellMar>
          <w:top w:w="28" w:type="dxa"/>
          <w:left w:w="28" w:type="dxa"/>
          <w:bottom w:w="28" w:type="dxa"/>
          <w:right w:w="28" w:type="dxa"/>
        </w:tblCellMar>
      </w:tblPr>
      <w:tblGrid>
        <w:gridCol w:w="961"/>
        <w:gridCol w:w="146"/>
        <w:gridCol w:w="196"/>
        <w:gridCol w:w="691"/>
        <w:gridCol w:w="166"/>
        <w:gridCol w:w="146"/>
        <w:gridCol w:w="196"/>
        <w:gridCol w:w="601"/>
        <w:gridCol w:w="166"/>
        <w:gridCol w:w="146"/>
        <w:gridCol w:w="196"/>
        <w:gridCol w:w="691"/>
        <w:gridCol w:w="166"/>
        <w:gridCol w:w="146"/>
        <w:gridCol w:w="196"/>
        <w:gridCol w:w="691"/>
        <w:gridCol w:w="166"/>
        <w:gridCol w:w="146"/>
        <w:gridCol w:w="196"/>
        <w:gridCol w:w="691"/>
        <w:gridCol w:w="166"/>
        <w:gridCol w:w="146"/>
        <w:gridCol w:w="196"/>
        <w:gridCol w:w="601"/>
        <w:gridCol w:w="166"/>
        <w:gridCol w:w="146"/>
        <w:gridCol w:w="196"/>
        <w:gridCol w:w="691"/>
        <w:gridCol w:w="166"/>
        <w:gridCol w:w="146"/>
        <w:gridCol w:w="196"/>
        <w:gridCol w:w="691"/>
        <w:gridCol w:w="21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March 31, 2026</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December 31, 2025</w:t>
            </w:r>
            <w:r>
              <w:rPr>
                <w:rFonts w:ascii="Times New Roman" w:hAnsi="Times New Roman"/>
                <w:b/>
                <w:color w:val="000000"/>
                <w:sz w:val="11"/>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SPV</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SPV</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670,650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net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253,181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82,087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321,241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230,557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320,891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632,075</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Total excludes $11,594</w:t>
      </w:r>
      <w:r>
        <w:rPr>
          <w:rFonts w:ascii="Times New Roman" w:hAnsi="Times New Roman"/>
          <w:color w:val="000000"/>
          <w:sz w:val="20"/>
        </w:rPr>
        <w:t xml:space="preserve"> </w:t>
      </w:r>
      <w:r>
        <w:rPr>
          <w:rFonts w:ascii="Times New Roman" w:hAnsi="Times New Roman"/>
          <w:color w:val="000000"/>
          <w:sz w:val="16"/>
        </w:rPr>
        <w:t>and $12,000</w:t>
      </w:r>
      <w:r>
        <w:rPr>
          <w:rFonts w:ascii="Times New Roman" w:hAnsi="Times New Roman"/>
          <w:color w:val="000000"/>
          <w:sz w:val="20"/>
        </w:rPr>
        <w:t xml:space="preserve"> </w:t>
      </w:r>
      <w:r>
        <w:rPr>
          <w:rFonts w:ascii="Times New Roman" w:hAnsi="Times New Roman"/>
          <w:color w:val="000000"/>
          <w:sz w:val="16"/>
        </w:rPr>
        <w:t>of Secured Borrowings as of March 31, 2026 and December 31, 2025, respectively.</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March 31, 2026, the Company’s debt liabilities are scheduled to mature as follows </w:t>
      </w:r>
      <w:r>
        <w:rPr>
          <w:rFonts w:ascii="Times New Roman" w:hAnsi="Times New Roman"/>
          <w:color w:val="000000"/>
          <w:sz w:val="13"/>
        </w:rPr>
        <w:t>(1)</w:t>
      </w:r>
      <w:r>
        <w:rPr>
          <w:rFonts w:ascii="Times New Roman" w:hAnsi="Times New Roman"/>
          <w:color w:val="000000"/>
          <w:sz w:val="20"/>
        </w:rPr>
        <w:t>:</w:t>
      </w:r>
    </w:p>
    <w:p>
      <w:pPr>
        <w:pStyle w:val="TextBody"/>
        <w:bidi w:val="0"/>
        <w:jc w:val="left"/>
        <w:rPr/>
      </w:pPr>
      <w:r>
        <w:rPr/>
        <w:t> </w:t>
      </w:r>
    </w:p>
    <w:tbl>
      <w:tblPr>
        <w:tblW w:w="7572" w:type="dxa"/>
        <w:jc w:val="left"/>
        <w:tblInd w:w="0" w:type="dxa"/>
        <w:tblLayout w:type="fixed"/>
        <w:tblCellMar>
          <w:top w:w="28" w:type="dxa"/>
          <w:left w:w="28" w:type="dxa"/>
          <w:bottom w:w="28" w:type="dxa"/>
          <w:right w:w="28" w:type="dxa"/>
        </w:tblCellMar>
      </w:tblPr>
      <w:tblGrid>
        <w:gridCol w:w="946"/>
        <w:gridCol w:w="146"/>
        <w:gridCol w:w="223"/>
        <w:gridCol w:w="828"/>
        <w:gridCol w:w="146"/>
        <w:gridCol w:w="146"/>
        <w:gridCol w:w="232"/>
        <w:gridCol w:w="743"/>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682,244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 xml:space="preserve">The SPV Credit Facility matures on October 16, 2030.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The Company had outstanding commitments to portfolio companies to fund various undrawn revolving loans, other debt investments and capital commitments totaling $28,252 and $37,181 as of March 31, 2026 and December 31, 2025, respectively. Such outstanding commitments are summarized in the following table:</w:t>
      </w:r>
    </w:p>
    <w:tbl>
      <w:tblPr>
        <w:tblW w:w="10205" w:type="dxa"/>
        <w:jc w:val="left"/>
        <w:tblInd w:w="0" w:type="dxa"/>
        <w:tblLayout w:type="fixed"/>
        <w:tblCellMar>
          <w:top w:w="28" w:type="dxa"/>
          <w:left w:w="28" w:type="dxa"/>
          <w:bottom w:w="28" w:type="dxa"/>
          <w:right w:w="28" w:type="dxa"/>
        </w:tblCellMar>
      </w:tblPr>
      <w:tblGrid>
        <w:gridCol w:w="4642"/>
        <w:gridCol w:w="146"/>
        <w:gridCol w:w="258"/>
        <w:gridCol w:w="793"/>
        <w:gridCol w:w="146"/>
        <w:gridCol w:w="146"/>
        <w:gridCol w:w="257"/>
        <w:gridCol w:w="794"/>
        <w:gridCol w:w="146"/>
        <w:gridCol w:w="146"/>
        <w:gridCol w:w="258"/>
        <w:gridCol w:w="793"/>
        <w:gridCol w:w="146"/>
        <w:gridCol w:w="146"/>
        <w:gridCol w:w="257"/>
        <w:gridCol w:w="794"/>
        <w:gridCol w:w="146"/>
        <w:gridCol w:w="191"/>
      </w:tblGrid>
      <w:tr>
        <w:trPr/>
        <w:tc>
          <w:tcPr>
            <w:tcW w:w="4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Acendre Midco, Inc.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 Info Parent, Inc. (dba MediaRadar)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 Burners, Inc. - Common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Axis Medical Technologies LLC (dba MoveMedical)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Bobcat of Connecticut, LLC - Common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Detechtion Holdings, LLC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Detechtion Holdings,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Asset Management FM Purchaser, Inc. (dba MCIM)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Fishbowl Solutions,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KG Lawn Care, Inc. (dba King Green)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Laboratory Testing,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Mayesh Wholesale Florist, LLC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NWS Technologies,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PayEntry Financial Services, Inc. (dba Payentry) - Second Lien (DDTL 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PayEntry Financial Services, Inc. (dba Payentry) - Second Lien (DDTL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PIPCO,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Pronto Plumbing &amp; Drain, Inc.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Tedia Company,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Thrust Flight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True Environmental Inc.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VMS MSO, LLC (dba Vytal Health Partners)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W50 Holdings, LLC - Preferred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Waterworks Solutions Acquisition, Inc. (dba CITCO Water)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43,211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Additional detail for each of the commitments above is provided in the Company’s consolidated schedules of investments. As of March 31, 2026 and December 31, 2025, the Company had sufficient liquidity coverage to satisfy these unfunded commitments. Cash and cash equivalents were $49,684 and $69,995 and available borrowings, subject to borrowing base restrictions, under the SPV Credit Facility were $139,850 and $141,150 as of March 31, 2026 and December 31, 2025, respectively.</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jc w:val="both"/>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283"/>
        <w:jc w:val="both"/>
        <w:rPr>
          <w:rFonts w:ascii="Times New Roman" w:hAnsi="Times New Roman"/>
          <w:sz w:val="20"/>
        </w:rPr>
      </w:pPr>
      <w:bookmarkStart w:id="12" w:name="fis_unidentified_table_14"/>
      <w:bookmarkEnd w:id="12"/>
      <w:r>
        <w:rPr>
          <w:rFonts w:ascii="Times New Roman" w:hAnsi="Times New Roman"/>
          <w:i/>
          <w:color w:val="000000"/>
          <w:sz w:val="20"/>
        </w:rPr>
        <w:t>Legal proceedings:</w:t>
      </w:r>
      <w:r>
        <w:rPr>
          <w:rFonts w:ascii="Times New Roman" w:hAnsi="Times New Roman"/>
          <w:color w:val="000000"/>
          <w:sz w:val="20"/>
        </w:rPr>
        <w:t xml:space="preserve"> 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Public Offerings of Common Stock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summarizes the cumulative total shares issued, net proceeds received, and weighted average offering price in public offerings of the Company’s common stock since the IPO in June 2011, except for the issuances under the ATM Program as described further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5"/>
        <w:gridCol w:w="146"/>
        <w:gridCol w:w="224"/>
        <w:gridCol w:w="1413"/>
        <w:gridCol w:w="146"/>
        <w:gridCol w:w="146"/>
        <w:gridCol w:w="328"/>
        <w:gridCol w:w="1157"/>
        <w:gridCol w:w="146"/>
        <w:gridCol w:w="146"/>
        <w:gridCol w:w="831"/>
        <w:gridCol w:w="2176"/>
        <w:gridCol w:w="146"/>
        <w:gridCol w:w="146"/>
        <w:gridCol w:w="446"/>
        <w:gridCol w:w="1168"/>
        <w:gridCol w:w="195"/>
      </w:tblGrid>
      <w:tr>
        <w:trPr/>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Cumulative Underwriting Fees and Commissions and Offering Costs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Offering Price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since IPO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14,388,414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On March 2, 2026, the Company increased the maximum amount of shares to be sold through the ATM Program to $400,000 from $300,000. The gross proceeds raised, the related sales agent commissions and the offering expenses, the net proceeds raised, and the average price at which shares were issued under the ATM Program for the three months ended March 31, 2026 and 2025 are as follows:</w:t>
      </w:r>
    </w:p>
    <w:tbl>
      <w:tblPr>
        <w:tblW w:w="9022" w:type="dxa"/>
        <w:jc w:val="left"/>
        <w:tblInd w:w="0" w:type="dxa"/>
        <w:tblLayout w:type="fixed"/>
        <w:tblCellMar>
          <w:top w:w="28" w:type="dxa"/>
          <w:left w:w="28" w:type="dxa"/>
          <w:bottom w:w="28" w:type="dxa"/>
          <w:right w:w="28" w:type="dxa"/>
        </w:tblCellMar>
      </w:tblPr>
      <w:tblGrid>
        <w:gridCol w:w="3016"/>
        <w:gridCol w:w="146"/>
        <w:gridCol w:w="146"/>
        <w:gridCol w:w="826"/>
        <w:gridCol w:w="146"/>
        <w:gridCol w:w="146"/>
        <w:gridCol w:w="203"/>
        <w:gridCol w:w="533"/>
        <w:gridCol w:w="146"/>
        <w:gridCol w:w="146"/>
        <w:gridCol w:w="196"/>
        <w:gridCol w:w="601"/>
        <w:gridCol w:w="146"/>
        <w:gridCol w:w="146"/>
        <w:gridCol w:w="370"/>
        <w:gridCol w:w="711"/>
        <w:gridCol w:w="146"/>
        <w:gridCol w:w="146"/>
        <w:gridCol w:w="225"/>
        <w:gridCol w:w="690"/>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Underwriting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Proceeds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97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081"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915"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January 1, 2025 through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1,019,812</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20,987</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7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20,672</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0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January 1, 2026 through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Net proceeds exclude amortization of deferred equity financing costs.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Cumulative to March 31, 2026, the Company has sold 13,300,342 shares of common stock under the ATM Program at a weighted-average price of $19.94, raising $265,226 of gross proceeds. Net proceeds were $261,838 after commissions to the sales agents on shares sold. As of March 31, 2026, the Company had $134,774 available under the ATM Program.</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described in Note 2. Significant Accounting Policies, the Company has a Stock Repurchase Program under which the Company may acquire up to $5,000 of its outstanding common stock. The Company did not make any repurchases of common stock during the three months ended March 31, 2026 and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DRIP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issued zero and 36,245 shares of common stock under the DRIP during the three months ended March 31, 2026 and 2025, respectively. Refer to Note 9. Dividends and Distributions for additional information regarding the issuance of shares under the DRIP.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had 37,954,364 and 37,954,364 shares of common stock outstanding as of March 31, 2026 and December 31, 2025, respectively.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jc w:val="both"/>
        <w:rPr>
          <w:rFonts w:ascii="Times New Roman" w:hAnsi="Times New Roman"/>
          <w:color w:val="000000"/>
          <w:sz w:val="20"/>
        </w:rPr>
      </w:pPr>
      <w:r>
        <w:rPr>
          <w:rFonts w:ascii="Times New Roman" w:hAnsi="Times New Roman"/>
          <w:color w:val="000000"/>
          <w:sz w:val="20"/>
        </w:rPr>
        <w:t>The Company’s dividends and distributions are recorded on the record date. The following table summarizes the dividends paid during the last two fiscal years and for the three months ended March 31,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23"/>
        <w:gridCol w:w="146"/>
        <w:gridCol w:w="707"/>
        <w:gridCol w:w="146"/>
        <w:gridCol w:w="746"/>
        <w:gridCol w:w="146"/>
        <w:gridCol w:w="226"/>
        <w:gridCol w:w="470"/>
        <w:gridCol w:w="146"/>
        <w:gridCol w:w="146"/>
        <w:gridCol w:w="230"/>
        <w:gridCol w:w="671"/>
        <w:gridCol w:w="146"/>
        <w:gridCol w:w="146"/>
        <w:gridCol w:w="230"/>
        <w:gridCol w:w="671"/>
        <w:gridCol w:w="146"/>
        <w:gridCol w:w="146"/>
        <w:gridCol w:w="181"/>
        <w:gridCol w:w="451"/>
        <w:gridCol w:w="146"/>
        <w:gridCol w:w="214"/>
        <w:gridCol w:w="146"/>
        <w:gridCol w:w="601"/>
        <w:gridCol w:w="146"/>
        <w:gridCol w:w="214"/>
        <w:gridCol w:w="176"/>
        <w:gridCol w:w="545"/>
        <w:gridCol w:w="197"/>
      </w:tblGrid>
      <w:tr>
        <w:trPr/>
        <w:tc>
          <w:tcPr>
            <w:tcW w:w="1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DRIP</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Record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Issue Price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2/13/2024 </w:t>
            </w: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4/29/2024 </w:t>
            </w: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7/29/2024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7/29/2024 </w:t>
            </w: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10/28/2024 </w:t>
            </w: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Year Ended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2/18/2025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5/5/2025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5/5/2025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8/4/2025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8/4/2025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11/3/2025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2/17/2026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2/17/2026 </w:t>
            </w: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Except for the shares issued pursuant to the DRIP as reflected in the table above, during the three months ended March 31, 2026 and the years ended December 31, 2025 and 2024,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2024 through March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2024 through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2024 through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2024 through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2025 through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 through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2025 through September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2025 through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2026 through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180" w:after="283"/>
        <w:jc w:val="both"/>
        <w:rPr>
          <w:rFonts w:ascii="Times New Roman" w:hAnsi="Times New Roman"/>
          <w:color w:val="000000"/>
          <w:sz w:val="20"/>
        </w:rPr>
      </w:pPr>
      <w:bookmarkStart w:id="13" w:name="fis_unidentified_table_15"/>
      <w:bookmarkEnd w:id="13"/>
      <w:r>
        <w:rPr>
          <w:rFonts w:ascii="Times New Roman" w:hAnsi="Times New Roman"/>
          <w:color w:val="000000"/>
          <w:sz w:val="20"/>
        </w:rPr>
        <w:t>The following is a schedule of financial highlights for the three months ended March 31, 2026 and 2025:</w:t>
      </w:r>
    </w:p>
    <w:p>
      <w:pPr>
        <w:pStyle w:val="TextBody"/>
        <w:bidi w:val="0"/>
        <w:jc w:val="both"/>
        <w:rPr/>
      </w:pPr>
      <w:r>
        <w:rPr/>
        <w:t> </w:t>
      </w:r>
    </w:p>
    <w:tbl>
      <w:tblPr>
        <w:tblW w:w="8759" w:type="dxa"/>
        <w:jc w:val="left"/>
        <w:tblInd w:w="0" w:type="dxa"/>
        <w:tblLayout w:type="fixed"/>
        <w:tblCellMar>
          <w:top w:w="28" w:type="dxa"/>
          <w:left w:w="28" w:type="dxa"/>
          <w:bottom w:w="28" w:type="dxa"/>
          <w:right w:w="28" w:type="dxa"/>
        </w:tblCellMar>
      </w:tblPr>
      <w:tblGrid>
        <w:gridCol w:w="5266"/>
        <w:gridCol w:w="146"/>
        <w:gridCol w:w="211"/>
        <w:gridCol w:w="1036"/>
        <w:gridCol w:w="331"/>
        <w:gridCol w:w="146"/>
        <w:gridCol w:w="211"/>
        <w:gridCol w:w="1036"/>
        <w:gridCol w:w="37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 (loss) on investments, net of tax (provision)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unrealized appreciation (depreciation) on investments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Realized losses on extinguishment of debt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increase from investment operations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Accretive (dilutive) effect of share issuances and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37,954,364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34,970,709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37,954,364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34,077,720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net assets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 to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net asset value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Portfolio turnover ratio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debt outstanding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511,981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debt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Weighted average per share data.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 with the exception of income tax (provision) benefit from realized gains on investments.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net assets is calculated as the average of the net asset balances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Weighted average debt outstanding is calculated based upon the number of days that the total outstanding debt balances, including secured borrowings, are outstanding during the three months ended March 31, 2026 and 2025.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jc w:val="both"/>
        <w:rPr>
          <w:rFonts w:ascii="Times New Roman" w:hAnsi="Times New Roman"/>
          <w:color w:val="000000"/>
          <w:sz w:val="16"/>
        </w:rPr>
      </w:pPr>
      <w:r>
        <w:rPr>
          <w:rFonts w:ascii="Times New Roman" w:hAnsi="Times New Roman"/>
          <w:color w:val="000000"/>
          <w:sz w:val="16"/>
        </w:rPr>
        <w:t>The following are schedules of supplemental expense ratios to average net assets:</w:t>
      </w:r>
    </w:p>
    <w:p>
      <w:pPr>
        <w:pStyle w:val="TextBody"/>
        <w:bidi w:val="0"/>
        <w:jc w:val="both"/>
        <w:rPr/>
      </w:pPr>
      <w:r>
        <w:rPr/>
        <w:t> </w:t>
      </w:r>
    </w:p>
    <w:tbl>
      <w:tblPr>
        <w:tblW w:w="7031" w:type="dxa"/>
        <w:jc w:val="left"/>
        <w:tblInd w:w="0" w:type="dxa"/>
        <w:tblLayout w:type="fixed"/>
        <w:tblCellMar>
          <w:top w:w="28" w:type="dxa"/>
          <w:left w:w="28" w:type="dxa"/>
          <w:bottom w:w="28" w:type="dxa"/>
          <w:right w:w="28" w:type="dxa"/>
        </w:tblCellMar>
      </w:tblPr>
      <w:tblGrid>
        <w:gridCol w:w="3781"/>
        <w:gridCol w:w="146"/>
        <w:gridCol w:w="248"/>
        <w:gridCol w:w="792"/>
        <w:gridCol w:w="460"/>
        <w:gridCol w:w="248"/>
        <w:gridCol w:w="248"/>
        <w:gridCol w:w="792"/>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Expenses other than incentive fee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Incentive fee, net of incentive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811" w:type="dxa"/>
        <w:jc w:val="left"/>
        <w:tblInd w:w="0" w:type="dxa"/>
        <w:tblLayout w:type="fixed"/>
        <w:tblCellMar>
          <w:top w:w="28" w:type="dxa"/>
          <w:left w:w="28" w:type="dxa"/>
          <w:bottom w:w="28" w:type="dxa"/>
          <w:right w:w="28" w:type="dxa"/>
        </w:tblCellMar>
      </w:tblPr>
      <w:tblGrid>
        <w:gridCol w:w="4501"/>
        <w:gridCol w:w="146"/>
        <w:gridCol w:w="239"/>
        <w:gridCol w:w="764"/>
        <w:gridCol w:w="543"/>
        <w:gridCol w:w="239"/>
        <w:gridCol w:w="239"/>
        <w:gridCol w:w="764"/>
        <w:gridCol w:w="3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before base management fee waiver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management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6"/>
        </w:rPr>
      </w:pPr>
      <w:r>
        <w:rPr>
          <w:rFonts w:ascii="Times New Roman" w:hAnsi="Times New Roman"/>
          <w:color w:val="000000"/>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April 8, 2026, the Company invested $21,500 in first lien debt in PureCars Technologies, LLC, a leading AI-enabled customer data management platform for automotive dealers and original equipment manufacturers.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28, 2026, the Company issued an additional $3,000 in SBA debentures, which will bear interest at a fixed interim interest rate of 4.589% until the pooling date in September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4, 2026, the Board declared a regular quarterly dividend of $0.43 per share and a supplemental dividend of $0.19 per share payable on June 29, 2026, to stockholders of record as of June 16,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i/>
          <w:color w:val="000000"/>
          <w:sz w:val="20"/>
        </w:rPr>
        <w:t>results of operations should be read in conjunction with Fidus Investment Corporation’s consolidated financial statements and related notes appearing</w:t>
      </w:r>
      <w:r>
        <w:rPr>
          <w:rFonts w:ascii="Times New Roman" w:hAnsi="Times New Roman"/>
          <w:color w:val="000000"/>
          <w:sz w:val="20"/>
        </w:rPr>
        <w:t xml:space="preserve"> </w:t>
      </w:r>
      <w:r>
        <w:rPr>
          <w:rFonts w:ascii="Times New Roman" w:hAnsi="Times New Roman"/>
          <w:i/>
          <w:color w:val="000000"/>
          <w:sz w:val="20"/>
        </w:rPr>
        <w:t>in our annual report on Form 10-K for the year ended December 31, 2025, filed with the SEC on February 26, 2026. The</w:t>
      </w:r>
      <w:r>
        <w:rPr>
          <w:rFonts w:ascii="Times New Roman" w:hAnsi="Times New Roman"/>
          <w:color w:val="000000"/>
          <w:sz w:val="20"/>
        </w:rPr>
        <w:t xml:space="preserve"> </w:t>
      </w:r>
      <w:r>
        <w:rPr>
          <w:rFonts w:ascii="Times New Roman" w:hAnsi="Times New Roman"/>
          <w:i/>
          <w:color w:val="000000"/>
          <w:sz w:val="20"/>
        </w:rPr>
        <w:t>information contained in this section should also be read in conjunction with</w:t>
      </w:r>
      <w:r>
        <w:rPr>
          <w:rFonts w:ascii="Times New Roman" w:hAnsi="Times New Roman"/>
          <w:color w:val="000000"/>
          <w:sz w:val="20"/>
        </w:rPr>
        <w:t xml:space="preserve"> </w:t>
      </w:r>
      <w:r>
        <w:rPr>
          <w:rFonts w:ascii="Times New Roman" w:hAnsi="Times New Roman"/>
          <w:i/>
          <w:color w:val="000000"/>
          <w:sz w:val="20"/>
        </w:rPr>
        <w:t>our unaudited consolidated financial statements and related notes thereto</w:t>
      </w:r>
      <w:r>
        <w:rPr>
          <w:rFonts w:ascii="Times New Roman" w:hAnsi="Times New Roman"/>
          <w:color w:val="000000"/>
          <w:sz w:val="20"/>
        </w:rPr>
        <w:t xml:space="preserve"> </w:t>
      </w:r>
      <w:r>
        <w:rPr>
          <w:rFonts w:ascii="Times New Roman" w:hAnsi="Times New Roman"/>
          <w:i/>
          <w:color w:val="000000"/>
          <w:sz w:val="20"/>
        </w:rPr>
        <w:t>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future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financial and lending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prospects and the prospects of our portfolio companies, including our and their ability to achieve our respective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investments that we expect to make;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dependence of our future success on the general economy and its impact on the industries in which we invest;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its impacts on the ability of our portfolio companies to operate and the investment opportunities available to us;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impact of geopolitical conditions, including ongoing conflict between Ukraine and Russia, ongoing conflicts in the Middle East, the ongoing turmoil in Europe, and U.S. and China relations, and its impact on financial market volatility, global economic markets, and various sectors, industries and markets for commodities globally;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uncertainty associated with the imposition of tariffs and trade barriers and changes in trade policies and its impact on our portfolio companies and our financial condition;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expected financing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adequacy of our cash resources and working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timing of cash flows, if any, from the operations of our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the Investment Advisor to locate suitable investments for us and to monitor and administer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Investment Advisor to attract and retain highly talented professionals;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regulatory structure and tax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operate as a BDC and a RIC and each of the SBIC Funds to operate as an SBIC;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form and amount of any dividend distributions;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interest rate volatility and the elevated level of inflation on our business and portfolio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valuation of any investments in portfolio companies, particularly those having no liquid trading market;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recover unrealized losses.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contraction of available credit and/or an inability to access the equity markets could impair our lending and investment activities;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interest rate vo</w:t>
      </w:r>
      <w:r>
        <w:rPr>
          <w:rFonts w:ascii="Times New Roman" w:hAnsi="Times New Roman"/>
          <w:color w:val="000000"/>
          <w:sz w:val="20"/>
          <w:u w:val="single"/>
        </w:rPr>
        <w:t>l</w:t>
      </w:r>
      <w:r>
        <w:rPr>
          <w:rFonts w:ascii="Times New Roman" w:hAnsi="Times New Roman"/>
          <w:color w:val="000000"/>
          <w:sz w:val="20"/>
        </w:rPr>
        <w:t>atility could adversely affect our results, particularly because we use leverage as part of our investment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risks, uncertainties and other factors we identify in Item 1A. – Risk Factors contained in our Annual Report on Form 10-K for the year ended December 31, 2025, elsewhere in this Quarterly Report on Form 10-Q and in our other filings with the SEC.</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hAnsi="Times New Roman"/>
          <w:i/>
          <w:color w:val="000000"/>
          <w:sz w:val="20"/>
        </w:rPr>
        <w:t>Item 1.A – Risk Factors</w:t>
      </w:r>
      <w:r>
        <w:rPr>
          <w:rFonts w:ascii="Times New Roman" w:hAnsi="Times New Roman"/>
          <w:color w:val="000000"/>
          <w:sz w:val="20"/>
        </w:rPr>
        <w:t xml:space="preserve"> contained in our Annual Report on Form 10-K for the year ended December 31, 2025, filed with the SEC on February 26, 2026. You should not place undue reliance on these forward-looking statements, which apply only as of the date of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General and Corporate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FIC was formed as a Maryland corporation on February 14, 2011. We completed our initial public offering, or IPO, in June 2011. On June 20, 2011, FIC acquired all of the limited partnership interests of Fidus Mezzanine Capital, L.P. (“Fund I”) and membership interests of Fidus Mezzanine Capital GP, LLC, its general partner, resulting in Fund I becoming our wholly-owned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We commenced operations of Fidus Mezzanine Capital II, L.P. (“Fund II”), Fidus Mezzanine Capital III, L.P. (“Fund III”), and Fidus Mezzanine Capital IV, L.P. (“Fund IV” and together with Fund III, the “SBIC Funds”), each a wholly owned subsidiary, on March 29, 2013, April 18, 2018, and November 28,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certain wholly-owned subsidiaries (the “Taxable Subsidiaries”), each of which generally holds one or more of our portfolio investments listed on the consolidated schedules of investments, and have elected to be treated as corporations for U.S. federal income tax purposes and are thus subject to U.S. federal income tax imposed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classified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income tax purposes, and each Taxable Subsidiary will be subject to U.S. federal income tax on its taxable income. Any such income or expense is reflected in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First Lien Debt.</w:t>
      </w:r>
      <w:r>
        <w:rPr>
          <w:rFonts w:ascii="Times New Roman" w:hAnsi="Times New Roman"/>
          <w:color w:val="000000"/>
          <w:sz w:val="20"/>
        </w:rPr>
        <w:t xml:space="preserve">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i/>
          <w:color w:val="000000"/>
          <w:sz w:val="20"/>
        </w:rPr>
        <w:t>Second Lien Debt.</w:t>
      </w:r>
      <w:r>
        <w:rPr>
          <w:rFonts w:ascii="Times New Roman" w:hAnsi="Times New Roman"/>
          <w:color w:val="000000"/>
          <w:sz w:val="20"/>
        </w:rPr>
        <w:t xml:space="preserve"> 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 </w:t>
      </w:r>
    </w:p>
    <w:p>
      <w:pPr>
        <w:pStyle w:val="TextBody"/>
        <w:bidi w:val="0"/>
        <w:spacing w:before="0" w:after="18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60" w:after="18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payable on debt, if any, incurred to finance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offerings of our common stock and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advisory fees and management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transfer agent, dividend agent and custodial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costs of registration and listing our shares on any securities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preparing and filing reports or other documents required by the SEC or other regulators including printing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and mailing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allocable portion of any fidelity bond, directors and officers/errors and omissions liability insurance, and any other insurance premiums;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proxy voting expenses;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other expenses reasonably incurred by us or the Investment Advisor in connection with administering our business.</w:t>
      </w:r>
    </w:p>
    <w:p>
      <w:pPr>
        <w:pStyle w:val="TextBody"/>
        <w:bidi w:val="0"/>
        <w:spacing w:before="180" w:after="283"/>
        <w:jc w:val="left"/>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2026 and 2025, we invested $118.6 million and $115.6 million, respectively, in debt and equity investments including two and seven new portfolio companies, respectively. During the three months ended March 31, 2026 and 2025, we received proceeds from sales or repayments, including principal, return of capital dividends and net realized gains (losses), of $73.1 million and $57.3 million, respectively, including an exit of one portfolio company and two portfolio companies, respectively. The following table summarizes purchases of investments and sales and repayments of investments by type for the three months ended March 31, 2026 and 2025 (dollars in millions).</w:t>
      </w:r>
    </w:p>
    <w:tbl>
      <w:tblPr>
        <w:tblW w:w="10047" w:type="dxa"/>
        <w:jc w:val="left"/>
        <w:tblInd w:w="0" w:type="dxa"/>
        <w:tblLayout w:type="fixed"/>
        <w:tblCellMar>
          <w:top w:w="28" w:type="dxa"/>
          <w:left w:w="28" w:type="dxa"/>
          <w:bottom w:w="28" w:type="dxa"/>
          <w:right w:w="28" w:type="dxa"/>
        </w:tblCellMar>
      </w:tblPr>
      <w:tblGrid>
        <w:gridCol w:w="142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421"/>
        <w:gridCol w:w="146"/>
        <w:gridCol w:w="146"/>
        <w:gridCol w:w="146"/>
        <w:gridCol w:w="511"/>
        <w:gridCol w:w="241"/>
        <w:gridCol w:w="146"/>
        <w:gridCol w:w="146"/>
        <w:gridCol w:w="196"/>
        <w:gridCol w:w="421"/>
        <w:gridCol w:w="146"/>
        <w:gridCol w:w="146"/>
        <w:gridCol w:w="146"/>
        <w:gridCol w:w="511"/>
        <w:gridCol w:w="24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and Repayments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For the three months ended March 31, 2026 and 2025, first lien debt includes unitranche securities, which account for 48.0% and 51.5% of purchases, respectively. For the three months ended March 31, 2026 and 2025, first lien debt includes unitranche securities, which account for 18.4% and 1.0% of repayments,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2026, the fair value of our investment portfolio totaled $1.4 billion and consisted of 97 active portfolio companies and seven portfolio companies that have sold their underlying operations. As of March 31, 2026, 58 portfolio companies’ debt investments bore interest at a variable rate, which represented $884.0 million, or 72.5%, of our debt investment portfolio on a fair value basis, and the remainder of our debt investment portfolio was comprised of fixed-rate investments. Overall, the portfolio had net unrealized appreciation of $33.1 million as of March 31, 2026. As of March 31, 2026, our average active portfolio company investment at amortized cost was $13.8 million, which excludes investments in seven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the fair value of our investment portfolio totaled $1.3 billion and consisted of 97 active portfolio companies and six portfolio companies that have sold their underlying operations. As of December 31, 2025, 58 portfolio companies’ debt investments bore interest at a variable rate, which represented $890.1 million, or 75.3%, of our debt investment portfolio on a fair value basis, and the remainder of our debt investment portfolio was comprised of fixed-rate investments. Overall, the portfolio had net unrealized appreciation of $25.5 million as of December 31, 2025. As of December 31, 2025, our average active portfolio company investment at amortized cost was $13.4 million, which excludes investments in six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weighted average yield on debt investments as of March 31, 2026 and December 31, 2025 was 12.5% and 12.6%,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March 31, 2026 and December 31, 2025, including the accretion of OID and debt investment origination fees, but excluding investments on non-accrual status and investments recorded as a secured borrowing.</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The following table shows the portfolio composition by investment type at fair value and cost and as a percentage of total investments (dollars in millions):</w:t>
      </w:r>
    </w:p>
    <w:tbl>
      <w:tblPr>
        <w:tblW w:w="10392" w:type="dxa"/>
        <w:jc w:val="left"/>
        <w:tblInd w:w="0" w:type="dxa"/>
        <w:tblLayout w:type="fixed"/>
        <w:tblCellMar>
          <w:top w:w="28" w:type="dxa"/>
          <w:left w:w="28" w:type="dxa"/>
          <w:bottom w:w="28" w:type="dxa"/>
          <w:right w:w="28" w:type="dxa"/>
        </w:tblCellMar>
      </w:tblPr>
      <w:tblGrid>
        <w:gridCol w:w="1051"/>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Includes unitranche investments, which account for 50.0% and 51.3% of our portfolio on a fair value and cost basis as of March 31, 2026, respectively. Includes unitranche investments, which account for 48.3% and 49.3% of our portfolio on a fair value and cost basis as of December 31, 2025,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367" w:type="dxa"/>
        <w:jc w:val="left"/>
        <w:tblInd w:w="0" w:type="dxa"/>
        <w:tblLayout w:type="fixed"/>
        <w:tblCellMar>
          <w:top w:w="28" w:type="dxa"/>
          <w:left w:w="28" w:type="dxa"/>
          <w:bottom w:w="28" w:type="dxa"/>
          <w:right w:w="28" w:type="dxa"/>
        </w:tblCellMar>
      </w:tblPr>
      <w:tblGrid>
        <w:gridCol w:w="92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following table shows the detailed industry composition of our portfolio at fair value and cost as a percentage of total investments: </w:t>
      </w:r>
    </w:p>
    <w:tbl>
      <w:tblPr>
        <w:tblW w:w="8340" w:type="dxa"/>
        <w:jc w:val="left"/>
        <w:tblInd w:w="0" w:type="dxa"/>
        <w:tblLayout w:type="fixed"/>
        <w:tblCellMar>
          <w:top w:w="28" w:type="dxa"/>
          <w:left w:w="28" w:type="dxa"/>
          <w:bottom w:w="28" w:type="dxa"/>
          <w:right w:w="28" w:type="dxa"/>
        </w:tblCellMar>
      </w:tblPr>
      <w:tblGrid>
        <w:gridCol w:w="2701"/>
        <w:gridCol w:w="146"/>
        <w:gridCol w:w="190"/>
        <w:gridCol w:w="665"/>
        <w:gridCol w:w="241"/>
        <w:gridCol w:w="146"/>
        <w:gridCol w:w="242"/>
        <w:gridCol w:w="853"/>
        <w:gridCol w:w="241"/>
        <w:gridCol w:w="146"/>
        <w:gridCol w:w="190"/>
        <w:gridCol w:w="665"/>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Distribution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Utilities: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Environmental Industries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Promotional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Cleaning &amp; Coatings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Product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Utility Equipment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Percentage is less than 0.1% of respective total.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Investment Rating 5 is used for investments performing substantially below our expectations and the risks have increased substantially since origination. We expect some loss of principal.</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also have observed, and continue to observe, supply chain disruptions, labor and resource shortages, commodity inflation, elements of financial market instability (including elevated interest rates), changes to U.S. tariff and trade policies and uncertainty relating to such changes, an uncertain economic outlook for the United States (which may include a recession), and elements of geopolitical instability (including the ongoing war in Ukraine, U.S. and China relations, and ongoing conflicts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March 31, 2026 and December 31, 2025 (dollars in millions):</w:t>
      </w:r>
    </w:p>
    <w:tbl>
      <w:tblPr>
        <w:tblW w:w="10257" w:type="dxa"/>
        <w:jc w:val="left"/>
        <w:tblInd w:w="0" w:type="dxa"/>
        <w:tblLayout w:type="fixed"/>
        <w:tblCellMar>
          <w:top w:w="28" w:type="dxa"/>
          <w:left w:w="28" w:type="dxa"/>
          <w:bottom w:w="28" w:type="dxa"/>
          <w:right w:w="28" w:type="dxa"/>
        </w:tblCellMar>
      </w:tblPr>
      <w:tblGrid>
        <w:gridCol w:w="91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Based on our investment rating system, the weighted average rating of our portfolio as of March 31, 2026 and December 31, 2025 was 2.0 and 2.0, respectively, on a fair value basis and 2.1 and 2.2, respectively, on a cost basis.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Non-Accrual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March 31, 2026 and December 31, 2025, we had debt investments in two portfolio companies on non-accrual status (dollars in millions), respectively.</w:t>
      </w:r>
    </w:p>
    <w:tbl>
      <w:tblPr>
        <w:tblW w:w="5564" w:type="dxa"/>
        <w:jc w:val="left"/>
        <w:tblInd w:w="0" w:type="dxa"/>
        <w:tblLayout w:type="fixed"/>
        <w:tblCellMar>
          <w:top w:w="28" w:type="dxa"/>
          <w:left w:w="28" w:type="dxa"/>
          <w:bottom w:w="28" w:type="dxa"/>
          <w:right w:w="28" w:type="dxa"/>
        </w:tblCellMar>
      </w:tblPr>
      <w:tblGrid>
        <w:gridCol w:w="1681"/>
        <w:gridCol w:w="146"/>
        <w:gridCol w:w="196"/>
        <w:gridCol w:w="346"/>
        <w:gridCol w:w="146"/>
        <w:gridCol w:w="226"/>
        <w:gridCol w:w="196"/>
        <w:gridCol w:w="421"/>
        <w:gridCol w:w="146"/>
        <w:gridCol w:w="226"/>
        <w:gridCol w:w="204"/>
        <w:gridCol w:w="345"/>
        <w:gridCol w:w="152"/>
        <w:gridCol w:w="152"/>
        <w:gridCol w:w="204"/>
        <w:gridCol w:w="440"/>
        <w:gridCol w:w="14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The Company exited its debt investment in such portfolio company and did not hold such investment as of March 31, 2026.</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three months ended March 31, 2026 and 2025</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Below is a summary of the changes in total investment income for the three months ended March 31, 2026 as compared to the same period in 2025 (dollars in millions, percent change calculated based on underlying dollar amounts in thousands):</w:t>
      </w:r>
    </w:p>
    <w:tbl>
      <w:tblPr>
        <w:tblW w:w="7831" w:type="dxa"/>
        <w:jc w:val="left"/>
        <w:tblInd w:w="0" w:type="dxa"/>
        <w:tblLayout w:type="fixed"/>
        <w:tblCellMar>
          <w:top w:w="28" w:type="dxa"/>
          <w:left w:w="28" w:type="dxa"/>
          <w:bottom w:w="28" w:type="dxa"/>
          <w:right w:w="28" w:type="dxa"/>
        </w:tblCellMar>
      </w:tblPr>
      <w:tblGrid>
        <w:gridCol w:w="2386"/>
        <w:gridCol w:w="146"/>
        <w:gridCol w:w="308"/>
        <w:gridCol w:w="662"/>
        <w:gridCol w:w="229"/>
        <w:gridCol w:w="229"/>
        <w:gridCol w:w="308"/>
        <w:gridCol w:w="662"/>
        <w:gridCol w:w="146"/>
        <w:gridCol w:w="146"/>
        <w:gridCol w:w="252"/>
        <w:gridCol w:w="544"/>
        <w:gridCol w:w="166"/>
        <w:gridCol w:w="146"/>
        <w:gridCol w:w="256"/>
        <w:gridCol w:w="899"/>
        <w:gridCol w:w="34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2026, total investment income was $47.5 million, an increase of $11.0 million or 30.2%, from $36.5 million of total investment income for the three months ended March 31, 2025.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$4.8 million increase in total interest income (which includes payment-in-kind (“PIK”) interest income) resulting from an increase in average debt investment balances, partially offset by a decrease in weighted average yield on debt investment balances outstanding during 2026 as compared to the same period in 2025.</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$0.9 million decrease in dividend income due to a decrease in distributions received from equity investments, during 2026 as compared to the same period in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$6.8 million increase in fee income primarily related to a ‘one-time’ fee from a portfolio company debt refinancing, during 2026 as compared to the same period in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$0.3 million increase in interest on idle funds resulting from an increase in average cash balances outstanding during 2026 as compared to the same period in 2025.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three months ended March 31, 2026 as compared to the same period in 2025 (dollars in millions, percent change calculated based on underlying dollar amounts in thousands):</w:t>
      </w:r>
    </w:p>
    <w:tbl>
      <w:tblPr>
        <w:tblW w:w="10205" w:type="dxa"/>
        <w:jc w:val="left"/>
        <w:tblInd w:w="0" w:type="dxa"/>
        <w:tblLayout w:type="fixed"/>
        <w:tblCellMar>
          <w:top w:w="28" w:type="dxa"/>
          <w:left w:w="28" w:type="dxa"/>
          <w:bottom w:w="28" w:type="dxa"/>
          <w:right w:w="28" w:type="dxa"/>
        </w:tblCellMar>
      </w:tblPr>
      <w:tblGrid>
        <w:gridCol w:w="4953"/>
        <w:gridCol w:w="146"/>
        <w:gridCol w:w="286"/>
        <w:gridCol w:w="615"/>
        <w:gridCol w:w="242"/>
        <w:gridCol w:w="213"/>
        <w:gridCol w:w="286"/>
        <w:gridCol w:w="615"/>
        <w:gridCol w:w="146"/>
        <w:gridCol w:w="146"/>
        <w:gridCol w:w="265"/>
        <w:gridCol w:w="531"/>
        <w:gridCol w:w="166"/>
        <w:gridCol w:w="146"/>
        <w:gridCol w:w="224"/>
        <w:gridCol w:w="884"/>
        <w:gridCol w:w="341"/>
      </w:tblGrid>
      <w:tr>
        <w:trPr/>
        <w:tc>
          <w:tcPr>
            <w:tcW w:w="4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3"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(431.7</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 before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2026, total expenses, including income tax provision, were $22.9 million, an increase of $4.6 million or 25.2%, from the $18.3 million of total expenses, including income tax provision, for the three months ended March 31, 2025. As reflected in the table above, changes across the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$3.0 million increase in interest and financing expenses due to an increase the weighted average interest rate of our debt outstanding and an increase in average borrowings outstanding during 2026 as compared to the same period in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$1.0 million net increase in base management fee, including the base management fee waiver, due to higher average total assets during 2026 as compared to the same period in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$1.2 million increase in the income incentive fee due to an increase in pre-incentive fee net investment income during 2026 as compared to the same period in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$1.3 million decrease in the accrued capital gains incentive fee due to a net $6.2 million decrease in net gain on investments and realized losses on extinguishment of debt during 2026 as compared to the same period in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$0.4 million increase in professional fees due to an increase in legal, accounting and tax fees, and the write off of unutilized equity offering costs associated with our previous shelf registration statement.</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increased by $6.4 million, or 35.2%, to $24.6 million during the three months ended March 31, 2026 as compared to the same period in 2025, as a result of the $11.0 million increase in total investment income and the $4.6 million increase in total expenses, including base management fee waiver and income tax provision.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Net Gain (Loss) on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the three months ended March 31, 2026, the total net realized gain/(loss) on investments, before income tax (provision)/benefit, was $(12.2) million. Income tax (provision) benefit from realized gains on investments was $(0.1) million for the three months ended March 31, 2026. We realize a gain/(loss) on our equity investments primarily when we either sell our equity investment or the underlying portfolio company is sold. Realized gains (losses) for the three months ended March 31, 2026 are summarized below (dollars in millions):</w:t>
      </w:r>
    </w:p>
    <w:tbl>
      <w:tblPr>
        <w:tblW w:w="8800" w:type="dxa"/>
        <w:jc w:val="left"/>
        <w:tblInd w:w="0" w:type="dxa"/>
        <w:tblLayout w:type="fixed"/>
        <w:tblCellMar>
          <w:top w:w="28" w:type="dxa"/>
          <w:left w:w="28" w:type="dxa"/>
          <w:bottom w:w="28" w:type="dxa"/>
          <w:right w:w="28" w:type="dxa"/>
        </w:tblCellMar>
      </w:tblPr>
      <w:tblGrid>
        <w:gridCol w:w="4846"/>
        <w:gridCol w:w="146"/>
        <w:gridCol w:w="2311"/>
        <w:gridCol w:w="146"/>
        <w:gridCol w:w="328"/>
        <w:gridCol w:w="812"/>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Realization Event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CIH Intermediate,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Zonkd,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 CRM LLC (dba Dealer Holdings)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Parital sale of equity investment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Exchange of debt security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from realized gains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three months ended March 31, 2025, the total net realized gain/(loss) on investments, before income tax (provision)/benefit, was $13.3 million. Income tax (provision) benefit from realized gains on investments was $(1.8) million for the three months ended March 31, 2025. We realize a gain/(loss) on our equity investments primarily when we either sell our equity investment or the underlying portfolio company is sold. Realized gains (losses) for the three months ended March 31, 2025 are summarized below (dollars in millions):</w:t>
      </w:r>
    </w:p>
    <w:tbl>
      <w:tblPr>
        <w:tblW w:w="8571" w:type="dxa"/>
        <w:jc w:val="left"/>
        <w:tblInd w:w="0" w:type="dxa"/>
        <w:tblLayout w:type="fixed"/>
        <w:tblCellMar>
          <w:top w:w="28" w:type="dxa"/>
          <w:left w:w="28" w:type="dxa"/>
          <w:bottom w:w="28" w:type="dxa"/>
          <w:right w:w="28" w:type="dxa"/>
        </w:tblCellMar>
      </w:tblPr>
      <w:tblGrid>
        <w:gridCol w:w="4846"/>
        <w:gridCol w:w="146"/>
        <w:gridCol w:w="1936"/>
        <w:gridCol w:w="146"/>
        <w:gridCol w:w="362"/>
        <w:gridCol w:w="778"/>
        <w:gridCol w:w="166"/>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Realization Event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Healthfuse,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2026 and 2025, we recorded a net change in unrealized appreciation (depreciation) on investments attributable to the following (dollars in millions):</w:t>
      </w:r>
    </w:p>
    <w:p>
      <w:pPr>
        <w:pStyle w:val="TextBody"/>
        <w:bidi w:val="0"/>
        <w:spacing w:before="180" w:after="283"/>
        <w:jc w:val="both"/>
        <w:rPr/>
      </w:pPr>
      <w:r>
        <w:rPr/>
        <w:t> </w:t>
      </w:r>
    </w:p>
    <w:tbl>
      <w:tblPr>
        <w:tblW w:w="6520" w:type="dxa"/>
        <w:jc w:val="left"/>
        <w:tblInd w:w="0" w:type="dxa"/>
        <w:tblLayout w:type="fixed"/>
        <w:tblCellMar>
          <w:top w:w="28" w:type="dxa"/>
          <w:left w:w="28" w:type="dxa"/>
          <w:bottom w:w="28" w:type="dxa"/>
          <w:right w:w="28" w:type="dxa"/>
        </w:tblCellMar>
      </w:tblPr>
      <w:tblGrid>
        <w:gridCol w:w="3766"/>
        <w:gridCol w:w="146"/>
        <w:gridCol w:w="298"/>
        <w:gridCol w:w="595"/>
        <w:gridCol w:w="252"/>
        <w:gridCol w:w="222"/>
        <w:gridCol w:w="298"/>
        <w:gridCol w:w="732"/>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Exit, sale or restructuring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three months ended March 31, 2026 and 2025 was $19.9 million and $19.7 million, respectively, as a result of the events described above.</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2026, we had $49.7 million in cash and cash equivalents, $0.7 million in restricted cash, and our net assets totaled $742.0 million. We believe that our current cash and cash equivalents on hand, restricted cash, our SPV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debt and equity securities (including the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ATM Program (as defined below))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2026, we repaid $7.0 million of SBA debentures relating to Fund III that would have matured during the period March 1, 2033 through September 1, 2033. Our remaining outstanding SBA debentures begin to mature in 2029 and subsequent years through 2036,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 </w:t>
      </w:r>
    </w:p>
    <w:p>
      <w:pPr>
        <w:pStyle w:val="TextBody"/>
        <w:bidi w:val="0"/>
        <w:spacing w:before="18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2026, we experienced a net decrease in cash, cash equivalents and restricted cash in the amount of $29.2 million. During that period, we made net payments of $32.6 million of cash for operating activities, which included the funding of $118.6 million of investments that was partially offset by proceeds received from sales and repayments of investments of $73.1 million. During the same period, we received proceeds from the issuances of SBA debentures of $30.0 million, we repaid SBA debentures of $7.0 million relating to Fund III, received proceeds of $1.3 million from our SPV Credit Facility, received repayments of $0.4 million on our secured borrowings, paid cash dividends to stockholders of $19.7 million, and made payment of deferred financing costs related to our debt financings of $0.8 million.</w:t>
      </w:r>
    </w:p>
    <w:p>
      <w:pPr>
        <w:pStyle w:val="TextBody"/>
        <w:bidi w:val="0"/>
        <w:spacing w:before="18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anticipate that we will continue to fund our investment activities on a long-term basis through a combination of additional debt and equity capital.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Both Fund III and Fund IV are licensed to operate as an SBIC,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such SBIC Fund's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2026, Fund III and Fund IV had $139.5 million and $121.0 million outstanding SBA debentures, respectively. Subject to SBA regulatory requirements and approval of SBA debenture commitments, Fund IV may access up to $54.0 million of additional SBA debentures under the SBIC debenture program. For more information on the SBA debentures, please refer to Note 6. Debt to our consolidated financial statements.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16, 2014, we entered into a senior secured revolving credit agreement (as amended from time to time, the "Revolving Credit Agreement" and the senior secured revolving credit facility thereunder, the “Revolving Credit Facility”) with ING Capital LLC (“ING”), as the administrative agent, collateral agent, and lender. The Revolving Credit Facility was secured by certain portfolio investments held by us, except for the assets held by the SBIC Funds.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Concurrently with entering into the SPV Credit Agreement (as described below), on October 16, 2025, we terminated in full (i) the Revolving Credit Agreement and (ii) the amended and restated guarantee, pledge and security agreement, dated as of April 24, 2019 (as amended from time to time, the “Guarantee and Security Agreement”), by and among us, as borrower, the subsidiary guarantors party thereto, ING, as revolving administrative agent, each financing agent and designated indebtedness holder party thereto, and ING, as collateral agent. The Revolving Credit Agreement and the Guarantee and Security Agreement were terminated concurrently with the satisfaction of all our obligations and liabilities to the lending parties thereunder, including, without limitation, payments of principal and interest, other fees, breakage costs and other amounts owing to the lending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commitments available under the Revolving Credit Facility was $140.0 million. Under the Revolving Credit Agreement, we paid a commitment fee that varied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SPV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16, 2025, we entered into a credit and security agreement (the “SPV Credit Agreement”) relating to a special purpose vehicle credit facility (the “SPV Credit Facility”) by and among FIC Funding, LLC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March 31, 2026, we were in compliance in all material respects with the terms of the SPV Credit Agreement.</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unsecured notes described below are our direct unsecured obligations, rank pari passu with our other outstanding and future unsecured unsubordinated indebtedness and are effectively or structurally subordinated to all of our existing and future secured indebtedness, including borrowings under the SPV Credit Facility and the 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maturity date of the January 2026 Notes was January 31, 2026, and the January 2026 Notes bore interest at a rate of 4.75%. On May 21, 2025, we redeemed $25.0 million of the $125.0 million aggregate principal amount on the January 2026 Notes, resulting in a realized loss on extinguishment of debt of $0.1 million. On November 3, 2025, we fully redeemed the remaining $100.0 million in aggregate principal amount of the January 2026 Notes, resulting in a realized loss on extinguishment of debt of $0.1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we closed the offering of $125.0 million in aggregate principal amount of our 3.50% notes due 2026, or the “November 2026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March 31, 2026, the outstanding principal balance of the November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March 19, 2025, we closed the offering of $100.0 million in aggregate principal amount of our 6.75% notes due 2030, or the “Existing March 2030 Notes”. The total net proceeds to us from the Existing March 2030 Notes, based on a public offering price of 99.29954% of par, after deducting underwriting discounts of $2.0 million and offering expenses of $0.4 million, was $96.9 million. On October 3, 2025, we issued an additional $100.0 million in aggregate principal amount of the 6.75% notes due 2030 (the “Additional March 2030 Notes” and together with the Existing March 2030 Notes, the “March 2030 Notes”). The total net proceeds to us from the Additional March 2030 Notes, based on a public offering price of 100.705% of par, after deducting underwriting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discounts of $1.5 million and offering expenses of $0.3 million, was $98.9 million. The Additional March 2030 Notes are treated as a single series with the Existing March 2030 Notes under the indenture and have the same terms as the Initial March 2030 Notes (except the issue date, the offering price and the initial interest payment date). Upon issuance of the Additional March 2030 Notes, the outstanding aggregate principal amount of the March 2030 Notes was $200.0 million.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We do not intend to list the March 2030 Notes on any securities exchange or automated dealer quotation system.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2026, the carrying value of secured borrowings totaled $11.6 million and the fair value of the associated loans included in investments was $11.6 million. As of December 31, 2025, the carrying value of secured borrowings totaled $12.0 million and the fair value of the associated loans included in investments was $12.0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to our consolidated financial statements for more information). As a result, sale treatment was not permitted and these partial loan sales were treated as secured borrowings. The weighted average interest rate on our secured borrowings was approximately 7.882% and 7.917% as of March 31, 2026 and December 31, 2025,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2026, the weighted average stated interest rates for our SBA debentures and the Notes were 4.441% and 5.500%, respectively. As of March 31, 2026, we had $139.9 million of unutilized commitment under our SPV Credit Facility, and we were subject to a 0.500% fee on such amount. As of March 31, 2026, the weighted average stated interest rate on total debt outstanding was 5.234%.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of at least 150%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the SBIC Funds and any future SBIC subsidiary from the definition of senior securities in the 150% asset coverage requirement applicable to the Company under the 1940 Act, which, in turn, will enable us to fund more investments with debt capital.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11, 2025, our stockholders approved a proposal to authorize us to sell or otherwise issue common stock at a price below net asset value per share for a period of one year ending on the earlier of June 11, 2026 or the date of our 2026 Annual Meeting of Stockholders. Our stockholders specified that the cumulative number of shares sold pursuant to such authority during such period may not exceed 25% of our then outstanding common stock immediately prior to each such sale.</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On March 2, 2026, the Company increased the maximum amount of shares to be sold through the ATM Program to $400.0 million from $300.0 million. Cumulative to March 31, 2026, the Company has sold 13,300,342 shares of common stock under the ATM Program at a weighted-average price of $19.94, raising $265.2 million of gross proceeds. Net proceeds were $261.8 million after commissions to the sales agents on sales sold. As of March 31, 2026, the Company had $134.8 million available under the ATM Program.</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November 3, 2025, the Board extended the Stock Repurchase Program through December 31, 2026,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months ended March 31, 2026 and 2025. Refer to Note 8. Common Stock to our consolidated financial statements for additional information concerning stock repurchases.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With respect to investments for which market quotations are not readily available, our board of directors undertakes a multi-step valuation process each quarter, as described below: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consulted with the independent third-party valuation firm(s) in arriving at our determination of fair value for 21 and 21 of our portfolio company investments representing 28.7% and 26.7% of the total portfolio investments at fair value (exclusive of new portfolio company investments made during the three months ended March 31, 2026 and December 31, 2025, respectively) as of March 31, 2026 and December 31, 2025,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We follow the guidance in ASC 860, </w:t>
      </w:r>
      <w:r>
        <w:rPr>
          <w:rFonts w:ascii="Times New Roman" w:hAnsi="Times New Roman"/>
          <w:i/>
          <w:color w:val="000000"/>
          <w:sz w:val="20"/>
        </w:rPr>
        <w:t xml:space="preserve">Transfers and Servicing, </w:t>
      </w:r>
      <w:r>
        <w:rPr>
          <w:rFonts w:ascii="Times New Roman" w:hAnsi="Times New Roman"/>
          <w:color w:val="000000"/>
          <w:sz w:val="20"/>
        </w:rPr>
        <w:t xml:space="preserve">when accounting for loan (debt investment) participations, equity assignments and other partial loan sales. Such guidance requires a participation, assignment or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Related Party Transactions to our consolidated financial statements. The Investment Advisor, in consultation with the Board, agreed to voluntarily waive $0.1 million and $0.1 million of the base management fees on any assets accounted for as secured borrowings as defined under GAAP for the three months ended March 31, 2026 and 2025, respectively.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entered into the Administration Agreement with Fidus Investment Advisors to provide us with the office facilities and administrative services necessary to conduct day-to-day operations. See Note 5. Related Party Transactions to our consolidated financial statements.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entered into a license agreement with Fidus Partners, LLC, pursuant to which Fidus Partners, LLC has granted us a non-exclusive, royalty-free license to use the name “Fidus.”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the SBIC Funds and any future SBIC subsidiary from the definition of senior securities in the asset coverage requirement applicable to the Company under the 1940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While we may co-invest with investment entities managed by the Investment Advisor or its affiliates, to the extent permitted by the 1940 Act and the rules and regulations thereunder, the 1940 Act imposes significant limits on co-investment. Our Investment Advisor and its affiliates has received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color w:val="000000"/>
          <w:sz w:val="20"/>
        </w:rPr>
      </w:pPr>
      <w:r>
        <w:rPr>
          <w:rFonts w:ascii="Times New Roman" w:hAnsi="Times New Roman"/>
          <w:color w:val="000000"/>
          <w:sz w:val="20"/>
        </w:rPr>
        <w:t>On April 8, 2026 we invested $21.5 million in first lien debt in PureCars Technologies, LLC, a leading AI-enabled customer data management platform for automotive dealers and original equipment manufacturers.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28, 2026, we issued an additional $3.0 million in SBA debentures, which will bear interest at a fixed interim interest rate of 4.589% until the pooling date in September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4, 2026, our Board declared a regular quarterly dividend of $0.43 per share and a supplemental dividend of $0.19 per share payable on June 29, 2026, to stockholders of record as of June 16,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3_marketrisk"/>
      <w:bookmarkEnd w:id="1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Changes in interest rates affect both our cost of funding and the valuation of our investment portfolio. Uncertainty with respect to interest rates, inflationary pressures, geopolitical conditions, and new tariffs and trade barriers,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our investment income may also be affected by changes in various interest rates, including SOFR and prime rates, to the extent of any debt investments that include floating interest rates. The Federal Reserve reduced interest rates by 0.25% in each of September, October and December of 2025, bringing the benchmark rate to the 3.50% to 3.75% range. The Federal Reserve maintained this range at its January 2026, March 2026, and April 2026 meetings. In considering the extent and timing of additional rate cuts in the future, the Federal Reserve stated that it will carefully assess incoming data relating to inflationary pressures and the unemployment rate, the evolving economic outlook, and the balance of risks. There can be no assurance regarding the magnitude or timing of future federal funds rate adjustments in either direction. In an elevated interest rate environment, our cost of funds would increase, which could reduce our net investment income if there is not a corresponding increase in interest income generated by our investment portfolio. Conversely, sustained reductions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our operating expenses, including with respect to our income incentive fee, or a decrease in the interest rate of our floating interest rate liabilities tied to such base rate. See Item 1A. "Risk Factors – Changes in interest rates will affect our cost of capital and net investment income” and “Risk Factors – Inflation may adversely affect the business, results of operations and financial condition of our portfolio companies, which may, in turn, impact the valuation of such portfolio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2026 and December 31, 2025, the debt investments in 58 and 58 portfolio companies, respectively, bore interest at a variable rate, which represented $884.0 million, or 72.5%, and $890.1 million, or 75.3%, of our portfolio on a fair value basis, respectively, and the remainder of our debt portfolio was comprised entirely of fixed rate investments. Our pooled SBA debentures and our unsecured notes bear interest at fixed rates. Our SPV Credit Facility bears interest, at our election, at a rate per annum equal to one-month Term SOFR plus 0.11448% and an applicable margin of 2.675% (or 2.50% after satisfying certain step-down conditions, with commensurate reductions in the applicable margins for alternate base rate loans). We pay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approximate annualized increase or decrease in the components of net investment income due to hypothetical base rate changes in interest rates, assuming no changes in our investments and borrowings as of March 31, 2026 (dollars in millions):</w:t>
      </w:r>
    </w:p>
    <w:p>
      <w:pPr>
        <w:pStyle w:val="TextBody"/>
        <w:bidi w:val="0"/>
        <w:jc w:val="both"/>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46"/>
        <w:gridCol w:w="854"/>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Income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(1) Certain of our variable rate debt investments have a PRIME or SOFR interest rate floor, which lessens the impact of decreases in interest rates.</w:t>
      </w:r>
    </w:p>
    <w:p>
      <w:pPr>
        <w:pStyle w:val="TextBody"/>
        <w:bidi w:val="0"/>
        <w:jc w:val="both"/>
        <w:rPr>
          <w:rFonts w:ascii="Times New Roman" w:hAnsi="Times New Roman"/>
          <w:color w:val="000000"/>
          <w:sz w:val="16"/>
        </w:rPr>
      </w:pPr>
      <w:r>
        <w:rPr>
          <w:rFonts w:ascii="Times New Roman" w:hAnsi="Times New Roman"/>
          <w:color w:val="000000"/>
          <w:sz w:val="16"/>
        </w:rPr>
        <w:t>(2) Interest income calculated assuming three-month SOFR, and PRIME rate as of March 31, 2026.</w:t>
      </w:r>
    </w:p>
    <w:p>
      <w:pPr>
        <w:pStyle w:val="TextBody"/>
        <w:bidi w:val="0"/>
        <w:jc w:val="both"/>
        <w:rPr>
          <w:rFonts w:ascii="Times New Roman" w:hAnsi="Times New Roman"/>
          <w:color w:val="000000"/>
          <w:sz w:val="16"/>
        </w:rPr>
      </w:pPr>
      <w:r>
        <w:rPr>
          <w:rFonts w:ascii="Times New Roman" w:hAnsi="Times New Roman"/>
          <w:color w:val="000000"/>
          <w:sz w:val="16"/>
        </w:rPr>
        <w:t>(3) Includes the impact of income incentive fee at 20.0% on net increase (decrease) in net interest.</w:t>
      </w:r>
    </w:p>
    <w:p>
      <w:pPr>
        <w:pStyle w:val="TextBody"/>
        <w:bidi w:val="0"/>
        <w:jc w:val="both"/>
        <w:rPr>
          <w:rFonts w:ascii="Times New Roman" w:hAnsi="Times New Roman"/>
          <w:color w:val="000000"/>
          <w:sz w:val="16"/>
        </w:rPr>
      </w:pPr>
      <w:r>
        <w:rPr>
          <w:rFonts w:ascii="Times New Roman" w:hAnsi="Times New Roman"/>
          <w:color w:val="000000"/>
          <w:sz w:val="16"/>
        </w:rPr>
        <w:t>(4) As of March 31, 2026, we had $85.2 million in borrowings outstanding under our SPV Credit Facility.</w:t>
      </w:r>
    </w:p>
    <w:p>
      <w:pPr>
        <w:pStyle w:val="TextBody"/>
        <w:bidi w:val="0"/>
        <w:jc w:val="both"/>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spacing w:before="0" w:after="180"/>
        <w:jc w:val="left"/>
        <w:rPr>
          <w:rFonts w:ascii="Times New Roman" w:hAnsi="Times New Roman"/>
          <w:b/>
          <w:color w:val="000000"/>
          <w:sz w:val="20"/>
        </w:rPr>
      </w:pPr>
      <w:bookmarkStart w:id="16" w:name="item4_controls"/>
      <w:bookmarkEnd w:id="16"/>
      <w:r>
        <w:rPr>
          <w:rFonts w:ascii="Times New Roman" w:hAnsi="Times New Roman"/>
          <w:b/>
          <w:color w:val="000000"/>
          <w:sz w:val="20"/>
        </w:rPr>
        <w:t>Item 4. Controls and Procedures.</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first quarter of 2026 that have materially affected, or are reasonably likely to materially affect, our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b/>
          <w:color w:val="000000"/>
          <w:sz w:val="20"/>
        </w:rPr>
      </w:pPr>
      <w:bookmarkStart w:id="17" w:name="part_ii"/>
      <w:bookmarkEnd w:id="17"/>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b/>
          <w:color w:val="000000"/>
          <w:sz w:val="20"/>
        </w:rPr>
      </w:pPr>
      <w:bookmarkStart w:id="18" w:name="item1_legal_proceedings"/>
      <w:bookmarkEnd w:id="18"/>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not, and the Investment Advisor is not, currently subject to any material legal proceedings.</w:t>
      </w:r>
    </w:p>
    <w:p>
      <w:pPr>
        <w:pStyle w:val="TextBody"/>
        <w:bidi w:val="0"/>
        <w:jc w:val="both"/>
        <w:rPr/>
      </w:pPr>
      <w:r>
        <w:rPr/>
        <w:t> </w:t>
      </w:r>
    </w:p>
    <w:p>
      <w:pPr>
        <w:pStyle w:val="TextBody"/>
        <w:bidi w:val="0"/>
        <w:jc w:val="both"/>
        <w:rPr>
          <w:rFonts w:ascii="Times New Roman" w:hAnsi="Times New Roman"/>
          <w:sz w:val="20"/>
        </w:rPr>
      </w:pPr>
      <w:bookmarkStart w:id="19" w:name="item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material changes to the risk factors previously disclosed under "Item 1A. Risk Factors” previously disclosed in our Annual Report on Form 10-K for the year ended December 31, 2025 filed with the SEC on February 26, 2026,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jc w:val="left"/>
        <w:rPr/>
      </w:pPr>
      <w:r>
        <w:rPr/>
        <w:t> </w:t>
      </w:r>
    </w:p>
    <w:p>
      <w:pPr>
        <w:pStyle w:val="TextBody"/>
        <w:bidi w:val="0"/>
        <w:jc w:val="both"/>
        <w:rPr>
          <w:rFonts w:ascii="Times New Roman" w:hAnsi="Times New Roman"/>
          <w:sz w:val="20"/>
        </w:rPr>
      </w:pPr>
      <w:bookmarkStart w:id="20" w:name="item2_unregistered_sales_equity"/>
      <w:bookmarkEnd w:id="20"/>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November 3, 2025, the Board extended the Stock Repurchase Program through December 31, 2026, or until the approved dollar amount has been used to repurchase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t>
      </w:r>
    </w:p>
    <w:p>
      <w:pPr>
        <w:pStyle w:val="TextBody"/>
        <w:bidi w:val="0"/>
        <w:jc w:val="both"/>
        <w:rPr/>
      </w:pPr>
      <w:r>
        <w:rPr/>
        <w:t> </w:t>
      </w:r>
    </w:p>
    <w:p>
      <w:pPr>
        <w:pStyle w:val="TextBody"/>
        <w:bidi w:val="0"/>
        <w:jc w:val="both"/>
        <w:rPr>
          <w:rFonts w:ascii="Times New Roman" w:hAnsi="Times New Roman"/>
          <w:sz w:val="20"/>
        </w:rPr>
      </w:pPr>
      <w:bookmarkStart w:id="21" w:name="item3_defaults_upon_senior_securities"/>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Defaults Upon Senior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22" w:name="item4_mine_safety_disclosures"/>
      <w:bookmarkEnd w:id="22"/>
      <w:r>
        <w:rPr>
          <w:rFonts w:ascii="Times New Roman" w:hAnsi="Times New Roman"/>
          <w:b/>
          <w:color w:val="000000"/>
          <w:sz w:val="20"/>
        </w:rPr>
        <w:t>Item 4. Mine Safety Disclosures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3" w:name="item5_other_information"/>
      <w:bookmarkEnd w:id="23"/>
      <w:r>
        <w:rPr>
          <w:rFonts w:ascii="Times New Roman" w:hAnsi="Times New Roman"/>
          <w:b/>
          <w:color w:val="000000"/>
          <w:sz w:val="20"/>
        </w:rPr>
        <w:t>Item 5. Other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9235"/>
      </w:tblGrid>
      <w:tr>
        <w:trPr/>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5" w:type="dxa"/>
            <w:tcBorders/>
            <w:vAlign w:val="center"/>
          </w:tcPr>
          <w:p>
            <w:pPr>
              <w:pStyle w:val="TableContents"/>
              <w:bidi w:val="0"/>
              <w:spacing w:before="0" w:after="283"/>
              <w:jc w:val="left"/>
              <w:rPr>
                <w:sz w:val="4"/>
                <w:szCs w:val="4"/>
              </w:rPr>
            </w:pPr>
            <w:r>
              <w:rPr>
                <w:sz w:val="4"/>
                <w:szCs w:val="4"/>
              </w:rPr>
            </w:r>
          </w:p>
        </w:tc>
      </w:tr>
      <w:tr>
        <w:trPr/>
        <w:tc>
          <w:tcPr>
            <w:tcW w:w="8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3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 w:hAnsi="Times New Roman"/>
                <w:color w:val="000000"/>
                <w:sz w:val="20"/>
              </w:rPr>
              <w: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Sixth Supplemental Indenture, dated as of March 19, 2025, by and between Fidus Investment Corporation and U.S. Bank Trust Company, National Association (as successor in interest to U.S. Bank National Association), as trustee (Filed as Exhibit 4.2 to the Registrant’s Current Report on Form 8-K filed with the U.S. Securities and Exchange Commission on March 19, 2025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Global Note with respect to the 6.750% Notes due 2030 (Filed as Exhibit 4.3 to the Registrant’s Current Report on Form 8-K filed with the U.S. Securities and Exchange Commission on March 19, 2025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No. 3, dated March 2, 2026, to Equity Distribution Agreement by and among Fidus Investment Corporation and Fidus Investment Advisors, LLC, on the one hand, and Raymond James &amp; Associates, Inc. and B. Riley Securities, Inc., on the other hand (Filed as Exhibit 10.1 to the Registrant’s Current Report on Form 8-K filed with the U.S. Securities and Exchange Commission on March 2, 2026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w:anchor="fdus-ex31_1.htm">
              <w:r>
                <w:rPr>
                  <w:rStyle w:val="InternetLink"/>
                  <w:rFonts w:ascii="Times New Roman" w:hAnsi="Times New Roman"/>
                  <w:color w:val="0000FF"/>
                  <w:sz w:val="20"/>
                  <w:u w:val="single"/>
                </w:rPr>
                <w:t>Chief Executive Officer Certification Pursuant to Rule 13a-14 of the Securities Exchange Act of 1934, as adopted pursuant to Section 302 of the Sarbanes-Oxley Act of 2002.*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w:anchor="fdus-ex31_2.htm">
              <w:r>
                <w:rPr>
                  <w:rStyle w:val="InternetLink"/>
                  <w:rFonts w:ascii="Times New Roman" w:hAnsi="Times New Roman"/>
                  <w:color w:val="0000FF"/>
                  <w:sz w:val="20"/>
                  <w:u w:val="single"/>
                </w:rPr>
                <w:t>Chief Financial Officer Certification Pursuant to Rule 13a-14 of the Securities Exchange Act of 1934, as adopted pursuant to Section 302 of the Sarbanes-Oxley Act of 2002.*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w:anchor="fdus-ex32_1.htm">
              <w:r>
                <w:rPr>
                  <w:rStyle w:val="InternetLink"/>
                  <w:rFonts w:ascii="Times New Roman" w:hAnsi="Times New Roman"/>
                  <w:color w:val="0000FF"/>
                  <w:sz w:val="20"/>
                  <w:u w:val="single"/>
                </w:rPr>
                <w:t>Certification pursuant to Section 1350, Chapter 63 of Title 18, United States Code, as adopted pursuant to Section 906 of the Sarbanes-Oxley Act of 2002.*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bl>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871"/>
        <w:gridCol w:w="146"/>
        <w:gridCol w:w="670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FIDUS INVESTMENT CORPORATION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7, 2026</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bookmarkStart w:id="26" w:name="fdus-ex31_1.htm"/>
      <w:bookmarkStart w:id="27" w:name="ksfdu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Edward H. Ross, as Chief Executive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EDWARD H. ROSS </w:t>
      </w:r>
    </w:p>
    <w:p>
      <w:pPr>
        <w:pStyle w:val="TextBody"/>
        <w:bidi w:val="0"/>
        <w:jc w:val="left"/>
        <w:rPr>
          <w:rFonts w:ascii="Times New Roman" w:hAnsi="Times New Roman"/>
          <w:color w:val="000000"/>
          <w:sz w:val="20"/>
        </w:rPr>
      </w:pPr>
      <w:r>
        <w:rPr>
          <w:rFonts w:ascii="Times New Roman" w:hAnsi="Times New Roman"/>
          <w:color w:val="000000"/>
          <w:sz w:val="20"/>
        </w:rPr>
        <w:t>Edward H. Ross</w:t>
      </w:r>
    </w:p>
    <w:p>
      <w:pPr>
        <w:pStyle w:val="TextBody"/>
        <w:bidi w:val="0"/>
        <w:jc w:val="left"/>
        <w:rPr>
          <w:rFonts w:ascii="Times New Roman" w:hAnsi="Times New Roman"/>
          <w:color w:val="000000"/>
          <w:sz w:val="20"/>
        </w:rPr>
      </w:pPr>
      <w:r>
        <w:rPr>
          <w:rFonts w:ascii="Times New Roman" w:hAnsi="Times New Roman"/>
          <w:color w:val="000000"/>
          <w:sz w:val="20"/>
        </w:rPr>
        <w:t>Chairman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us-ex31_2.htm"/>
      <w:bookmarkStart w:id="29" w:name="ksfdu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Shelby E. Sherard, as Chief Financial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and Accounting Officer)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us-ex32_1.htm"/>
      <w:bookmarkStart w:id="31" w:name="ksfdu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Fidus Investment Corporation (the “Company”) for the quarterly period ended March 31, 2026,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jc w:val="both"/>
        <w:rPr/>
      </w:pPr>
      <w:r>
        <w:rPr/>
        <w:t> </w:t>
      </w:r>
    </w:p>
    <w:p>
      <w:pPr>
        <w:pStyle w:val="TextBody"/>
        <w:bidi w:val="0"/>
        <w:spacing w:before="0" w:after="18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0001513363/000119312521295460/d193806dex41.htm" TargetMode="External"/><Relationship Id="rId8" Type="http://schemas.openxmlformats.org/officeDocument/2006/relationships/hyperlink" Target="https://www.sec.gov/Archives/edgar/data/0001513363/000119312521295460/d193806dex41.htm" TargetMode="External"/><Relationship Id="rId9" Type="http://schemas.openxmlformats.org/officeDocument/2006/relationships/hyperlink" Target="https://www.sec.gov/Archives/edgar/data/1513363/000119312525057824/d822632dex42.htm" TargetMode="External"/><Relationship Id="rId10" Type="http://schemas.openxmlformats.org/officeDocument/2006/relationships/hyperlink" Target="https://www.sec.gov/Archives/edgar/data/1513363/000119312525057824/d822632dex42.htm" TargetMode="External"/><Relationship Id="rId11" Type="http://schemas.openxmlformats.org/officeDocument/2006/relationships/hyperlink" Target="https://www.sec.gov/Archives/edgar/data/1513363/000119312526085360/d101050d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50768</Words>
  <Characters>276067</Characters>
  <CharactersWithSpaces>338944</CharactersWithSpaces>
  <Paragraphs>29108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