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center"/>
        <w:rPr/>
      </w:pPr>
      <w:bookmarkStart w:id="0" w:name="fdus-20230930.htm"/>
      <w:bookmarkStart w:id="1" w:name="ksfdus20230930"/>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120"/>
        <w:jc w:val="center"/>
        <w:rPr>
          <w:rFonts w:ascii="Times New Roman" w:hAnsi="Times New Roman"/>
          <w:sz w:val="20"/>
        </w:rPr>
      </w:pPr>
      <w:r>
        <w:rPr>
          <w:rFonts w:ascii="Times New Roman" w:hAnsi="Times New Roman"/>
          <w:b w:val="false"/>
          <w:color w:val="000000"/>
          <w:sz w:val="20"/>
        </w:rPr>
        <w:t>________________</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(Mark One)</w:t>
      </w:r>
    </w:p>
    <w:p>
      <w:pPr>
        <w:pStyle w:val="TextBody"/>
        <w:bidi w:val="0"/>
        <w:spacing w:before="60" w:after="283"/>
        <w:jc w:val="center"/>
        <w:rPr/>
      </w:pPr>
      <w:r>
        <w:rPr>
          <w:color w:val="000000"/>
        </w:rPr>
        <w:t xml:space="preserve">☑ </w:t>
      </w:r>
      <w:r>
        <w:rPr>
          <w:rFonts w:ascii="Times New Roman" w:hAnsi="Times New Roman"/>
          <w:b/>
          <w:color w:val="000000"/>
          <w:sz w:val="20"/>
        </w:rPr>
        <w:t>QUARTERLY REPORT PURSUANT TO SECTION 13 OR 15(d) OF THE SECURITIES</w:t>
      </w:r>
      <w:r>
        <w:rPr>
          <w:rFonts w:ascii="Times New Roman" w:hAnsi="Times New Roman"/>
          <w:color w:val="000000"/>
          <w:sz w:val="20"/>
        </w:rPr>
        <w:t xml:space="preserve"> </w:t>
      </w:r>
      <w:r>
        <w:rPr>
          <w:rFonts w:ascii="Times New Roman" w:hAnsi="Times New Roman"/>
          <w:b/>
          <w:color w:val="000000"/>
          <w:sz w:val="20"/>
        </w:rPr>
        <w:t>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center"/>
        <w:rPr/>
      </w:pPr>
      <w:r>
        <w:rPr>
          <w:color w:val="000000"/>
        </w:rPr>
        <w:t xml:space="preserve">☐ </w:t>
      </w:r>
      <w:r>
        <w:rPr>
          <w:rFonts w:ascii="Times New Roman" w:hAnsi="Times New Roman"/>
          <w:b/>
          <w:color w:val="000000"/>
          <w:sz w:val="20"/>
        </w:rPr>
        <w:t>TRANSITION REPORT PURSUANT TO SECTION 13 OR 15(d) OF THE SECURITIES</w:t>
      </w:r>
      <w:r>
        <w:rPr>
          <w:rFonts w:ascii="Times New Roman" w:hAnsi="Times New Roman"/>
          <w:color w:val="000000"/>
          <w:sz w:val="20"/>
        </w:rPr>
        <w:t xml:space="preserve"> </w:t>
      </w:r>
      <w:r>
        <w:rPr>
          <w:rFonts w:ascii="Times New Roman" w:hAnsi="Times New Roman"/>
          <w:b/>
          <w:color w:val="000000"/>
          <w:sz w:val="20"/>
        </w:rPr>
        <w:t>EXCHANGE ACT OF 1934</w:t>
      </w:r>
    </w:p>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814-00861</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Fidus Investment Corporation</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(Exact Name of Registrant as Specified in its Charter)</w:t>
      </w:r>
    </w:p>
    <w:p>
      <w:pPr>
        <w:pStyle w:val="TextBody"/>
        <w:bidi w:val="0"/>
        <w:jc w:val="center"/>
        <w:rPr/>
      </w:pPr>
      <w:r>
        <w:rPr/>
        <w:t> </w:t>
      </w:r>
    </w:p>
    <w:tbl>
      <w:tblPr>
        <w:tblW w:w="4592" w:type="dxa"/>
        <w:jc w:val="left"/>
        <w:tblInd w:w="0" w:type="dxa"/>
        <w:tblLayout w:type="fixed"/>
        <w:tblCellMar>
          <w:top w:w="28" w:type="dxa"/>
          <w:left w:w="28" w:type="dxa"/>
          <w:bottom w:w="28" w:type="dxa"/>
          <w:right w:w="28" w:type="dxa"/>
        </w:tblCellMar>
      </w:tblPr>
      <w:tblGrid>
        <w:gridCol w:w="3106"/>
        <w:gridCol w:w="1486"/>
      </w:tblGrid>
      <w:tr>
        <w:trPr/>
        <w:tc>
          <w:tcPr>
            <w:tcW w:w="310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27-5017321</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(State or Other Jurisdiction of</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1603 Orrington Avenue, Suite 1005</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Evanston, Illinois</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60201</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(847) 859-3940</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 xml:space="preserve">(Registrant’s telephone number, including area code) </w:t>
      </w:r>
    </w:p>
    <w:p>
      <w:pPr>
        <w:pStyle w:val="TextBody"/>
        <w:bidi w:val="0"/>
        <w:jc w:val="center"/>
        <w:rPr>
          <w:rFonts w:ascii="Times New Roman" w:hAnsi="Times New Roman"/>
          <w:sz w:val="20"/>
        </w:rPr>
      </w:pPr>
      <w:r>
        <w:rPr>
          <w:rFonts w:ascii="Times New Roman" w:hAnsi="Times New Roman"/>
          <w:b w:val="false"/>
          <w:color w:val="000000"/>
          <w:sz w:val="20"/>
        </w:rPr>
        <w:t>________________</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(Former name, former address and former fiscal year, if changed since last report)</w:t>
      </w:r>
    </w:p>
    <w:p>
      <w:pPr>
        <w:pStyle w:val="TextBody"/>
        <w:bidi w:val="0"/>
        <w:jc w:val="center"/>
        <w:rPr>
          <w:rFonts w:ascii="Times New Roman" w:hAnsi="Times New Roman"/>
          <w:b/>
          <w:color w:val="000000"/>
          <w:sz w:val="20"/>
        </w:rPr>
      </w:pPr>
      <w:r>
        <w:rPr>
          <w:rFonts w:ascii="Times New Roman" w:hAnsi="Times New Roman"/>
          <w:b/>
          <w:color w:val="000000"/>
          <w:sz w:val="20"/>
        </w:rPr>
        <w:t>_______________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193" w:type="dxa"/>
        <w:jc w:val="left"/>
        <w:tblInd w:w="0" w:type="dxa"/>
        <w:tblLayout w:type="fixed"/>
        <w:tblCellMar>
          <w:top w:w="28" w:type="dxa"/>
          <w:left w:w="28" w:type="dxa"/>
          <w:bottom w:w="28" w:type="dxa"/>
          <w:right w:w="28" w:type="dxa"/>
        </w:tblCellMar>
      </w:tblPr>
      <w:tblGrid>
        <w:gridCol w:w="3601"/>
        <w:gridCol w:w="127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Title of each class</w:t>
            </w:r>
          </w:p>
        </w:tc>
        <w:tc>
          <w:tcPr>
            <w:tcW w:w="12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Trading Symbol</w:t>
            </w:r>
          </w:p>
        </w:tc>
        <w:tc>
          <w:tcPr>
            <w:tcW w:w="33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283"/>
              <w:jc w:val="center"/>
              <w:rPr>
                <w:rFonts w:ascii="Times New Roman" w:hAnsi="Times New Roman"/>
                <w:b w:val="false"/>
                <w:color w:val="000000"/>
                <w:sz w:val="20"/>
              </w:rPr>
            </w:pPr>
            <w:r>
              <w:rPr>
                <w:rFonts w:ascii="Times New Roman" w:hAnsi="Times New Roman"/>
                <w:b w:val="false"/>
                <w:color w:val="000000"/>
                <w:sz w:val="20"/>
              </w:rPr>
              <w:t>Common Stock, par value $0.001 per share</w:t>
            </w:r>
          </w:p>
        </w:tc>
        <w:tc>
          <w:tcPr>
            <w:tcW w:w="12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b w:val="false"/>
                <w:color w:val="000000"/>
                <w:sz w:val="20"/>
              </w:rPr>
            </w:pPr>
            <w:r>
              <w:rPr>
                <w:rFonts w:ascii="Times New Roman" w:hAnsi="Times New Roman"/>
                <w:b w:val="false"/>
                <w:color w:val="000000"/>
                <w:sz w:val="20"/>
              </w:rPr>
              <w:t>FDUS</w:t>
            </w:r>
          </w:p>
        </w:tc>
        <w:tc>
          <w:tcPr>
            <w:tcW w:w="3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sz w:val="20"/>
              </w:rPr>
            </w:pPr>
            <w:r>
              <w:rPr>
                <w:rFonts w:ascii="Times New Roman" w:hAnsi="Times New Roman"/>
                <w:b w:val="false"/>
                <w:color w:val="000000"/>
                <w:sz w:val="20"/>
              </w:rPr>
              <w:t>The NASDAQ</w:t>
            </w:r>
            <w:r>
              <w:rPr>
                <w:rFonts w:ascii="Times New Roman" w:hAnsi="Times New Roman"/>
                <w:color w:val="000000"/>
                <w:sz w:val="20"/>
              </w:rPr>
              <w:t> </w:t>
            </w:r>
            <w:r>
              <w:rPr>
                <w:rFonts w:ascii="Times New Roman" w:hAnsi="Times New Roman"/>
                <w:b w:val="false"/>
                <w:color w:val="000000"/>
                <w:sz w:val="20"/>
              </w:rPr>
              <w:t>Global Select Market</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Times New Roman" w:hAnsi="Times New Roman"/>
          <w:color w:val="000000"/>
          <w:sz w:val="20"/>
        </w:rPr>
        <w:t xml:space="preserve"> </w:t>
      </w:r>
      <w:r>
        <w:rPr>
          <w:rFonts w:ascii="Times New Roman" w:hAnsi="Times New Roman"/>
          <w:b w:val="false"/>
          <w:color w:val="000000"/>
          <w:sz w:val="20"/>
        </w:rPr>
        <w:t>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81"/>
        <w:gridCol w:w="1419"/>
        <w:gridCol w:w="1779"/>
        <w:gridCol w:w="2438"/>
        <w:gridCol w:w="2488"/>
      </w:tblGrid>
      <w:tr>
        <w:trPr/>
        <w:tc>
          <w:tcPr>
            <w:tcW w:w="208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2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Large accelerated filer ☐</w:t>
            </w:r>
          </w:p>
        </w:tc>
        <w:tc>
          <w:tcPr>
            <w:tcW w:w="1419" w:type="dxa"/>
            <w:tcBorders/>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Accelerated filer</w:t>
            </w:r>
          </w:p>
          <w:p>
            <w:pPr>
              <w:pStyle w:val="TableContents"/>
              <w:bidi w:val="0"/>
              <w:spacing w:before="0" w:after="283"/>
              <w:jc w:val="center"/>
              <w:rPr>
                <w:color w:val="000000"/>
              </w:rPr>
            </w:pPr>
            <w:r>
              <w:rPr>
                <w:color w:val="000000"/>
              </w:rPr>
              <w:t>☐</w:t>
            </w:r>
          </w:p>
        </w:tc>
        <w:tc>
          <w:tcPr>
            <w:tcW w:w="1779" w:type="dxa"/>
            <w:tcBorders/>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Non-accelerated filer</w:t>
            </w:r>
          </w:p>
          <w:p>
            <w:pPr>
              <w:pStyle w:val="TableContents"/>
              <w:bidi w:val="0"/>
              <w:spacing w:before="0" w:after="283"/>
              <w:jc w:val="center"/>
              <w:rPr>
                <w:color w:val="000000"/>
              </w:rPr>
            </w:pPr>
            <w:r>
              <w:rPr>
                <w:color w:val="000000"/>
              </w:rPr>
              <w:t>☑</w:t>
            </w:r>
          </w:p>
        </w:tc>
        <w:tc>
          <w:tcPr>
            <w:tcW w:w="24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 xml:space="preserve">Smaller reporting company </w:t>
            </w:r>
            <w:r>
              <w:rPr>
                <w:rFonts w:ascii="Times New Roman" w:hAnsi="Times New Roman"/>
                <w:color w:val="000000"/>
                <w:sz w:val="20"/>
              </w:rPr>
              <w:t>☐</w:t>
            </w:r>
          </w:p>
        </w:tc>
        <w:tc>
          <w:tcPr>
            <w:tcW w:w="2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 xml:space="preserve">Emerging growth company </w:t>
            </w:r>
            <w:r>
              <w:rPr>
                <w:rFonts w:ascii="Times New Roman" w:hAnsi="Times New Roman"/>
                <w:color w:val="000000"/>
                <w:sz w:val="20"/>
              </w:rPr>
              <w:t>☐</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val="false"/>
          <w:color w:val="000000"/>
          <w:sz w:val="20"/>
        </w:rPr>
        <w:t>As of October 31, 2023, the Registrant had outstanding 28,453,469</w:t>
      </w:r>
      <w:r>
        <w:rPr>
          <w:rFonts w:ascii="Times New Roman" w:hAnsi="Times New Roman"/>
          <w:color w:val="000000"/>
          <w:sz w:val="20"/>
        </w:rPr>
        <w:t xml:space="preserve"> </w:t>
      </w:r>
      <w:r>
        <w:rPr>
          <w:rFonts w:ascii="Times New Roman" w:hAnsi="Times New Roman"/>
          <w:b w:val="false"/>
          <w:color w:val="000000"/>
          <w:sz w:val="20"/>
        </w:rPr>
        <w:t>shares of common stock, $0.001 par value.</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7"/>
        <w:gridCol w:w="9106"/>
        <w:gridCol w:w="362"/>
      </w:tblGrid>
      <w:tr>
        <w:trPr/>
        <w:tc>
          <w:tcPr>
            <w:tcW w:w="737"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37" w:type="dxa"/>
            <w:tcBorders/>
            <w:vAlign w:val="center"/>
          </w:tcPr>
          <w:p>
            <w:pPr>
              <w:pStyle w:val="TableContents"/>
              <w:bidi w:val="0"/>
              <w:spacing w:before="0" w:after="283"/>
              <w:ind w:left="0" w:right="0" w:firstLine="101"/>
              <w:jc w:val="left"/>
              <w:rPr/>
            </w:pPr>
            <w:r>
              <w:rPr/>
              <w:t> </w:t>
            </w:r>
          </w:p>
        </w:tc>
        <w:tc>
          <w:tcPr>
            <w:tcW w:w="9106" w:type="dxa"/>
            <w:tcBorders/>
            <w:vAlign w:val="center"/>
          </w:tcPr>
          <w:p>
            <w:pPr>
              <w:pStyle w:val="TableContents"/>
              <w:pBdr/>
              <w:bidi w:val="0"/>
              <w:spacing w:before="0" w:after="283"/>
              <w:ind w:left="0" w:right="101" w:hanging="101"/>
              <w:jc w:val="center"/>
              <w:rPr/>
            </w:pPr>
            <w:hyperlink w:anchor="part_i">
              <w:r>
                <w:rPr>
                  <w:rStyle w:val="InternetLink"/>
                  <w:rFonts w:ascii="Times New Roman" w:hAnsi="Times New Roman"/>
                  <w:b/>
                  <w:color w:val="0000FF"/>
                  <w:sz w:val="20"/>
                  <w:u w:val="single"/>
                </w:rPr>
                <w:t>PART I — FINANCIAL INFORMATION</w:t>
              </w:r>
            </w:hyperlink>
          </w:p>
        </w:tc>
        <w:tc>
          <w:tcPr>
            <w:tcW w:w="362" w:type="dxa"/>
            <w:tcBorders/>
            <w:vAlign w:val="center"/>
          </w:tcPr>
          <w:p>
            <w:pPr>
              <w:pStyle w:val="TableContents"/>
              <w:bidi w:val="0"/>
              <w:spacing w:before="0" w:after="283"/>
              <w:jc w:val="righ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9106" w:type="dxa"/>
            <w:tcBorders/>
            <w:vAlign w:val="center"/>
          </w:tcPr>
          <w:p>
            <w:pPr>
              <w:pStyle w:val="TableContents"/>
              <w:bidi w:val="0"/>
              <w:spacing w:before="0" w:after="283"/>
              <w:jc w:val="left"/>
              <w:rPr/>
            </w:pPr>
            <w:hyperlink w:anchor="item_1">
              <w:r>
                <w:rPr>
                  <w:rStyle w:val="InternetLink"/>
                  <w:rFonts w:ascii="Times New Roman" w:hAnsi="Times New Roman"/>
                  <w:b w:val="false"/>
                  <w:color w:val="0000FF"/>
                  <w:sz w:val="20"/>
                  <w:u w:val="single"/>
                </w:rPr>
                <w:t>Financial Statements.</w:t>
              </w:r>
            </w:hyperlink>
          </w:p>
        </w:tc>
        <w:tc>
          <w:tcPr>
            <w:tcW w:w="362" w:type="dxa"/>
            <w:tcBorders/>
            <w:vAlign w:val="center"/>
          </w:tcPr>
          <w:p>
            <w:pPr>
              <w:pStyle w:val="TableContents"/>
              <w:bidi w:val="0"/>
              <w:spacing w:before="0" w:after="283"/>
              <w:jc w:val="right"/>
              <w:rPr/>
            </w:pPr>
            <w:r>
              <w:rPr/>
              <w:t> </w:t>
            </w:r>
          </w:p>
        </w:tc>
      </w:tr>
      <w:tr>
        <w:trPr/>
        <w:tc>
          <w:tcPr>
            <w:tcW w:w="737" w:type="dxa"/>
            <w:tcBorders/>
            <w:vAlign w:val="center"/>
          </w:tcPr>
          <w:p>
            <w:pPr>
              <w:pStyle w:val="TableContents"/>
              <w:bidi w:val="0"/>
              <w:spacing w:before="0" w:after="283"/>
              <w:jc w:val="left"/>
              <w:rPr/>
            </w:pPr>
            <w:r>
              <w:rPr/>
              <w:t> </w:t>
            </w:r>
          </w:p>
        </w:tc>
        <w:tc>
          <w:tcPr>
            <w:tcW w:w="9106" w:type="dxa"/>
            <w:tcBorders/>
            <w:vAlign w:val="center"/>
          </w:tcPr>
          <w:p>
            <w:pPr>
              <w:pStyle w:val="TableContents"/>
              <w:bidi w:val="0"/>
              <w:spacing w:before="0" w:after="283"/>
              <w:jc w:val="left"/>
              <w:rPr/>
            </w:pPr>
            <w:hyperlink w:anchor="net_asset">
              <w:r>
                <w:rPr>
                  <w:rStyle w:val="InternetLink"/>
                  <w:rFonts w:ascii="Times New Roman" w:hAnsi="Times New Roman"/>
                  <w:b w:val="false"/>
                  <w:color w:val="0000FF"/>
                  <w:sz w:val="20"/>
                  <w:u w:val="single"/>
                </w:rPr>
                <w:t>Consolidated Statements of Assets and Liabilities — September 30, 2023 (unaudited) and December 31, 2022</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737" w:type="dxa"/>
            <w:tcBorders/>
            <w:vAlign w:val="center"/>
          </w:tcPr>
          <w:p>
            <w:pPr>
              <w:pStyle w:val="TableContents"/>
              <w:bidi w:val="0"/>
              <w:spacing w:before="0" w:after="283"/>
              <w:jc w:val="left"/>
              <w:rPr/>
            </w:pPr>
            <w:r>
              <w:rPr/>
              <w:t> </w:t>
            </w:r>
          </w:p>
        </w:tc>
        <w:tc>
          <w:tcPr>
            <w:tcW w:w="9106" w:type="dxa"/>
            <w:tcBorders/>
            <w:vAlign w:val="center"/>
          </w:tcPr>
          <w:p>
            <w:pPr>
              <w:pStyle w:val="TableContents"/>
              <w:bidi w:val="0"/>
              <w:spacing w:before="0" w:after="283"/>
              <w:jc w:val="left"/>
              <w:rPr/>
            </w:pPr>
            <w:hyperlink w:anchor="statement_of_operations">
              <w:r>
                <w:rPr>
                  <w:rStyle w:val="InternetLink"/>
                  <w:rFonts w:ascii="Times New Roman" w:hAnsi="Times New Roman"/>
                  <w:b w:val="false"/>
                  <w:color w:val="0000FF"/>
                  <w:sz w:val="20"/>
                  <w:u w:val="single"/>
                </w:rPr>
                <w:t>Consolidated Statements of Operations — three and nine months ended September 30, 2023 (unaudited) and 2022 (unaudited)</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737" w:type="dxa"/>
            <w:tcBorders/>
            <w:vAlign w:val="center"/>
          </w:tcPr>
          <w:p>
            <w:pPr>
              <w:pStyle w:val="TableContents"/>
              <w:bidi w:val="0"/>
              <w:spacing w:before="0" w:after="283"/>
              <w:jc w:val="left"/>
              <w:rPr/>
            </w:pPr>
            <w:r>
              <w:rPr/>
              <w:t> </w:t>
            </w:r>
          </w:p>
        </w:tc>
        <w:tc>
          <w:tcPr>
            <w:tcW w:w="9106" w:type="dxa"/>
            <w:tcBorders/>
            <w:vAlign w:val="center"/>
          </w:tcPr>
          <w:p>
            <w:pPr>
              <w:pStyle w:val="TableContents"/>
              <w:bidi w:val="0"/>
              <w:spacing w:before="0" w:after="283"/>
              <w:jc w:val="left"/>
              <w:rPr/>
            </w:pPr>
            <w:hyperlink w:anchor="changes_net_assets">
              <w:r>
                <w:rPr>
                  <w:rStyle w:val="InternetLink"/>
                  <w:rFonts w:ascii="Times New Roman" w:hAnsi="Times New Roman"/>
                  <w:b w:val="false"/>
                  <w:color w:val="0000FF"/>
                  <w:sz w:val="20"/>
                  <w:u w:val="single"/>
                </w:rPr>
                <w:t>Consolidated Statements of Changes in Net Assets — three and nine months ended September 30, 2023 (unaudited) and 2022 (unaudited)</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737" w:type="dxa"/>
            <w:tcBorders/>
            <w:vAlign w:val="center"/>
          </w:tcPr>
          <w:p>
            <w:pPr>
              <w:pStyle w:val="TableContents"/>
              <w:bidi w:val="0"/>
              <w:spacing w:before="0" w:after="283"/>
              <w:jc w:val="left"/>
              <w:rPr/>
            </w:pPr>
            <w:r>
              <w:rPr/>
              <w:t> </w:t>
            </w:r>
          </w:p>
        </w:tc>
        <w:tc>
          <w:tcPr>
            <w:tcW w:w="9106" w:type="dxa"/>
            <w:tcBorders/>
            <w:vAlign w:val="center"/>
          </w:tcPr>
          <w:p>
            <w:pPr>
              <w:pStyle w:val="TableContents"/>
              <w:bidi w:val="0"/>
              <w:spacing w:before="0" w:after="283"/>
              <w:jc w:val="left"/>
              <w:rPr/>
            </w:pPr>
            <w:hyperlink w:anchor="statements_cash_flows">
              <w:r>
                <w:rPr>
                  <w:rStyle w:val="InternetLink"/>
                  <w:rFonts w:ascii="Times New Roman" w:hAnsi="Times New Roman"/>
                  <w:b w:val="false"/>
                  <w:color w:val="0000FF"/>
                  <w:sz w:val="20"/>
                  <w:u w:val="single"/>
                </w:rPr>
                <w:t>Consolidated Statements of Cash Flows — three and nine months ended September 30, 2023, (unaudited) and 2022 (unaudited)</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737" w:type="dxa"/>
            <w:tcBorders/>
            <w:vAlign w:val="center"/>
          </w:tcPr>
          <w:p>
            <w:pPr>
              <w:pStyle w:val="TableContents"/>
              <w:bidi w:val="0"/>
              <w:spacing w:before="0" w:after="283"/>
              <w:jc w:val="left"/>
              <w:rPr/>
            </w:pPr>
            <w:r>
              <w:rPr/>
              <w:t> </w:t>
            </w:r>
          </w:p>
        </w:tc>
        <w:tc>
          <w:tcPr>
            <w:tcW w:w="9106" w:type="dxa"/>
            <w:tcBorders/>
            <w:vAlign w:val="center"/>
          </w:tcPr>
          <w:p>
            <w:pPr>
              <w:pStyle w:val="TableContents"/>
              <w:bidi w:val="0"/>
              <w:spacing w:before="0" w:after="283"/>
              <w:jc w:val="left"/>
              <w:rPr/>
            </w:pPr>
            <w:hyperlink w:anchor="consolidated_schedule_of_investments">
              <w:r>
                <w:rPr>
                  <w:rStyle w:val="InternetLink"/>
                  <w:rFonts w:ascii="Times New Roman" w:hAnsi="Times New Roman"/>
                  <w:b w:val="false"/>
                  <w:color w:val="0000FF"/>
                  <w:sz w:val="20"/>
                  <w:u w:val="single"/>
                </w:rPr>
                <w:t>Consolidated Schedules of Investments — September 30, 2023 (unaudited) and December 31, 2022</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737" w:type="dxa"/>
            <w:tcBorders/>
            <w:vAlign w:val="center"/>
          </w:tcPr>
          <w:p>
            <w:pPr>
              <w:pStyle w:val="TableContents"/>
              <w:bidi w:val="0"/>
              <w:spacing w:before="0" w:after="283"/>
              <w:jc w:val="left"/>
              <w:rPr/>
            </w:pPr>
            <w:r>
              <w:rPr/>
              <w:t> </w:t>
            </w:r>
          </w:p>
        </w:tc>
        <w:tc>
          <w:tcPr>
            <w:tcW w:w="9106" w:type="dxa"/>
            <w:tcBorders/>
            <w:vAlign w:val="center"/>
          </w:tcPr>
          <w:p>
            <w:pPr>
              <w:pStyle w:val="TableContents"/>
              <w:bidi w:val="0"/>
              <w:spacing w:before="0" w:after="283"/>
              <w:jc w:val="left"/>
              <w:rPr/>
            </w:pPr>
            <w:hyperlink w:anchor="notes_consolidated_financial_statements">
              <w:r>
                <w:rPr>
                  <w:rStyle w:val="InternetLink"/>
                  <w:rFonts w:ascii="Times New Roman" w:hAnsi="Times New Roman"/>
                  <w:b w:val="false"/>
                  <w:color w:val="0000FF"/>
                  <w:sz w:val="20"/>
                  <w:u w:val="single"/>
                </w:rPr>
                <w:t>Notes to Consolidated Financial Statements (unaudited)</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9106" w:type="dxa"/>
            <w:tcBorders/>
            <w:vAlign w:val="center"/>
          </w:tcPr>
          <w:p>
            <w:pPr>
              <w:pStyle w:val="TableContents"/>
              <w:bidi w:val="0"/>
              <w:spacing w:before="0" w:after="283"/>
              <w:jc w:val="left"/>
              <w:rPr/>
            </w:pPr>
            <w:hyperlink w:anchor="item2_mda">
              <w:r>
                <w:rPr>
                  <w:rStyle w:val="InternetLink"/>
                  <w:rFonts w:ascii="Times New Roman" w:hAnsi="Times New Roman"/>
                  <w:b w:val="false"/>
                  <w:color w:val="0000FF"/>
                  <w:sz w:val="20"/>
                  <w:u w:val="single"/>
                </w:rPr>
                <w:t>Management’s Discussion and Analysis of Financial Condition and Results of Operations</w:t>
              </w:r>
            </w:hyperlink>
            <w:r>
              <w:rPr>
                <w:rFonts w:ascii="Times New Roman" w:hAnsi="Times New Roman"/>
                <w:b w:val="false"/>
                <w:color w:val="000000"/>
                <w:sz w:val="20"/>
              </w:rPr>
              <w:t>.</w:t>
            </w:r>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9106" w:type="dxa"/>
            <w:tcBorders/>
            <w:vAlign w:val="center"/>
          </w:tcPr>
          <w:p>
            <w:pPr>
              <w:pStyle w:val="TableContents"/>
              <w:bidi w:val="0"/>
              <w:spacing w:before="0" w:after="283"/>
              <w:jc w:val="left"/>
              <w:rPr/>
            </w:pPr>
            <w:hyperlink w:anchor="item3_marketrisk">
              <w:r>
                <w:rPr>
                  <w:rStyle w:val="InternetLink"/>
                  <w:rFonts w:ascii="Times New Roman" w:hAnsi="Times New Roman"/>
                  <w:b w:val="false"/>
                  <w:color w:val="0000FF"/>
                  <w:sz w:val="20"/>
                  <w:u w:val="single"/>
                </w:rPr>
                <w:t>Quantitative and Qualitative Disclosures About Market Risk.</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9106" w:type="dxa"/>
            <w:tcBorders/>
            <w:vAlign w:val="center"/>
          </w:tcPr>
          <w:p>
            <w:pPr>
              <w:pStyle w:val="TableContents"/>
              <w:bidi w:val="0"/>
              <w:spacing w:before="0" w:after="283"/>
              <w:jc w:val="left"/>
              <w:rPr/>
            </w:pPr>
            <w:hyperlink w:anchor="item4_controls">
              <w:r>
                <w:rPr>
                  <w:rStyle w:val="InternetLink"/>
                  <w:rFonts w:ascii="Times New Roman" w:hAnsi="Times New Roman"/>
                  <w:b w:val="false"/>
                  <w:color w:val="0000FF"/>
                  <w:sz w:val="20"/>
                  <w:u w:val="single"/>
                </w:rPr>
                <w:t>Controls and Procedures</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r>
      <w:tr>
        <w:trPr/>
        <w:tc>
          <w:tcPr>
            <w:tcW w:w="737" w:type="dxa"/>
            <w:tcBorders/>
            <w:vAlign w:val="center"/>
          </w:tcPr>
          <w:p>
            <w:pPr>
              <w:pStyle w:val="TableContents"/>
              <w:bidi w:val="0"/>
              <w:spacing w:before="0" w:after="283"/>
              <w:jc w:val="left"/>
              <w:rPr/>
            </w:pPr>
            <w:r>
              <w:rPr/>
              <w:t> </w:t>
            </w:r>
          </w:p>
        </w:tc>
        <w:tc>
          <w:tcPr>
            <w:tcW w:w="9106" w:type="dxa"/>
            <w:tcBorders/>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c>
          <w:tcPr>
            <w:tcW w:w="362" w:type="dxa"/>
            <w:tcBorders/>
            <w:vAlign w:val="center"/>
          </w:tcPr>
          <w:p>
            <w:pPr>
              <w:pStyle w:val="TableContents"/>
              <w:bidi w:val="0"/>
              <w:spacing w:before="0" w:after="283"/>
              <w:jc w:val="righ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9106" w:type="dxa"/>
            <w:tcBorders/>
            <w:vAlign w:val="center"/>
          </w:tcPr>
          <w:p>
            <w:pPr>
              <w:pStyle w:val="TableContents"/>
              <w:bidi w:val="0"/>
              <w:spacing w:before="0" w:after="283"/>
              <w:jc w:val="left"/>
              <w:rPr/>
            </w:pPr>
            <w:hyperlink w:anchor="item1_legal_proceedings">
              <w:r>
                <w:rPr>
                  <w:rStyle w:val="InternetLink"/>
                  <w:rFonts w:ascii="Times New Roman" w:hAnsi="Times New Roman"/>
                  <w:b w:val="false"/>
                  <w:color w:val="0000FF"/>
                  <w:sz w:val="20"/>
                  <w:u w:val="single"/>
                </w:rPr>
                <w:t>Legal Proceedings.</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9106" w:type="dxa"/>
            <w:tcBorders/>
            <w:vAlign w:val="center"/>
          </w:tcPr>
          <w:p>
            <w:pPr>
              <w:pStyle w:val="TableContents"/>
              <w:bidi w:val="0"/>
              <w:spacing w:before="0" w:after="283"/>
              <w:jc w:val="left"/>
              <w:rPr/>
            </w:pPr>
            <w:hyperlink w:anchor="item1a_risk_factors">
              <w:r>
                <w:rPr>
                  <w:rStyle w:val="InternetLink"/>
                  <w:rFonts w:ascii="Times New Roman" w:hAnsi="Times New Roman"/>
                  <w:b w:val="false"/>
                  <w:color w:val="0000FF"/>
                  <w:sz w:val="20"/>
                  <w:u w:val="single"/>
                </w:rPr>
                <w:t>Risk Factors.</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9106" w:type="dxa"/>
            <w:tcBorders/>
            <w:vAlign w:val="center"/>
          </w:tcPr>
          <w:p>
            <w:pPr>
              <w:pStyle w:val="TableContents"/>
              <w:bidi w:val="0"/>
              <w:spacing w:before="0" w:after="283"/>
              <w:jc w:val="left"/>
              <w:rPr/>
            </w:pPr>
            <w:hyperlink w:anchor="item2_unregistered_sales_equity">
              <w:r>
                <w:rPr>
                  <w:rStyle w:val="InternetLink"/>
                  <w:rFonts w:ascii="Times New Roman" w:hAnsi="Times New Roman"/>
                  <w:b w:val="false"/>
                  <w:color w:val="0000FF"/>
                  <w:sz w:val="20"/>
                  <w:u w:val="single"/>
                </w:rPr>
                <w:t>Unregistered Sales of Equity Securities and Use of Proceeds.</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9106" w:type="dxa"/>
            <w:tcBorders/>
            <w:vAlign w:val="center"/>
          </w:tcPr>
          <w:p>
            <w:pPr>
              <w:pStyle w:val="TableContents"/>
              <w:bidi w:val="0"/>
              <w:spacing w:before="0" w:after="283"/>
              <w:jc w:val="left"/>
              <w:rPr/>
            </w:pPr>
            <w:hyperlink w:anchor="item3_defaults_upon_senior_securities">
              <w:r>
                <w:rPr>
                  <w:rStyle w:val="InternetLink"/>
                  <w:rFonts w:ascii="Times New Roman" w:hAnsi="Times New Roman"/>
                  <w:b w:val="false"/>
                  <w:color w:val="0000FF"/>
                  <w:sz w:val="20"/>
                  <w:u w:val="single"/>
                </w:rPr>
                <w:t>Defaults Upon Senior Securities.</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9106" w:type="dxa"/>
            <w:tcBorders/>
            <w:vAlign w:val="center"/>
          </w:tcPr>
          <w:p>
            <w:pPr>
              <w:pStyle w:val="TableContents"/>
              <w:bidi w:val="0"/>
              <w:spacing w:before="0" w:after="283"/>
              <w:jc w:val="left"/>
              <w:rPr/>
            </w:pPr>
            <w:hyperlink w:anchor="item4_mine_safety_disclosures">
              <w:r>
                <w:rPr>
                  <w:rStyle w:val="InternetLink"/>
                  <w:rFonts w:ascii="Times New Roman" w:hAnsi="Times New Roman"/>
                  <w:b w:val="false"/>
                  <w:color w:val="0000FF"/>
                  <w:sz w:val="20"/>
                  <w:u w:val="single"/>
                </w:rPr>
                <w:t>Mine Safety Disclosures.</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9106" w:type="dxa"/>
            <w:tcBorders/>
            <w:vAlign w:val="center"/>
          </w:tcPr>
          <w:p>
            <w:pPr>
              <w:pStyle w:val="TableContents"/>
              <w:bidi w:val="0"/>
              <w:spacing w:before="0" w:after="283"/>
              <w:jc w:val="left"/>
              <w:rPr/>
            </w:pPr>
            <w:hyperlink w:anchor="item5_other_information">
              <w:r>
                <w:rPr>
                  <w:rStyle w:val="InternetLink"/>
                  <w:rFonts w:ascii="Times New Roman" w:hAnsi="Times New Roman"/>
                  <w:b w:val="false"/>
                  <w:color w:val="0000FF"/>
                  <w:sz w:val="20"/>
                  <w:u w:val="single"/>
                </w:rPr>
                <w:t>Other Information.</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9106" w:type="dxa"/>
            <w:tcBorders/>
            <w:vAlign w:val="center"/>
          </w:tcPr>
          <w:p>
            <w:pPr>
              <w:pStyle w:val="TableContents"/>
              <w:bidi w:val="0"/>
              <w:spacing w:before="0" w:after="283"/>
              <w:jc w:val="left"/>
              <w:rPr/>
            </w:pPr>
            <w:hyperlink w:anchor="item6_exhibits">
              <w:r>
                <w:rPr>
                  <w:rStyle w:val="InternetLink"/>
                  <w:rFonts w:ascii="Times New Roman" w:hAnsi="Times New Roman"/>
                  <w:b w:val="false"/>
                  <w:color w:val="0000FF"/>
                  <w:sz w:val="20"/>
                  <w:u w:val="single"/>
                </w:rPr>
                <w:t>Exhibits.</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r>
      <w:tr>
        <w:trPr/>
        <w:tc>
          <w:tcPr>
            <w:tcW w:w="9843" w:type="dxa"/>
            <w:gridSpan w:val="2"/>
            <w:tcBorders/>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36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r>
      <w:tr>
        <w:trPr/>
        <w:tc>
          <w:tcPr>
            <w:tcW w:w="9843" w:type="dxa"/>
            <w:gridSpan w:val="2"/>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rFonts w:ascii="Times New Roman" w:hAnsi="Times New Roman"/>
          <w:b/>
          <w:color w:val="000000"/>
          <w:sz w:val="20"/>
        </w:rPr>
      </w:pPr>
      <w:bookmarkStart w:id="3" w:name="item_1"/>
      <w:bookmarkEnd w:id="3"/>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4" w:name="net_asset"/>
      <w:bookmarkEnd w:id="4"/>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7"/>
        <w:gridCol w:w="146"/>
        <w:gridCol w:w="215"/>
        <w:gridCol w:w="911"/>
        <w:gridCol w:w="166"/>
        <w:gridCol w:w="146"/>
        <w:gridCol w:w="236"/>
        <w:gridCol w:w="834"/>
        <w:gridCol w:w="294"/>
      </w:tblGrid>
      <w:tr>
        <w:trPr/>
        <w:tc>
          <w:tcPr>
            <w:tcW w:w="7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2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0" w:type="dxa"/>
            <w:gridSpan w:val="2"/>
            <w:tcBorders/>
            <w:shd w:fill="FFFFFF" w:val="cle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center"/>
              <w:rPr/>
            </w:pPr>
            <w:r>
              <w:rPr/>
              <w:t> </w:t>
            </w:r>
          </w:p>
        </w:tc>
      </w:tr>
      <w:tr>
        <w:trPr/>
        <w:tc>
          <w:tcPr>
            <w:tcW w:w="72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4" w:type="dxa"/>
            <w:tcBorders/>
            <w:shd w:fill="FFFFFF" w:val="clear"/>
            <w:vAlign w:val="center"/>
          </w:tcPr>
          <w:p>
            <w:pPr>
              <w:pStyle w:val="TableContents"/>
              <w:bidi w:val="0"/>
              <w:spacing w:before="0" w:after="283"/>
              <w:jc w:val="center"/>
              <w:rPr/>
            </w:pPr>
            <w:r>
              <w:rPr/>
              <w:t> </w:t>
            </w:r>
          </w:p>
        </w:tc>
      </w:tr>
      <w:tr>
        <w:trPr/>
        <w:tc>
          <w:tcPr>
            <w:tcW w:w="72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0"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Investments, at fair value:</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0" w:type="dxa"/>
            <w:gridSpan w:val="2"/>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firstLine="100"/>
              <w:jc w:val="left"/>
              <w:rPr/>
            </w:pPr>
            <w:r>
              <w:rPr/>
              <w:t> </w:t>
            </w:r>
          </w:p>
        </w:tc>
      </w:tr>
      <w:tr>
        <w:trPr/>
        <w:tc>
          <w:tcPr>
            <w:tcW w:w="7257" w:type="dxa"/>
            <w:tcBorders/>
            <w:shd w:fill="CFF0FC" w:val="clear"/>
            <w:vAlign w:val="center"/>
          </w:tcPr>
          <w:p>
            <w:pPr>
              <w:pStyle w:val="TableContents"/>
              <w:bidi w:val="0"/>
              <w:spacing w:before="0" w:after="283"/>
              <w:ind w:left="100" w:right="0" w:firstLine="100"/>
              <w:jc w:val="left"/>
              <w:rPr/>
            </w:pPr>
            <w:r>
              <w:rPr>
                <w:color w:val="000000"/>
              </w:rPr>
              <w:t>   </w:t>
            </w:r>
            <w:r>
              <w:rPr>
                <w:rFonts w:ascii="Times New Roman" w:hAnsi="Times New Roman"/>
                <w:b w:val="false"/>
                <w:color w:val="000000"/>
                <w:sz w:val="16"/>
              </w:rPr>
              <w:t>Control investments (cost: $6,832</w:t>
            </w:r>
            <w:r>
              <w:rPr>
                <w:rFonts w:ascii="Times New Roman" w:hAnsi="Times New Roman"/>
                <w:color w:val="000000"/>
                <w:sz w:val="20"/>
              </w:rPr>
              <w:t> </w:t>
            </w:r>
            <w:r>
              <w:rPr>
                <w:rFonts w:ascii="Times New Roman" w:hAnsi="Times New Roman"/>
                <w:b w:val="false"/>
                <w:color w:val="000000"/>
                <w:sz w:val="16"/>
              </w:rPr>
              <w:t>and $17,915, respectively)</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7257" w:type="dxa"/>
            <w:tcBorders/>
            <w:shd w:fill="FFFFFF" w:val="clear"/>
            <w:vAlign w:val="center"/>
          </w:tcPr>
          <w:p>
            <w:pPr>
              <w:pStyle w:val="TableContents"/>
              <w:bidi w:val="0"/>
              <w:spacing w:before="0" w:after="283"/>
              <w:ind w:left="100" w:right="0" w:firstLine="100"/>
              <w:jc w:val="left"/>
              <w:rPr/>
            </w:pPr>
            <w:r>
              <w:rPr>
                <w:color w:val="000000"/>
              </w:rPr>
              <w:t>   </w:t>
            </w:r>
            <w:r>
              <w:rPr>
                <w:rFonts w:ascii="Times New Roman" w:hAnsi="Times New Roman"/>
                <w:b w:val="false"/>
                <w:color w:val="000000"/>
                <w:sz w:val="16"/>
              </w:rPr>
              <w:t>Affiliate investments (cost: $46,480</w:t>
            </w:r>
            <w:r>
              <w:rPr>
                <w:rFonts w:ascii="Times New Roman" w:hAnsi="Times New Roman"/>
                <w:color w:val="000000"/>
                <w:sz w:val="20"/>
              </w:rPr>
              <w:t> </w:t>
            </w:r>
            <w:r>
              <w:rPr>
                <w:rFonts w:ascii="Times New Roman" w:hAnsi="Times New Roman"/>
                <w:b w:val="false"/>
                <w:color w:val="000000"/>
                <w:sz w:val="16"/>
              </w:rPr>
              <w:t>and $55,804, respectively)</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83,157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101,590</w:t>
            </w:r>
          </w:p>
        </w:tc>
        <w:tc>
          <w:tcPr>
            <w:tcW w:w="294" w:type="dxa"/>
            <w:tcBorders/>
            <w:shd w:fill="FFFFFF" w:val="clear"/>
            <w:vAlign w:val="center"/>
          </w:tcPr>
          <w:p>
            <w:pPr>
              <w:pStyle w:val="TableContents"/>
              <w:bidi w:val="0"/>
              <w:spacing w:before="0" w:after="283"/>
              <w:ind w:left="0" w:right="0" w:firstLine="100"/>
              <w:jc w:val="left"/>
              <w:rPr/>
            </w:pPr>
            <w:r>
              <w:rPr/>
              <w:t> </w:t>
            </w:r>
          </w:p>
        </w:tc>
      </w:tr>
      <w:tr>
        <w:trPr/>
        <w:tc>
          <w:tcPr>
            <w:tcW w:w="7257" w:type="dxa"/>
            <w:tcBorders/>
            <w:shd w:fill="CFF0FC" w:val="clear"/>
            <w:vAlign w:val="center"/>
          </w:tcPr>
          <w:p>
            <w:pPr>
              <w:pStyle w:val="TableContents"/>
              <w:bidi w:val="0"/>
              <w:spacing w:before="0" w:after="283"/>
              <w:ind w:left="100" w:right="0" w:firstLine="100"/>
              <w:jc w:val="left"/>
              <w:rPr/>
            </w:pPr>
            <w:r>
              <w:rPr>
                <w:color w:val="000000"/>
              </w:rPr>
              <w:t>   </w:t>
            </w:r>
            <w:r>
              <w:rPr>
                <w:rFonts w:ascii="Times New Roman" w:hAnsi="Times New Roman"/>
                <w:b w:val="false"/>
                <w:color w:val="000000"/>
                <w:sz w:val="16"/>
              </w:rPr>
              <w:t>Non-control/non-affiliate investments (cost: $842,050</w:t>
            </w:r>
            <w:r>
              <w:rPr>
                <w:rFonts w:ascii="Times New Roman" w:hAnsi="Times New Roman"/>
                <w:color w:val="000000"/>
                <w:sz w:val="20"/>
              </w:rPr>
              <w:t> </w:t>
            </w:r>
            <w:r>
              <w:rPr>
                <w:rFonts w:ascii="Times New Roman" w:hAnsi="Times New Roman"/>
                <w:b w:val="false"/>
                <w:color w:val="000000"/>
                <w:sz w:val="16"/>
              </w:rPr>
              <w:t>and $754,974, respectively)</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843,702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758,739</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Total investments, at fair value (cost: $895,362</w:t>
            </w:r>
            <w:r>
              <w:rPr>
                <w:rFonts w:ascii="Times New Roman" w:hAnsi="Times New Roman"/>
                <w:color w:val="000000"/>
                <w:sz w:val="20"/>
              </w:rPr>
              <w:t> </w:t>
            </w:r>
            <w:r>
              <w:rPr>
                <w:rFonts w:ascii="Times New Roman" w:hAnsi="Times New Roman"/>
                <w:b w:val="false"/>
                <w:color w:val="000000"/>
                <w:sz w:val="16"/>
              </w:rPr>
              <w:t>and $828,693, respectively)</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926,859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860,329</w:t>
            </w:r>
          </w:p>
        </w:tc>
        <w:tc>
          <w:tcPr>
            <w:tcW w:w="294" w:type="dxa"/>
            <w:tcBorders/>
            <w:shd w:fill="FFFFFF" w:val="cle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80,337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62,350</w:t>
            </w:r>
          </w:p>
        </w:tc>
        <w:tc>
          <w:tcPr>
            <w:tcW w:w="294" w:type="dxa"/>
            <w:tcBorders/>
            <w:shd w:fill="CFF0FC" w:val="cle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receivable</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11,826</w:t>
            </w:r>
          </w:p>
        </w:tc>
        <w:tc>
          <w:tcPr>
            <w:tcW w:w="294" w:type="dxa"/>
            <w:tcBorders/>
            <w:shd w:fill="FFFFFF" w:val="cle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1,455</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1,022,725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935,960</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0"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SBA debentures, net of deferred financing costs (Note 6)</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182,811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148,476</w:t>
            </w:r>
          </w:p>
        </w:tc>
        <w:tc>
          <w:tcPr>
            <w:tcW w:w="294" w:type="dxa"/>
            <w:tcBorders/>
            <w:shd w:fill="FFFFFF" w:val="cle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Notes, net of deferred financing costs (Note 6)</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246,128</w:t>
            </w:r>
          </w:p>
        </w:tc>
        <w:tc>
          <w:tcPr>
            <w:tcW w:w="294" w:type="dxa"/>
            <w:tcBorders/>
            <w:shd w:fill="CFF0FC" w:val="cle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Borrowings under Credit Facility, net of deferred financing costs (Note 6)</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(1,380</w:t>
            </w:r>
          </w:p>
        </w:tc>
        <w:tc>
          <w:tcPr>
            <w:tcW w:w="29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725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Secured borrowings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16,319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16,880</w:t>
            </w:r>
          </w:p>
        </w:tc>
        <w:tc>
          <w:tcPr>
            <w:tcW w:w="294" w:type="dxa"/>
            <w:tcBorders/>
            <w:shd w:fill="CFF0FC" w:val="cle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Accrued interest and fees payable</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4,747</w:t>
            </w:r>
          </w:p>
        </w:tc>
        <w:tc>
          <w:tcPr>
            <w:tcW w:w="294" w:type="dxa"/>
            <w:tcBorders/>
            <w:shd w:fill="FFFFFF" w:val="cle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Base management fee payable, net of base management fee waiver – due to affiliate</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3,769</w:t>
            </w:r>
          </w:p>
        </w:tc>
        <w:tc>
          <w:tcPr>
            <w:tcW w:w="294" w:type="dxa"/>
            <w:tcBorders/>
            <w:shd w:fill="CFF0FC" w:val="cle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 incentive fee payable – due to affiliate</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3,035</w:t>
            </w:r>
          </w:p>
        </w:tc>
        <w:tc>
          <w:tcPr>
            <w:tcW w:w="294" w:type="dxa"/>
            <w:tcBorders/>
            <w:shd w:fill="FFFFFF" w:val="cle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Capital gains incentive fee payable – due to affiliate</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22,659</w:t>
            </w:r>
          </w:p>
        </w:tc>
        <w:tc>
          <w:tcPr>
            <w:tcW w:w="294" w:type="dxa"/>
            <w:tcBorders/>
            <w:shd w:fill="CFF0FC" w:val="cle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Administration fee payable and other – due to affiliate</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576</w:t>
            </w:r>
          </w:p>
        </w:tc>
        <w:tc>
          <w:tcPr>
            <w:tcW w:w="294" w:type="dxa"/>
            <w:tcBorders/>
            <w:shd w:fill="FFFFFF" w:val="cle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Taxes payable</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9,937</w:t>
            </w:r>
          </w:p>
        </w:tc>
        <w:tc>
          <w:tcPr>
            <w:tcW w:w="294" w:type="dxa"/>
            <w:tcBorders/>
            <w:shd w:fill="CFF0FC" w:val="cle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Accounts payable and other liabilities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790</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474,100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455,617</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Commitments and contingencies (Note 7)</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0" w:type="dxa"/>
            <w:gridSpan w:val="2"/>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0"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Common stock, $0.001</w:t>
            </w:r>
            <w:r>
              <w:rPr>
                <w:rFonts w:ascii="Times New Roman" w:hAnsi="Times New Roman"/>
                <w:color w:val="000000"/>
                <w:sz w:val="20"/>
              </w:rPr>
              <w:t> </w:t>
            </w:r>
            <w:r>
              <w:rPr>
                <w:rFonts w:ascii="Times New Roman" w:hAnsi="Times New Roman"/>
                <w:b w:val="false"/>
                <w:color w:val="000000"/>
                <w:sz w:val="16"/>
              </w:rPr>
              <w:t>par value (100,000,000</w:t>
            </w:r>
            <w:r>
              <w:rPr>
                <w:rFonts w:ascii="Times New Roman" w:hAnsi="Times New Roman"/>
                <w:color w:val="000000"/>
                <w:sz w:val="20"/>
              </w:rPr>
              <w:t> </w:t>
            </w:r>
            <w:r>
              <w:rPr>
                <w:rFonts w:ascii="Times New Roman" w:hAnsi="Times New Roman"/>
                <w:b w:val="false"/>
                <w:color w:val="000000"/>
                <w:sz w:val="16"/>
              </w:rPr>
              <w:t>shares authorized, 28,453,469</w:t>
            </w:r>
            <w:r>
              <w:rPr>
                <w:rFonts w:ascii="Times New Roman" w:hAnsi="Times New Roman"/>
                <w:color w:val="000000"/>
                <w:sz w:val="20"/>
              </w:rPr>
              <w:t> </w:t>
            </w:r>
            <w:r>
              <w:rPr>
                <w:rFonts w:ascii="Times New Roman" w:hAnsi="Times New Roman"/>
                <w:b w:val="false"/>
                <w:color w:val="000000"/>
                <w:sz w:val="16"/>
              </w:rPr>
              <w:t>and 24,727,788</w:t>
            </w:r>
            <w:r>
              <w:rPr>
                <w:rFonts w:ascii="Times New Roman" w:hAnsi="Times New Roman"/>
                <w:color w:val="000000"/>
                <w:sz w:val="20"/>
              </w:rPr>
              <w:t> </w:t>
            </w:r>
            <w:r>
              <w:rPr>
                <w:rFonts w:ascii="Times New Roman" w:hAnsi="Times New Roman"/>
                <w:b w:val="false"/>
                <w:color w:val="000000"/>
                <w:sz w:val="16"/>
              </w:rPr>
              <w:t>shares issued and</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0" w:type="dxa"/>
            <w:gridSpan w:val="2"/>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ind w:left="0" w:right="0" w:firstLine="100"/>
              <w:jc w:val="right"/>
              <w:rPr/>
            </w:pPr>
            <w:r>
              <w:rPr/>
              <w:t> </w:t>
            </w:r>
          </w:p>
        </w:tc>
      </w:tr>
      <w:tr>
        <w:trPr/>
        <w:tc>
          <w:tcPr>
            <w:tcW w:w="7257"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b w:val="false"/>
                <w:color w:val="000000"/>
                <w:sz w:val="16"/>
              </w:rPr>
              <w:t>outstanding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294" w:type="dxa"/>
            <w:tcBorders/>
            <w:shd w:fill="CFF0FC" w:val="cle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Additional paid-in capital</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467,881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395,672</w:t>
            </w:r>
          </w:p>
        </w:tc>
        <w:tc>
          <w:tcPr>
            <w:tcW w:w="294" w:type="dxa"/>
            <w:tcBorders/>
            <w:shd w:fill="FFFFFF" w:val="cle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distributable earnings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84,646</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548,625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480,343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1,022,725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935,960</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common share</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19.43</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Notes to Consolidated Financial Statements (unaudited).</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5" w:name="statement_of_operations"/>
      <w:bookmarkEnd w:id="5"/>
      <w:r>
        <w:rPr>
          <w:rFonts w:ascii="Times New Roman" w:hAnsi="Times New Roman"/>
          <w:b/>
          <w:color w:val="000000"/>
          <w:sz w:val="20"/>
        </w:rPr>
        <w:t>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4004"/>
        <w:gridCol w:w="146"/>
        <w:gridCol w:w="196"/>
        <w:gridCol w:w="916"/>
        <w:gridCol w:w="166"/>
        <w:gridCol w:w="146"/>
        <w:gridCol w:w="196"/>
        <w:gridCol w:w="916"/>
        <w:gridCol w:w="166"/>
        <w:gridCol w:w="146"/>
        <w:gridCol w:w="196"/>
        <w:gridCol w:w="916"/>
        <w:gridCol w:w="166"/>
        <w:gridCol w:w="146"/>
        <w:gridCol w:w="196"/>
        <w:gridCol w:w="916"/>
        <w:gridCol w:w="67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71" w:type="dxa"/>
            <w:tcBorders/>
            <w:shd w:fill="FFFFFF" w:val="clear"/>
            <w:vAlign w:val="center"/>
          </w:tcPr>
          <w:p>
            <w:pPr>
              <w:pStyle w:val="TableContents"/>
              <w:bidi w:val="0"/>
              <w:spacing w:before="0" w:after="283"/>
              <w:jc w:val="center"/>
              <w:rPr/>
            </w:pPr>
            <w:r>
              <w:rPr/>
              <w:t> </w:t>
            </w:r>
          </w:p>
        </w:tc>
      </w:tr>
      <w:tr>
        <w:trPr/>
        <w:tc>
          <w:tcPr>
            <w:tcW w:w="40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160"/>
              <w:jc w:val="left"/>
              <w:rPr/>
            </w:pPr>
            <w:r>
              <w:rPr/>
              <w:t> </w:t>
            </w:r>
          </w:p>
        </w:tc>
      </w:tr>
      <w:tr>
        <w:trPr/>
        <w:tc>
          <w:tcPr>
            <w:tcW w:w="4004"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Interest income</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004" w:type="dxa"/>
            <w:tcBorders/>
            <w:shd w:fill="CFF0FC"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Control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671" w:type="dxa"/>
            <w:tcBorders/>
            <w:shd w:fill="CFF0FC" w:val="clear"/>
            <w:vAlign w:val="center"/>
          </w:tcPr>
          <w:p>
            <w:pPr>
              <w:pStyle w:val="TableContents"/>
              <w:bidi w:val="0"/>
              <w:spacing w:before="0" w:after="283"/>
              <w:ind w:left="0" w:right="0" w:firstLine="320"/>
              <w:jc w:val="left"/>
              <w:rPr/>
            </w:pPr>
            <w:r>
              <w:rPr/>
              <w:t> </w:t>
            </w:r>
          </w:p>
        </w:tc>
      </w:tr>
      <w:tr>
        <w:trPr/>
        <w:tc>
          <w:tcPr>
            <w:tcW w:w="4004" w:type="dxa"/>
            <w:tcBorders/>
            <w:shd w:fill="FFFFFF"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2,433</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004" w:type="dxa"/>
            <w:tcBorders/>
            <w:shd w:fill="CFF0FC"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55,532</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FFFFFF" w:val="clear"/>
            <w:vAlign w:val="center"/>
          </w:tcPr>
          <w:p>
            <w:pPr>
              <w:pStyle w:val="TableContents"/>
              <w:bidi w:val="0"/>
              <w:spacing w:before="0" w:after="283"/>
              <w:ind w:left="480" w:right="0" w:firstLine="480"/>
              <w:jc w:val="left"/>
              <w:rPr>
                <w:rFonts w:ascii="Times New Roman" w:hAnsi="Times New Roman"/>
                <w:b w:val="false"/>
                <w:color w:val="000000"/>
                <w:sz w:val="16"/>
              </w:rPr>
            </w:pPr>
            <w:r>
              <w:rPr>
                <w:rFonts w:ascii="Times New Roman" w:hAnsi="Times New Roman"/>
                <w:b w:val="false"/>
                <w:color w:val="000000"/>
                <w:sz w:val="16"/>
              </w:rPr>
              <w:t>Total 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21,511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80,436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57,965</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004"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Payment-in-kind interest income</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320"/>
              <w:jc w:val="left"/>
              <w:rPr/>
            </w:pPr>
            <w:r>
              <w:rPr/>
              <w:t> </w:t>
            </w:r>
          </w:p>
        </w:tc>
      </w:tr>
      <w:tr>
        <w:trPr/>
        <w:tc>
          <w:tcPr>
            <w:tcW w:w="4004" w:type="dxa"/>
            <w:tcBorders/>
            <w:shd w:fill="FFFFFF"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004" w:type="dxa"/>
            <w:tcBorders/>
            <w:shd w:fill="CFF0FC"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w:t>
            </w:r>
          </w:p>
        </w:tc>
        <w:tc>
          <w:tcPr>
            <w:tcW w:w="671" w:type="dxa"/>
            <w:tcBorders/>
            <w:shd w:fill="CFF0FC" w:val="clear"/>
            <w:vAlign w:val="center"/>
          </w:tcPr>
          <w:p>
            <w:pPr>
              <w:pStyle w:val="TableContents"/>
              <w:bidi w:val="0"/>
              <w:spacing w:before="0" w:after="283"/>
              <w:ind w:left="0" w:right="0" w:firstLine="320"/>
              <w:jc w:val="left"/>
              <w:rPr/>
            </w:pPr>
            <w:r>
              <w:rPr/>
              <w:t> </w:t>
            </w:r>
          </w:p>
        </w:tc>
      </w:tr>
      <w:tr>
        <w:trPr/>
        <w:tc>
          <w:tcPr>
            <w:tcW w:w="4004" w:type="dxa"/>
            <w:tcBorders/>
            <w:shd w:fill="FFFFFF"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1,297</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CFF0FC" w:val="clear"/>
            <w:vAlign w:val="center"/>
          </w:tcPr>
          <w:p>
            <w:pPr>
              <w:pStyle w:val="TableContents"/>
              <w:bidi w:val="0"/>
              <w:spacing w:before="0" w:after="283"/>
              <w:ind w:left="480" w:right="0" w:firstLine="480"/>
              <w:jc w:val="left"/>
              <w:rPr>
                <w:rFonts w:ascii="Times New Roman" w:hAnsi="Times New Roman"/>
                <w:b w:val="false"/>
                <w:color w:val="000000"/>
                <w:sz w:val="16"/>
              </w:rPr>
            </w:pPr>
            <w:r>
              <w:rPr>
                <w:rFonts w:ascii="Times New Roman" w:hAnsi="Times New Roman"/>
                <w:b w:val="false"/>
                <w:color w:val="000000"/>
                <w:sz w:val="16"/>
              </w:rPr>
              <w:t>Total payment-in-kind 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1,327</w:t>
            </w:r>
          </w:p>
        </w:tc>
        <w:tc>
          <w:tcPr>
            <w:tcW w:w="671" w:type="dxa"/>
            <w:tcBorders/>
            <w:shd w:fill="CFF0FC" w:val="clear"/>
            <w:vAlign w:val="center"/>
          </w:tcPr>
          <w:p>
            <w:pPr>
              <w:pStyle w:val="TableContents"/>
              <w:bidi w:val="0"/>
              <w:spacing w:before="0" w:after="283"/>
              <w:ind w:left="0" w:right="0" w:firstLine="160"/>
              <w:jc w:val="left"/>
              <w:rPr/>
            </w:pPr>
            <w:r>
              <w:rPr/>
              <w:t> </w:t>
            </w:r>
          </w:p>
        </w:tc>
      </w:tr>
      <w:tr>
        <w:trPr/>
        <w:tc>
          <w:tcPr>
            <w:tcW w:w="4004"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Dividend income</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004" w:type="dxa"/>
            <w:tcBorders/>
            <w:shd w:fill="CFF0FC"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Control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671" w:type="dxa"/>
            <w:tcBorders/>
            <w:shd w:fill="CFF0FC" w:val="clear"/>
            <w:vAlign w:val="center"/>
          </w:tcPr>
          <w:p>
            <w:pPr>
              <w:pStyle w:val="TableContents"/>
              <w:bidi w:val="0"/>
              <w:spacing w:before="0" w:after="283"/>
              <w:ind w:left="0" w:right="0" w:firstLine="320"/>
              <w:jc w:val="left"/>
              <w:rPr/>
            </w:pPr>
            <w:r>
              <w:rPr/>
              <w:t> </w:t>
            </w:r>
          </w:p>
        </w:tc>
      </w:tr>
      <w:tr>
        <w:trPr/>
        <w:tc>
          <w:tcPr>
            <w:tcW w:w="4004" w:type="dxa"/>
            <w:tcBorders/>
            <w:shd w:fill="FFFFFF"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725</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004" w:type="dxa"/>
            <w:tcBorders/>
            <w:shd w:fill="CFF0FC"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685</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FFFFFF" w:val="clear"/>
            <w:vAlign w:val="center"/>
          </w:tcPr>
          <w:p>
            <w:pPr>
              <w:pStyle w:val="TableContents"/>
              <w:bidi w:val="0"/>
              <w:spacing w:before="0" w:after="283"/>
              <w:ind w:left="480" w:right="0" w:firstLine="480"/>
              <w:jc w:val="left"/>
              <w:rPr>
                <w:rFonts w:ascii="Times New Roman" w:hAnsi="Times New Roman"/>
                <w:b w:val="false"/>
                <w:color w:val="000000"/>
                <w:sz w:val="16"/>
              </w:rPr>
            </w:pPr>
            <w:r>
              <w:rPr>
                <w:rFonts w:ascii="Times New Roman" w:hAnsi="Times New Roman"/>
                <w:b w:val="false"/>
                <w:color w:val="000000"/>
                <w:sz w:val="16"/>
              </w:rPr>
              <w:t>Total dividend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1,410</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004"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Fee income</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320"/>
              <w:jc w:val="left"/>
              <w:rPr/>
            </w:pPr>
            <w:r>
              <w:rPr/>
              <w:t> </w:t>
            </w:r>
          </w:p>
        </w:tc>
      </w:tr>
      <w:tr>
        <w:trPr/>
        <w:tc>
          <w:tcPr>
            <w:tcW w:w="4004" w:type="dxa"/>
            <w:tcBorders/>
            <w:shd w:fill="FFFFFF"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004" w:type="dxa"/>
            <w:tcBorders/>
            <w:shd w:fill="CFF0FC"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452</w:t>
            </w:r>
          </w:p>
        </w:tc>
        <w:tc>
          <w:tcPr>
            <w:tcW w:w="671" w:type="dxa"/>
            <w:tcBorders/>
            <w:shd w:fill="CFF0FC" w:val="clear"/>
            <w:vAlign w:val="center"/>
          </w:tcPr>
          <w:p>
            <w:pPr>
              <w:pStyle w:val="TableContents"/>
              <w:bidi w:val="0"/>
              <w:spacing w:before="0" w:after="283"/>
              <w:ind w:left="0" w:right="0" w:firstLine="320"/>
              <w:jc w:val="left"/>
              <w:rPr/>
            </w:pPr>
            <w:r>
              <w:rPr/>
              <w:t> </w:t>
            </w:r>
          </w:p>
        </w:tc>
      </w:tr>
      <w:tr>
        <w:trPr/>
        <w:tc>
          <w:tcPr>
            <w:tcW w:w="4004" w:type="dxa"/>
            <w:tcBorders/>
            <w:shd w:fill="FFFFFF"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5,497</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CFF0FC" w:val="clear"/>
            <w:vAlign w:val="center"/>
          </w:tcPr>
          <w:p>
            <w:pPr>
              <w:pStyle w:val="TableContents"/>
              <w:bidi w:val="0"/>
              <w:spacing w:before="0" w:after="283"/>
              <w:ind w:left="480" w:right="0" w:firstLine="480"/>
              <w:jc w:val="left"/>
              <w:rPr>
                <w:rFonts w:ascii="Times New Roman" w:hAnsi="Times New Roman"/>
                <w:b w:val="false"/>
                <w:color w:val="000000"/>
                <w:sz w:val="16"/>
              </w:rPr>
            </w:pPr>
            <w:r>
              <w:rPr>
                <w:rFonts w:ascii="Times New Roman" w:hAnsi="Times New Roman"/>
                <w:b w:val="false"/>
                <w:color w:val="000000"/>
                <w:sz w:val="16"/>
              </w:rPr>
              <w:t>Total fee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5,949</w:t>
            </w:r>
          </w:p>
        </w:tc>
        <w:tc>
          <w:tcPr>
            <w:tcW w:w="671" w:type="dxa"/>
            <w:tcBorders/>
            <w:shd w:fill="CFF0FC" w:val="clear"/>
            <w:vAlign w:val="center"/>
          </w:tcPr>
          <w:p>
            <w:pPr>
              <w:pStyle w:val="TableContents"/>
              <w:bidi w:val="0"/>
              <w:spacing w:before="0" w:after="283"/>
              <w:ind w:left="0" w:right="0" w:firstLine="160"/>
              <w:jc w:val="left"/>
              <w:rPr/>
            </w:pPr>
            <w:r>
              <w:rPr/>
              <w:t> </w:t>
            </w:r>
          </w:p>
        </w:tc>
      </w:tr>
      <w:tr>
        <w:trPr/>
        <w:tc>
          <w:tcPr>
            <w:tcW w:w="4004"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Interest on idle funds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66,663</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004"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Interest and financing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13,737</w:t>
            </w:r>
          </w:p>
        </w:tc>
        <w:tc>
          <w:tcPr>
            <w:tcW w:w="671" w:type="dxa"/>
            <w:tcBorders/>
            <w:shd w:fill="CFF0FC" w:val="clear"/>
            <w:vAlign w:val="center"/>
          </w:tcPr>
          <w:p>
            <w:pPr>
              <w:pStyle w:val="TableContents"/>
              <w:bidi w:val="0"/>
              <w:spacing w:before="0" w:after="283"/>
              <w:ind w:left="0" w:right="0" w:firstLine="160"/>
              <w:jc w:val="left"/>
              <w:rPr/>
            </w:pPr>
            <w:r>
              <w:rPr/>
              <w:t> </w:t>
            </w:r>
          </w:p>
        </w:tc>
      </w:tr>
      <w:tr>
        <w:trPr/>
        <w:tc>
          <w:tcPr>
            <w:tcW w:w="4004"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Base management fee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10,724</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004"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Incentive fee -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5,283</w:t>
            </w:r>
          </w:p>
        </w:tc>
        <w:tc>
          <w:tcPr>
            <w:tcW w:w="671" w:type="dxa"/>
            <w:tcBorders/>
            <w:shd w:fill="CFF0FC" w:val="clear"/>
            <w:vAlign w:val="center"/>
          </w:tcPr>
          <w:p>
            <w:pPr>
              <w:pStyle w:val="TableContents"/>
              <w:bidi w:val="0"/>
              <w:spacing w:before="0" w:after="283"/>
              <w:ind w:left="0" w:right="0" w:firstLine="160"/>
              <w:jc w:val="left"/>
              <w:rPr/>
            </w:pPr>
            <w:r>
              <w:rPr/>
              <w:t> </w:t>
            </w:r>
          </w:p>
        </w:tc>
      </w:tr>
      <w:tr>
        <w:trPr/>
        <w:tc>
          <w:tcPr>
            <w:tcW w:w="4004"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Incentive fee (reversal) - capital gains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(593</w:t>
            </w:r>
          </w:p>
        </w:tc>
        <w:tc>
          <w:tcPr>
            <w:tcW w:w="671"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6"/>
              </w:rPr>
            </w:pPr>
            <w:r>
              <w:rPr>
                <w:rFonts w:ascii="Times New Roman" w:hAnsi="Times New Roman"/>
                <w:b w:val="false"/>
                <w:color w:val="000000"/>
                <w:sz w:val="16"/>
              </w:rPr>
              <w:t>)</w:t>
            </w:r>
          </w:p>
        </w:tc>
      </w:tr>
      <w:tr>
        <w:trPr/>
        <w:tc>
          <w:tcPr>
            <w:tcW w:w="4004"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Administrative service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1,412</w:t>
            </w:r>
          </w:p>
        </w:tc>
        <w:tc>
          <w:tcPr>
            <w:tcW w:w="671" w:type="dxa"/>
            <w:tcBorders/>
            <w:shd w:fill="CFF0FC" w:val="clear"/>
            <w:vAlign w:val="center"/>
          </w:tcPr>
          <w:p>
            <w:pPr>
              <w:pStyle w:val="TableContents"/>
              <w:bidi w:val="0"/>
              <w:spacing w:before="0" w:after="283"/>
              <w:ind w:left="0" w:right="0" w:firstLine="160"/>
              <w:jc w:val="left"/>
              <w:rPr/>
            </w:pPr>
            <w:r>
              <w:rPr/>
              <w:t> </w:t>
            </w:r>
          </w:p>
        </w:tc>
      </w:tr>
      <w:tr>
        <w:trPr/>
        <w:tc>
          <w:tcPr>
            <w:tcW w:w="4004"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Professional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1,546</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004"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Other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719</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expenses before base management fee waiver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32,828</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Base management fee waiver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(228</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0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expenses, net of base management fee waiver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32,600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investment income before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48,233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34,063</w:t>
            </w:r>
          </w:p>
        </w:tc>
        <w:tc>
          <w:tcPr>
            <w:tcW w:w="671" w:type="dxa"/>
            <w:tcBorders/>
            <w:shd w:fill="CFF0FC" w:val="clear"/>
            <w:vAlign w:val="center"/>
          </w:tcPr>
          <w:p>
            <w:pPr>
              <w:pStyle w:val="TableContents"/>
              <w:bidi w:val="0"/>
              <w:spacing w:before="0" w:after="283"/>
              <w:ind w:left="0" w:right="0" w:firstLine="160"/>
              <w:jc w:val="left"/>
              <w:rPr/>
            </w:pPr>
            <w:r>
              <w:rPr/>
              <w:t> </w:t>
            </w:r>
          </w:p>
        </w:tc>
      </w:tr>
      <w:tr>
        <w:trPr/>
        <w:tc>
          <w:tcPr>
            <w:tcW w:w="4004"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Income tax provision (benefit)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00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34,065</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gains (losses) on investments:</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004"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Net realized gains (losses):</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320"/>
              <w:jc w:val="left"/>
              <w:rPr/>
            </w:pPr>
            <w:r>
              <w:rPr/>
              <w:t> </w:t>
            </w:r>
          </w:p>
        </w:tc>
      </w:tr>
      <w:tr>
        <w:trPr/>
        <w:tc>
          <w:tcPr>
            <w:tcW w:w="4004" w:type="dxa"/>
            <w:tcBorders/>
            <w:shd w:fill="FFFFFF"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342</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004" w:type="dxa"/>
            <w:tcBorders/>
            <w:shd w:fill="CFF0FC"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39,840</w:t>
            </w:r>
          </w:p>
        </w:tc>
        <w:tc>
          <w:tcPr>
            <w:tcW w:w="671" w:type="dxa"/>
            <w:tcBorders/>
            <w:shd w:fill="CFF0FC" w:val="clear"/>
            <w:vAlign w:val="center"/>
          </w:tcPr>
          <w:p>
            <w:pPr>
              <w:pStyle w:val="TableContents"/>
              <w:bidi w:val="0"/>
              <w:spacing w:before="0" w:after="283"/>
              <w:ind w:left="0" w:right="0" w:firstLine="320"/>
              <w:jc w:val="left"/>
              <w:rPr/>
            </w:pPr>
            <w:r>
              <w:rPr/>
              <w:t> </w:t>
            </w:r>
          </w:p>
        </w:tc>
      </w:tr>
      <w:tr>
        <w:trPr/>
        <w:tc>
          <w:tcPr>
            <w:tcW w:w="4004" w:type="dxa"/>
            <w:tcBorders/>
            <w:shd w:fill="FFFFFF"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25,038</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Total net realized gain (loss)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65,220</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Income tax (provision) benefit from realized gains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671"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6"/>
              </w:rPr>
            </w:pPr>
            <w:r>
              <w:rPr>
                <w:rFonts w:ascii="Times New Roman" w:hAnsi="Times New Roman"/>
                <w:b w:val="false"/>
                <w:color w:val="000000"/>
                <w:sz w:val="16"/>
              </w:rPr>
              <w:t>)</w:t>
            </w:r>
          </w:p>
        </w:tc>
      </w:tr>
      <w:tr>
        <w:trPr/>
        <w:tc>
          <w:tcPr>
            <w:tcW w:w="4004"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Net change in unrealized appreciation (depreciation):</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671" w:type="dxa"/>
            <w:tcBorders/>
            <w:shd w:fill="CFF0FC" w:val="clear"/>
            <w:vAlign w:val="center"/>
          </w:tcPr>
          <w:p>
            <w:pPr>
              <w:pStyle w:val="TableContents"/>
              <w:bidi w:val="0"/>
              <w:spacing w:before="0" w:after="283"/>
              <w:ind w:left="0" w:right="0" w:firstLine="320"/>
              <w:jc w:val="right"/>
              <w:rPr/>
            </w:pPr>
            <w:r>
              <w:rPr/>
              <w:t> </w:t>
            </w:r>
          </w:p>
        </w:tc>
      </w:tr>
      <w:tr>
        <w:trPr/>
        <w:tc>
          <w:tcPr>
            <w:tcW w:w="4004" w:type="dxa"/>
            <w:tcBorders/>
            <w:shd w:fill="FFFFFF"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(2,151</w:t>
            </w:r>
          </w:p>
        </w:tc>
        <w:tc>
          <w:tcPr>
            <w:tcW w:w="671" w:type="dxa"/>
            <w:tcBorders/>
            <w:shd w:fill="FFFFFF" w:val="clear"/>
            <w:vAlign w:val="center"/>
          </w:tcPr>
          <w:p>
            <w:pPr>
              <w:pStyle w:val="TableContents"/>
              <w:bidi w:val="0"/>
              <w:spacing w:before="0" w:after="283"/>
              <w:ind w:left="0" w:right="0" w:firstLine="320"/>
              <w:jc w:val="left"/>
              <w:rPr>
                <w:rFonts w:ascii="Times New Roman" w:hAnsi="Times New Roman"/>
                <w:b w:val="false"/>
                <w:color w:val="000000"/>
                <w:sz w:val="16"/>
              </w:rPr>
            </w:pPr>
            <w:r>
              <w:rPr>
                <w:rFonts w:ascii="Times New Roman" w:hAnsi="Times New Roman"/>
                <w:b w:val="false"/>
                <w:color w:val="000000"/>
                <w:sz w:val="16"/>
              </w:rPr>
              <w:t>)</w:t>
            </w:r>
          </w:p>
        </w:tc>
      </w:tr>
      <w:tr>
        <w:trPr/>
        <w:tc>
          <w:tcPr>
            <w:tcW w:w="4004" w:type="dxa"/>
            <w:tcBorders/>
            <w:shd w:fill="CFF0FC"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(9,109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(42,013</w:t>
            </w:r>
          </w:p>
        </w:tc>
        <w:tc>
          <w:tcPr>
            <w:tcW w:w="671" w:type="dxa"/>
            <w:tcBorders/>
            <w:shd w:fill="CFF0FC" w:val="clear"/>
            <w:vAlign w:val="center"/>
          </w:tcPr>
          <w:p>
            <w:pPr>
              <w:pStyle w:val="TableContents"/>
              <w:bidi w:val="0"/>
              <w:spacing w:before="0" w:after="283"/>
              <w:ind w:left="0" w:right="0" w:firstLine="320"/>
              <w:jc w:val="left"/>
              <w:rPr>
                <w:rFonts w:ascii="Times New Roman" w:hAnsi="Times New Roman"/>
                <w:b w:val="false"/>
                <w:color w:val="000000"/>
                <w:sz w:val="16"/>
              </w:rPr>
            </w:pPr>
            <w:r>
              <w:rPr>
                <w:rFonts w:ascii="Times New Roman" w:hAnsi="Times New Roman"/>
                <w:b w:val="false"/>
                <w:color w:val="000000"/>
                <w:sz w:val="16"/>
              </w:rPr>
              <w:t>)</w:t>
            </w:r>
          </w:p>
        </w:tc>
      </w:tr>
      <w:tr>
        <w:trPr/>
        <w:tc>
          <w:tcPr>
            <w:tcW w:w="4004" w:type="dxa"/>
            <w:tcBorders/>
            <w:shd w:fill="FFFFFF" w:val="clear"/>
            <w:vAlign w:val="center"/>
          </w:tcPr>
          <w:p>
            <w:pPr>
              <w:pStyle w:val="TableContents"/>
              <w:bidi w:val="0"/>
              <w:spacing w:before="0" w:after="283"/>
              <w:ind w:left="320" w:right="0" w:firstLine="320"/>
              <w:jc w:val="left"/>
              <w:rPr>
                <w:rFonts w:ascii="Times New Roman" w:hAnsi="Times New Roman"/>
                <w:b w:val="false"/>
                <w:color w:val="000000"/>
                <w:sz w:val="16"/>
              </w:rPr>
            </w:pPr>
            <w:r>
              <w:rPr>
                <w:rFonts w:ascii="Times New Roman" w:hAnsi="Times New Roman"/>
                <w:b w:val="false"/>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(23,650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b w:val="false"/>
                <w:color w:val="000000"/>
                <w:sz w:val="16"/>
              </w:rPr>
            </w:pPr>
            <w:r>
              <w:rPr>
                <w:rFonts w:ascii="Times New Roman" w:hAnsi="Times New Roman"/>
                <w:b w:val="false"/>
                <w:color w:val="000000"/>
                <w:sz w:val="16"/>
              </w:rPr>
              <w:t>)</w:t>
            </w:r>
          </w:p>
        </w:tc>
      </w:tr>
      <w:tr>
        <w:trPr/>
        <w:tc>
          <w:tcPr>
            <w:tcW w:w="4004"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6"/>
              </w:rPr>
            </w:pPr>
            <w:r>
              <w:rPr>
                <w:rFonts w:ascii="Times New Roman" w:hAnsi="Times New Roman"/>
                <w:b w:val="false"/>
                <w:color w:val="000000"/>
                <w:sz w:val="16"/>
              </w:rPr>
              <w:t>Total 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(67,814</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00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gain (loss)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(2,715</w:t>
            </w:r>
          </w:p>
        </w:tc>
        <w:tc>
          <w:tcPr>
            <w:tcW w:w="67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00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losses on extinguishment of debt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(251</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00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31,099</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common share data:</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investment income per share-basic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increase in net assets resulting from operations per share —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Dividends declared per share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Weighted average number of shares outstanding —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26,618,973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24,437,400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25,490,379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24,437,400</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Notes to Consolidated Financial Statements (unaudited).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6" w:name="changes_net_assets"/>
      <w:bookmarkEnd w:id="6"/>
      <w:r>
        <w:rPr>
          <w:rFonts w:ascii="Times New Roman" w:hAnsi="Times New Roman"/>
          <w:b/>
          <w:color w:val="000000"/>
          <w:sz w:val="20"/>
        </w:rPr>
        <w:t>Consolidated Statements of Changes in Net Assets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p>
      <w:pPr>
        <w:pStyle w:val="TextBody"/>
        <w:bidi w:val="0"/>
        <w:jc w:val="left"/>
        <w:rPr/>
      </w:pPr>
      <w:r>
        <w:rPr/>
        <w:t> </w:t>
      </w:r>
    </w:p>
    <w:tbl>
      <w:tblPr>
        <w:tblW w:w="10120" w:type="dxa"/>
        <w:jc w:val="left"/>
        <w:tblInd w:w="0" w:type="dxa"/>
        <w:tblLayout w:type="fixed"/>
        <w:tblCellMar>
          <w:top w:w="28" w:type="dxa"/>
          <w:left w:w="28" w:type="dxa"/>
          <w:bottom w:w="28" w:type="dxa"/>
          <w:right w:w="28" w:type="dxa"/>
        </w:tblCellMar>
      </w:tblPr>
      <w:tblGrid>
        <w:gridCol w:w="4126"/>
        <w:gridCol w:w="146"/>
        <w:gridCol w:w="146"/>
        <w:gridCol w:w="916"/>
        <w:gridCol w:w="146"/>
        <w:gridCol w:w="146"/>
        <w:gridCol w:w="196"/>
        <w:gridCol w:w="346"/>
        <w:gridCol w:w="146"/>
        <w:gridCol w:w="196"/>
        <w:gridCol w:w="196"/>
        <w:gridCol w:w="691"/>
        <w:gridCol w:w="146"/>
        <w:gridCol w:w="146"/>
        <w:gridCol w:w="225"/>
        <w:gridCol w:w="796"/>
        <w:gridCol w:w="166"/>
        <w:gridCol w:w="146"/>
        <w:gridCol w:w="196"/>
        <w:gridCol w:w="691"/>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r>
          </w:p>
        </w:tc>
        <w:tc>
          <w:tcPr>
            <w:tcW w:w="211" w:type="dxa"/>
            <w:tcBorders/>
            <w:shd w:fill="FFFFFF" w:val="cle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24,437,400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361,807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125,933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487,764</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10,338</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on investments, net of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6,869</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(5,319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(5,319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Realized losses on extinguishment of debt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Dividends declared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24,437,400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361,807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124,671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486,502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11,008</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on investments, net of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18,186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18,186</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(21,213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Realized losses on extinguishment of debt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Dividends declared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24,437,400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361,807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122,144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483,975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12,719</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on investments, net of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40,044</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(41,282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(41,282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Realized losses on extinguishment of debt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Dividends declared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24,437,400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361,807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112,556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474,387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24,727,788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480,343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Public offering of common stock, net of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260,610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5,306</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14,723</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on investments, net of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708</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Realized losses on extinguishment of debt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Dividends declared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24,988,398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400,978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484,646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Public offering of common stock, net of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246,574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4,837</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under dividend reinvestment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30,836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604</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16,784</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on investments, net of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(7,079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(7,079</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1,210</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Realized losses on extinguishment of debt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Dividends declared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25,265,808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406,419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483,348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Public offering of common stock, net of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3,187,661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61,462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61,465</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16,660</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on investments, net of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9,719</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(2,057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(2,057</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Realized losses on extinguishment of debt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Dividends declared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28,453,469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467,881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80,716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548,625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*amount is greater than zero but less than one</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Notes to Consolidated Financial Statements (unaudited).</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7" w:name="statements_cash_flows"/>
      <w:bookmarkEnd w:id="7"/>
      <w:r>
        <w:rPr>
          <w:rFonts w:ascii="Times New Roman" w:hAnsi="Times New Roman"/>
          <w:b/>
          <w:color w:val="000000"/>
          <w:sz w:val="20"/>
        </w:rPr>
        <w:t>Consolidated Statements of Cash Flows (unaudited)</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58"/>
        <w:gridCol w:w="346"/>
        <w:gridCol w:w="196"/>
        <w:gridCol w:w="752"/>
        <w:gridCol w:w="346"/>
        <w:gridCol w:w="346"/>
        <w:gridCol w:w="196"/>
        <w:gridCol w:w="752"/>
        <w:gridCol w:w="1013"/>
      </w:tblGrid>
      <w:tr>
        <w:trPr/>
        <w:tc>
          <w:tcPr>
            <w:tcW w:w="62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6258"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5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8"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346" w:type="dxa"/>
            <w:tcBorders/>
            <w:shd w:fill="CFF0FC" w:val="clear"/>
            <w:vAlign w:val="center"/>
          </w:tcPr>
          <w:p>
            <w:pPr>
              <w:pStyle w:val="TableContents"/>
              <w:bidi w:val="0"/>
              <w:spacing w:before="0" w:after="283"/>
              <w:jc w:val="left"/>
              <w:rPr/>
            </w:pPr>
            <w:r>
              <w:rPr/>
              <w:t> </w:t>
            </w:r>
          </w:p>
        </w:tc>
        <w:tc>
          <w:tcPr>
            <w:tcW w:w="948"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48" w:type="dxa"/>
            <w:gridSpan w:val="2"/>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ind w:left="0" w:right="0" w:firstLine="200"/>
              <w:jc w:val="left"/>
              <w:rPr/>
            </w:pPr>
            <w:r>
              <w:rPr/>
              <w:t> </w:t>
            </w:r>
          </w:p>
        </w:tc>
      </w:tr>
      <w:tr>
        <w:trPr/>
        <w:tc>
          <w:tcPr>
            <w:tcW w:w="625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increase (decrease) in net assets resulting from operations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50,703</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31,099</w:t>
            </w:r>
          </w:p>
        </w:tc>
        <w:tc>
          <w:tcPr>
            <w:tcW w:w="1013" w:type="dxa"/>
            <w:tcBorders/>
            <w:shd w:fill="FFFFFF" w:val="clear"/>
            <w:vAlign w:val="center"/>
          </w:tcPr>
          <w:p>
            <w:pPr>
              <w:pStyle w:val="TableContents"/>
              <w:bidi w:val="0"/>
              <w:spacing w:before="0" w:after="283"/>
              <w:jc w:val="left"/>
              <w:rPr/>
            </w:pPr>
            <w:r>
              <w:rPr/>
              <w:t> </w:t>
            </w:r>
          </w:p>
        </w:tc>
      </w:tr>
      <w:tr>
        <w:trPr/>
        <w:tc>
          <w:tcPr>
            <w:tcW w:w="625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Adjustments to reconcile net increase (decrease) in net assets resulting from operations to net cash provided by (used for) operating activities:</w:t>
            </w:r>
          </w:p>
        </w:tc>
        <w:tc>
          <w:tcPr>
            <w:tcW w:w="346" w:type="dxa"/>
            <w:tcBorders/>
            <w:shd w:fill="CFF0FC" w:val="clear"/>
            <w:vAlign w:val="center"/>
          </w:tcPr>
          <w:p>
            <w:pPr>
              <w:pStyle w:val="TableContents"/>
              <w:bidi w:val="0"/>
              <w:spacing w:before="0" w:after="283"/>
              <w:ind w:left="0" w:right="0" w:firstLine="200"/>
              <w:jc w:val="left"/>
              <w:rPr/>
            </w:pPr>
            <w:r>
              <w:rPr/>
              <w:t> </w:t>
            </w:r>
          </w:p>
        </w:tc>
        <w:tc>
          <w:tcPr>
            <w:tcW w:w="948" w:type="dxa"/>
            <w:gridSpan w:val="2"/>
            <w:tcBorders/>
            <w:shd w:fill="CFF0FC" w:val="clear"/>
            <w:vAlign w:val="center"/>
          </w:tcPr>
          <w:p>
            <w:pPr>
              <w:pStyle w:val="TableContents"/>
              <w:bidi w:val="0"/>
              <w:spacing w:before="0" w:after="283"/>
              <w:ind w:left="200" w:right="0" w:firstLine="200"/>
              <w:jc w:val="left"/>
              <w:rPr/>
            </w:pPr>
            <w:r>
              <w:rPr/>
              <w:t> </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0" w:right="0" w:firstLine="200"/>
              <w:jc w:val="left"/>
              <w:rPr/>
            </w:pPr>
            <w:r>
              <w:rPr/>
              <w:t> </w:t>
            </w:r>
          </w:p>
        </w:tc>
        <w:tc>
          <w:tcPr>
            <w:tcW w:w="948" w:type="dxa"/>
            <w:gridSpan w:val="2"/>
            <w:tcBorders/>
            <w:shd w:fill="CFF0FC" w:val="clear"/>
            <w:vAlign w:val="center"/>
          </w:tcPr>
          <w:p>
            <w:pPr>
              <w:pStyle w:val="TableContents"/>
              <w:bidi w:val="0"/>
              <w:spacing w:before="0" w:after="283"/>
              <w:ind w:left="200" w:right="0" w:firstLine="200"/>
              <w:jc w:val="left"/>
              <w:rPr/>
            </w:pPr>
            <w:r>
              <w:rPr/>
              <w:t> </w:t>
            </w:r>
          </w:p>
        </w:tc>
        <w:tc>
          <w:tcPr>
            <w:tcW w:w="1013" w:type="dxa"/>
            <w:tcBorders/>
            <w:shd w:fill="CFF0FC" w:val="clear"/>
            <w:vAlign w:val="center"/>
          </w:tcPr>
          <w:p>
            <w:pPr>
              <w:pStyle w:val="TableContents"/>
              <w:bidi w:val="0"/>
              <w:spacing w:before="0" w:after="283"/>
              <w:ind w:left="0" w:right="0" w:firstLine="400"/>
              <w:jc w:val="left"/>
              <w:rPr/>
            </w:pPr>
            <w:r>
              <w:rPr/>
              <w:t> </w:t>
            </w:r>
          </w:p>
        </w:tc>
      </w:tr>
      <w:tr>
        <w:trPr/>
        <w:tc>
          <w:tcPr>
            <w:tcW w:w="62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Net change in unrealized (appreciation) depreciation on investments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67,814</w:t>
            </w:r>
          </w:p>
        </w:tc>
        <w:tc>
          <w:tcPr>
            <w:tcW w:w="1013" w:type="dxa"/>
            <w:tcBorders/>
            <w:shd w:fill="FFFFFF" w:val="clear"/>
            <w:vAlign w:val="center"/>
          </w:tcPr>
          <w:p>
            <w:pPr>
              <w:pStyle w:val="TableContents"/>
              <w:bidi w:val="0"/>
              <w:spacing w:before="0" w:after="283"/>
              <w:ind w:left="0" w:right="0" w:firstLine="400"/>
              <w:jc w:val="left"/>
              <w:rPr/>
            </w:pPr>
            <w:r>
              <w:rPr/>
              <w:t> </w:t>
            </w:r>
          </w:p>
        </w:tc>
      </w:tr>
      <w:tr>
        <w:trPr/>
        <w:tc>
          <w:tcPr>
            <w:tcW w:w="62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Net realized (gain) loss on investments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(4,267</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(65,220</w:t>
            </w:r>
          </w:p>
        </w:tc>
        <w:tc>
          <w:tcPr>
            <w:tcW w:w="1013"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Interest and dividend income paid-in-kind</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(4,661</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(1,327</w:t>
            </w:r>
          </w:p>
        </w:tc>
        <w:tc>
          <w:tcPr>
            <w:tcW w:w="1013"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Accretion of original issue discount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(344</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w:t>
            </w:r>
          </w:p>
        </w:tc>
        <w:tc>
          <w:tcPr>
            <w:tcW w:w="1013"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Accretion of loan origination fees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(1,809</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(1,094</w:t>
            </w:r>
          </w:p>
        </w:tc>
        <w:tc>
          <w:tcPr>
            <w:tcW w:w="1013"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Purchase of investments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(204,049</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(267,950</w:t>
            </w:r>
          </w:p>
        </w:tc>
        <w:tc>
          <w:tcPr>
            <w:tcW w:w="1013"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Proceeds from sales and repayments of investments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146,363</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128,255</w:t>
            </w:r>
          </w:p>
        </w:tc>
        <w:tc>
          <w:tcPr>
            <w:tcW w:w="1013" w:type="dxa"/>
            <w:tcBorders/>
            <w:shd w:fill="FFFFFF" w:val="clear"/>
            <w:vAlign w:val="center"/>
          </w:tcPr>
          <w:p>
            <w:pPr>
              <w:pStyle w:val="TableContents"/>
              <w:bidi w:val="0"/>
              <w:spacing w:before="0" w:after="283"/>
              <w:ind w:left="0" w:right="0" w:firstLine="400"/>
              <w:jc w:val="left"/>
              <w:rPr/>
            </w:pPr>
            <w:r>
              <w:rPr/>
              <w:t> </w:t>
            </w:r>
          </w:p>
        </w:tc>
      </w:tr>
      <w:tr>
        <w:trPr/>
        <w:tc>
          <w:tcPr>
            <w:tcW w:w="62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Proceeds from loan origination fees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2,098</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1,869</w:t>
            </w:r>
          </w:p>
        </w:tc>
        <w:tc>
          <w:tcPr>
            <w:tcW w:w="1013" w:type="dxa"/>
            <w:tcBorders/>
            <w:shd w:fill="CFF0FC" w:val="clear"/>
            <w:vAlign w:val="center"/>
          </w:tcPr>
          <w:p>
            <w:pPr>
              <w:pStyle w:val="TableContents"/>
              <w:bidi w:val="0"/>
              <w:spacing w:before="0" w:after="283"/>
              <w:ind w:left="0" w:right="0" w:firstLine="400"/>
              <w:jc w:val="left"/>
              <w:rPr/>
            </w:pPr>
            <w:r>
              <w:rPr/>
              <w:t> </w:t>
            </w:r>
          </w:p>
        </w:tc>
      </w:tr>
      <w:tr>
        <w:trPr/>
        <w:tc>
          <w:tcPr>
            <w:tcW w:w="62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Realized losses on extinguishment of debt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251</w:t>
            </w:r>
          </w:p>
        </w:tc>
        <w:tc>
          <w:tcPr>
            <w:tcW w:w="1013" w:type="dxa"/>
            <w:tcBorders/>
            <w:shd w:fill="FFFFFF" w:val="clear"/>
            <w:vAlign w:val="center"/>
          </w:tcPr>
          <w:p>
            <w:pPr>
              <w:pStyle w:val="TableContents"/>
              <w:bidi w:val="0"/>
              <w:spacing w:before="0" w:after="283"/>
              <w:ind w:left="0" w:right="0" w:firstLine="400"/>
              <w:jc w:val="left"/>
              <w:rPr/>
            </w:pPr>
            <w:r>
              <w:rPr/>
              <w:t> </w:t>
            </w:r>
          </w:p>
        </w:tc>
      </w:tr>
      <w:tr>
        <w:trPr/>
        <w:tc>
          <w:tcPr>
            <w:tcW w:w="62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Amortization of deferred financing costs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1,593</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1,588</w:t>
            </w:r>
          </w:p>
        </w:tc>
        <w:tc>
          <w:tcPr>
            <w:tcW w:w="1013" w:type="dxa"/>
            <w:tcBorders/>
            <w:shd w:fill="CFF0FC" w:val="clear"/>
            <w:vAlign w:val="center"/>
          </w:tcPr>
          <w:p>
            <w:pPr>
              <w:pStyle w:val="TableContents"/>
              <w:bidi w:val="0"/>
              <w:spacing w:before="0" w:after="283"/>
              <w:ind w:left="0" w:right="0" w:firstLine="400"/>
              <w:jc w:val="left"/>
              <w:rPr/>
            </w:pPr>
            <w:r>
              <w:rPr/>
              <w:t> </w:t>
            </w:r>
          </w:p>
        </w:tc>
      </w:tr>
      <w:tr>
        <w:trPr/>
        <w:tc>
          <w:tcPr>
            <w:tcW w:w="62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Amortization of deferred equity financing costs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1013" w:type="dxa"/>
            <w:tcBorders/>
            <w:shd w:fill="FFFFFF" w:val="clear"/>
            <w:vAlign w:val="center"/>
          </w:tcPr>
          <w:p>
            <w:pPr>
              <w:pStyle w:val="TableContents"/>
              <w:bidi w:val="0"/>
              <w:spacing w:before="0" w:after="283"/>
              <w:ind w:left="0" w:right="0" w:firstLine="400"/>
              <w:jc w:val="left"/>
              <w:rPr/>
            </w:pPr>
            <w:r>
              <w:rPr/>
              <w:t> </w:t>
            </w:r>
          </w:p>
        </w:tc>
      </w:tr>
      <w:tr>
        <w:trPr/>
        <w:tc>
          <w:tcPr>
            <w:tcW w:w="62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Changes in operating assets and liabilities:</w:t>
            </w:r>
          </w:p>
        </w:tc>
        <w:tc>
          <w:tcPr>
            <w:tcW w:w="346" w:type="dxa"/>
            <w:tcBorders/>
            <w:shd w:fill="CFF0FC" w:val="clear"/>
            <w:vAlign w:val="center"/>
          </w:tcPr>
          <w:p>
            <w:pPr>
              <w:pStyle w:val="TableContents"/>
              <w:bidi w:val="0"/>
              <w:spacing w:before="0" w:after="283"/>
              <w:jc w:val="left"/>
              <w:rPr/>
            </w:pPr>
            <w:r>
              <w:rPr/>
              <w:t> </w:t>
            </w:r>
          </w:p>
        </w:tc>
        <w:tc>
          <w:tcPr>
            <w:tcW w:w="948"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948" w:type="dxa"/>
            <w:gridSpan w:val="2"/>
            <w:tcBorders/>
            <w:shd w:fill="CFF0FC" w:val="clear"/>
            <w:vAlign w:val="center"/>
          </w:tcPr>
          <w:p>
            <w:pPr>
              <w:pStyle w:val="TableContents"/>
              <w:bidi w:val="0"/>
              <w:spacing w:before="0" w:after="283"/>
              <w:jc w:val="right"/>
              <w:rPr/>
            </w:pPr>
            <w:r>
              <w:rPr/>
              <w:t> </w:t>
            </w:r>
          </w:p>
        </w:tc>
        <w:tc>
          <w:tcPr>
            <w:tcW w:w="1013" w:type="dxa"/>
            <w:tcBorders/>
            <w:shd w:fill="CFF0FC" w:val="clear"/>
            <w:vAlign w:val="center"/>
          </w:tcPr>
          <w:p>
            <w:pPr>
              <w:pStyle w:val="TableContents"/>
              <w:bidi w:val="0"/>
              <w:spacing w:before="0" w:after="283"/>
              <w:ind w:left="0" w:right="0" w:firstLine="600"/>
              <w:jc w:val="right"/>
              <w:rPr/>
            </w:pPr>
            <w:r>
              <w:rPr/>
              <w:t> </w:t>
            </w:r>
          </w:p>
        </w:tc>
      </w:tr>
      <w:tr>
        <w:trPr/>
        <w:tc>
          <w:tcPr>
            <w:tcW w:w="6258"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Interest receivable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(1,903</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(3,412</w:t>
            </w:r>
          </w:p>
        </w:tc>
        <w:tc>
          <w:tcPr>
            <w:tcW w:w="1013"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Prepaid expenses and other assets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(384</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(367</w:t>
            </w:r>
          </w:p>
        </w:tc>
        <w:tc>
          <w:tcPr>
            <w:tcW w:w="1013"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Accrued interest and fees payable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(1,410</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(1,625</w:t>
            </w:r>
          </w:p>
        </w:tc>
        <w:tc>
          <w:tcPr>
            <w:tcW w:w="1013"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Base management fee payable, net of base management fee waiver – due to affiliate</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320</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552</w:t>
            </w:r>
          </w:p>
        </w:tc>
        <w:tc>
          <w:tcPr>
            <w:tcW w:w="1013" w:type="dxa"/>
            <w:tcBorders/>
            <w:shd w:fill="CFF0FC" w:val="clear"/>
            <w:vAlign w:val="center"/>
          </w:tcPr>
          <w:p>
            <w:pPr>
              <w:pStyle w:val="TableContents"/>
              <w:bidi w:val="0"/>
              <w:spacing w:before="0" w:after="283"/>
              <w:ind w:left="0" w:right="0" w:firstLine="600"/>
              <w:jc w:val="left"/>
              <w:rPr/>
            </w:pPr>
            <w:r>
              <w:rPr/>
              <w:t> </w:t>
            </w:r>
          </w:p>
        </w:tc>
      </w:tr>
      <w:tr>
        <w:trPr/>
        <w:tc>
          <w:tcPr>
            <w:tcW w:w="6258"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Income incentive fee payable – due to affiliate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1,444</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425</w:t>
            </w:r>
          </w:p>
        </w:tc>
        <w:tc>
          <w:tcPr>
            <w:tcW w:w="1013" w:type="dxa"/>
            <w:tcBorders/>
            <w:shd w:fill="FFFFFF" w:val="clear"/>
            <w:vAlign w:val="center"/>
          </w:tcPr>
          <w:p>
            <w:pPr>
              <w:pStyle w:val="TableContents"/>
              <w:bidi w:val="0"/>
              <w:spacing w:before="0" w:after="283"/>
              <w:ind w:left="0" w:right="0" w:firstLine="600"/>
              <w:jc w:val="left"/>
              <w:rPr/>
            </w:pPr>
            <w:r>
              <w:rPr/>
              <w:t> </w:t>
            </w:r>
          </w:p>
        </w:tc>
      </w:tr>
      <w:tr>
        <w:trPr/>
        <w:tc>
          <w:tcPr>
            <w:tcW w:w="6258"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Capital gains incentive fee (reversal) – due to (from) affiliate</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(7,048</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(6,729</w:t>
            </w:r>
          </w:p>
        </w:tc>
        <w:tc>
          <w:tcPr>
            <w:tcW w:w="1013"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Administration fee payable and other – due to affiliate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w:t>
            </w:r>
          </w:p>
        </w:tc>
        <w:tc>
          <w:tcPr>
            <w:tcW w:w="1013"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Taxes payable</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(9,660</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(2,095</w:t>
            </w:r>
          </w:p>
        </w:tc>
        <w:tc>
          <w:tcPr>
            <w:tcW w:w="1013"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Accounts payable and other liabilities</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859</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58" w:type="dxa"/>
            <w:tcBorders/>
            <w:shd w:fill="CFF0FC"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Net cash provided by (used for) operating activities</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(32,807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(117,353</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346" w:type="dxa"/>
            <w:tcBorders/>
            <w:shd w:fill="FFFFFF" w:val="clear"/>
            <w:vAlign w:val="center"/>
          </w:tcPr>
          <w:p>
            <w:pPr>
              <w:pStyle w:val="TableContents"/>
              <w:bidi w:val="0"/>
              <w:spacing w:before="0" w:after="283"/>
              <w:jc w:val="left"/>
              <w:rPr/>
            </w:pPr>
            <w:r>
              <w:rPr/>
              <w:t> </w:t>
            </w:r>
          </w:p>
        </w:tc>
        <w:tc>
          <w:tcPr>
            <w:tcW w:w="948"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8" w:type="dxa"/>
            <w:gridSpan w:val="2"/>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ind w:left="0" w:right="0" w:firstLine="400"/>
              <w:jc w:val="left"/>
              <w:rPr/>
            </w:pPr>
            <w:r>
              <w:rPr/>
              <w:t> </w:t>
            </w:r>
          </w:p>
        </w:tc>
      </w:tr>
      <w:tr>
        <w:trPr/>
        <w:tc>
          <w:tcPr>
            <w:tcW w:w="62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Proceeds from common stock offerings, net of expenses (Note 8)</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71,608</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color w:val="000000"/>
              </w:rPr>
            </w:pPr>
            <w:r>
              <w:rPr>
                <w:color w:val="000000"/>
              </w:rPr>
              <w:t>—</w:t>
            </w:r>
          </w:p>
        </w:tc>
        <w:tc>
          <w:tcPr>
            <w:tcW w:w="1013" w:type="dxa"/>
            <w:tcBorders/>
            <w:shd w:fill="CFF0FC" w:val="clear"/>
            <w:vAlign w:val="center"/>
          </w:tcPr>
          <w:p>
            <w:pPr>
              <w:pStyle w:val="TableContents"/>
              <w:bidi w:val="0"/>
              <w:spacing w:before="0" w:after="283"/>
              <w:ind w:left="0" w:right="0" w:firstLine="400"/>
              <w:jc w:val="left"/>
              <w:rPr/>
            </w:pPr>
            <w:r>
              <w:rPr/>
              <w:t> </w:t>
            </w:r>
          </w:p>
        </w:tc>
      </w:tr>
      <w:tr>
        <w:trPr/>
        <w:tc>
          <w:tcPr>
            <w:tcW w:w="62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Proceeds received from SBA debentures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40,000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56,000</w:t>
            </w:r>
          </w:p>
        </w:tc>
        <w:tc>
          <w:tcPr>
            <w:tcW w:w="1013" w:type="dxa"/>
            <w:tcBorders/>
            <w:shd w:fill="FFFFFF" w:val="clear"/>
            <w:vAlign w:val="center"/>
          </w:tcPr>
          <w:p>
            <w:pPr>
              <w:pStyle w:val="TableContents"/>
              <w:bidi w:val="0"/>
              <w:spacing w:before="0" w:after="283"/>
              <w:ind w:left="0" w:right="0" w:firstLine="400"/>
              <w:jc w:val="left"/>
              <w:rPr/>
            </w:pPr>
            <w:r>
              <w:rPr/>
              <w:t> </w:t>
            </w:r>
          </w:p>
        </w:tc>
      </w:tr>
      <w:tr>
        <w:trPr/>
        <w:tc>
          <w:tcPr>
            <w:tcW w:w="62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Repayments of SBA debentures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(30,000</w:t>
            </w:r>
          </w:p>
        </w:tc>
        <w:tc>
          <w:tcPr>
            <w:tcW w:w="1013"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Proceeds received from (repayments of) borrowings under Credit Facility, net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1013" w:type="dxa"/>
            <w:tcBorders/>
            <w:shd w:fill="FFFFFF" w:val="clear"/>
            <w:vAlign w:val="center"/>
          </w:tcPr>
          <w:p>
            <w:pPr>
              <w:pStyle w:val="TableContents"/>
              <w:bidi w:val="0"/>
              <w:spacing w:before="0" w:after="283"/>
              <w:ind w:left="0" w:right="0" w:firstLine="400"/>
              <w:jc w:val="left"/>
              <w:rPr/>
            </w:pPr>
            <w:r>
              <w:rPr/>
              <w:t> </w:t>
            </w:r>
          </w:p>
        </w:tc>
      </w:tr>
      <w:tr>
        <w:trPr/>
        <w:tc>
          <w:tcPr>
            <w:tcW w:w="62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Proceeds received from (repayments of) Secured Borrowings, net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(561</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(642</w:t>
            </w:r>
          </w:p>
        </w:tc>
        <w:tc>
          <w:tcPr>
            <w:tcW w:w="1013"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Payment of deferred financing costs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(1,224</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(3,043</w:t>
            </w:r>
          </w:p>
        </w:tc>
        <w:tc>
          <w:tcPr>
            <w:tcW w:w="1013"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Dividends paid to stockholders, including expenses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(54,029</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(33,968</w:t>
            </w:r>
          </w:p>
        </w:tc>
        <w:tc>
          <w:tcPr>
            <w:tcW w:w="1013"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Net cash provided by (used for) financing activities</w:t>
            </w:r>
          </w:p>
        </w:tc>
        <w:tc>
          <w:tcPr>
            <w:tcW w:w="3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50,794</w:t>
            </w:r>
          </w:p>
        </w:tc>
        <w:tc>
          <w:tcPr>
            <w:tcW w:w="3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(11,653</w:t>
            </w:r>
          </w:p>
        </w:tc>
        <w:tc>
          <w:tcPr>
            <w:tcW w:w="1013" w:type="dxa"/>
            <w:tcBorders>
              <w:top w:val="single" w:sz="4" w:space="0" w:color="000000"/>
            </w:tcBorders>
            <w:tcMar>
              <w:left w:w="0" w:type="dxa"/>
              <w:bottom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CFF0FC"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17,987</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(129,006</w:t>
            </w:r>
          </w:p>
        </w:tc>
        <w:tc>
          <w:tcPr>
            <w:tcW w:w="101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25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w:t>
            </w:r>
          </w:p>
        </w:tc>
        <w:tc>
          <w:tcPr>
            <w:tcW w:w="346" w:type="dxa"/>
            <w:tcBorders/>
            <w:shd w:fill="FFFFFF" w:val="clear"/>
            <w:vAlign w:val="center"/>
          </w:tcPr>
          <w:p>
            <w:pPr>
              <w:pStyle w:val="TableContents"/>
              <w:bidi w:val="0"/>
              <w:spacing w:before="0" w:after="283"/>
              <w:jc w:val="left"/>
              <w:rPr/>
            </w:pPr>
            <w:r>
              <w:rPr/>
              <w:t> </w:t>
            </w:r>
          </w:p>
        </w:tc>
        <w:tc>
          <w:tcPr>
            <w:tcW w:w="948"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8" w:type="dxa"/>
            <w:gridSpan w:val="2"/>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ind w:left="0" w:right="0" w:firstLine="400"/>
              <w:jc w:val="left"/>
              <w:rPr/>
            </w:pPr>
            <w:r>
              <w:rPr/>
              <w:t> </w:t>
            </w:r>
          </w:p>
        </w:tc>
      </w:tr>
      <w:tr>
        <w:trPr/>
        <w:tc>
          <w:tcPr>
            <w:tcW w:w="62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Beginning of period</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62,350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169,417</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End of period</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80,337</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40,411</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8"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Supplemental information and non-cash activities</w:t>
            </w: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948"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48" w:type="dxa"/>
            <w:gridSpan w:val="2"/>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ind w:left="0" w:right="0" w:firstLine="400"/>
              <w:jc w:val="left"/>
              <w:rPr/>
            </w:pPr>
            <w:r>
              <w:rPr/>
              <w:t> </w:t>
            </w:r>
          </w:p>
        </w:tc>
      </w:tr>
      <w:tr>
        <w:trPr/>
        <w:tc>
          <w:tcPr>
            <w:tcW w:w="62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Cash payments for interest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16,578</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13,774</w:t>
            </w:r>
          </w:p>
        </w:tc>
        <w:tc>
          <w:tcPr>
            <w:tcW w:w="1013" w:type="dxa"/>
            <w:tcBorders/>
            <w:shd w:fill="FFFFFF" w:val="clear"/>
            <w:vAlign w:val="center"/>
          </w:tcPr>
          <w:p>
            <w:pPr>
              <w:pStyle w:val="TableContents"/>
              <w:bidi w:val="0"/>
              <w:spacing w:before="0" w:after="283"/>
              <w:ind w:left="0" w:right="0" w:firstLine="400"/>
              <w:jc w:val="left"/>
              <w:rPr/>
            </w:pPr>
            <w:r>
              <w:rPr/>
              <w:t> </w:t>
            </w:r>
          </w:p>
        </w:tc>
      </w:tr>
      <w:tr>
        <w:trPr/>
        <w:tc>
          <w:tcPr>
            <w:tcW w:w="62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Cash payments for taxes, net of tax refunds received</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11,295</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2,214</w:t>
            </w:r>
          </w:p>
        </w:tc>
        <w:tc>
          <w:tcPr>
            <w:tcW w:w="1013" w:type="dxa"/>
            <w:tcBorders/>
            <w:shd w:fill="CFF0FC" w:val="clear"/>
            <w:vAlign w:val="center"/>
          </w:tcPr>
          <w:p>
            <w:pPr>
              <w:pStyle w:val="TableContents"/>
              <w:bidi w:val="0"/>
              <w:spacing w:before="0" w:after="283"/>
              <w:ind w:left="0" w:right="0" w:firstLine="400"/>
              <w:jc w:val="left"/>
              <w:rPr/>
            </w:pPr>
            <w:r>
              <w:rPr/>
              <w:t> </w:t>
            </w:r>
          </w:p>
        </w:tc>
      </w:tr>
      <w:tr>
        <w:trPr/>
        <w:tc>
          <w:tcPr>
            <w:tcW w:w="62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Dividends payable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10,508</w:t>
            </w:r>
          </w:p>
        </w:tc>
        <w:tc>
          <w:tcPr>
            <w:tcW w:w="1013"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Notes to Consolidated Financial Statements (unaudited).</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bookmarkStart w:id="8" w:name="consolidated_schedule_of_investments"/>
      <w:bookmarkEnd w:id="8"/>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2023</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26"/>
        <w:gridCol w:w="1367"/>
        <w:gridCol w:w="886"/>
        <w:gridCol w:w="677"/>
        <w:gridCol w:w="635"/>
        <w:gridCol w:w="603"/>
        <w:gridCol w:w="166"/>
        <w:gridCol w:w="436"/>
        <w:gridCol w:w="146"/>
        <w:gridCol w:w="146"/>
        <w:gridCol w:w="166"/>
        <w:gridCol w:w="436"/>
        <w:gridCol w:w="146"/>
        <w:gridCol w:w="146"/>
        <w:gridCol w:w="166"/>
        <w:gridCol w:w="436"/>
        <w:gridCol w:w="146"/>
        <w:gridCol w:w="205"/>
        <w:gridCol w:w="316"/>
        <w:gridCol w:w="354"/>
      </w:tblGrid>
      <w:tr>
        <w:trPr/>
        <w:tc>
          <w:tcPr>
            <w:tcW w:w="262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Portfolio Company (a)(b)</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Variable Index</w:t>
            </w:r>
          </w:p>
        </w:tc>
        <w:tc>
          <w:tcPr>
            <w:tcW w:w="677"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Rate (e)</w:t>
            </w:r>
          </w:p>
        </w:tc>
        <w:tc>
          <w:tcPr>
            <w:tcW w:w="635"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Fair</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Percent of</w:t>
            </w:r>
          </w:p>
        </w:tc>
        <w:tc>
          <w:tcPr>
            <w:tcW w:w="354" w:type="dxa"/>
            <w:tcBorders/>
            <w:shd w:fill="FFFFFF" w:val="clear"/>
            <w:vAlign w:val="center"/>
          </w:tcPr>
          <w:p>
            <w:pPr>
              <w:pStyle w:val="TableContents"/>
              <w:bidi w:val="0"/>
              <w:spacing w:before="0" w:after="283"/>
              <w:jc w:val="center"/>
              <w:rPr/>
            </w:pPr>
            <w:r>
              <w:rPr/>
              <w:t> </w:t>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 Type (c)</w:t>
            </w:r>
          </w:p>
        </w:tc>
        <w:tc>
          <w:tcPr>
            <w:tcW w:w="1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Industry</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Spread / Floor (d)</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Cash/PIK</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Date (f)</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Maturity</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Assets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Control Investments (t)</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US GreenFiber, LLC (n)</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Building Products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(j)(y)</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10.00%/3.00%</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7/3/2014</w:t>
            </w:r>
          </w:p>
        </w:tc>
        <w:tc>
          <w:tcPr>
            <w:tcW w:w="60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8/30/2024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5,226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(2,522</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7/3/2014</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(425,508</w:t>
            </w:r>
            <w:r>
              <w:rPr>
                <w:rFonts w:ascii="Times New Roman" w:hAnsi="Times New Roman"/>
                <w:color w:val="000000"/>
                <w:sz w:val="20"/>
              </w:rPr>
              <w:t> </w:t>
            </w:r>
            <w:r>
              <w:rPr>
                <w:rFonts w:ascii="Times New Roman" w:hAnsi="Times New Roman"/>
                <w:b w:val="false"/>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8/30/2019</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(1,022,813</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7/1/2020</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6,832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Affiliate Investments (l)</w:t>
            </w:r>
          </w:p>
        </w:tc>
        <w:tc>
          <w:tcPr>
            <w:tcW w:w="1367" w:type="dxa"/>
            <w:tcBorders/>
            <w:shd w:fill="CFF0FC" w:val="clear"/>
            <w:vAlign w:val="center"/>
          </w:tcPr>
          <w:p>
            <w:pPr>
              <w:pStyle w:val="TableContents"/>
              <w:bidi w:val="0"/>
              <w:spacing w:before="0" w:after="283"/>
              <w:jc w:val="center"/>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Applegate Greenfiber Intermediate Inc. (fka US GreenFiber, LLC)</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Building Products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10.00%/0.00%</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12/31/2021</w:t>
            </w:r>
          </w:p>
        </w:tc>
        <w:tc>
          <w:tcPr>
            <w:tcW w:w="60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12/31/2027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9,602</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(5,690</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12/31/2021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6,088</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(7,113</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12/31/2021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8,120</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(2,012</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12/31/2021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23,810</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Medsurant Holdings, LLC</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Healthcare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(84,997</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4/12/2011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1,021</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Warrant (252,588</w:t>
            </w:r>
            <w:r>
              <w:rPr>
                <w:rFonts w:ascii="Times New Roman" w:hAnsi="Times New Roman"/>
                <w:color w:val="000000"/>
                <w:sz w:val="20"/>
              </w:rPr>
              <w:t> </w:t>
            </w:r>
            <w:r>
              <w:rPr>
                <w:rFonts w:ascii="Times New Roman" w:hAnsi="Times New Roman"/>
                <w:b w:val="false"/>
                <w:color w:val="000000"/>
                <w:sz w:val="10"/>
              </w:rPr>
              <w:t>units) (h)(j)(m)</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4/12/2011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2,902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4,597</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Pfanstiehl, Inc.</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Healthcare Products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(2,550</w:t>
            </w:r>
            <w:r>
              <w:rPr>
                <w:rFonts w:ascii="Times New Roman" w:hAnsi="Times New Roman"/>
                <w:color w:val="000000"/>
                <w:sz w:val="20"/>
              </w:rPr>
              <w:t> </w:t>
            </w:r>
            <w:r>
              <w:rPr>
                <w:rFonts w:ascii="Times New Roman" w:hAnsi="Times New Roman"/>
                <w:b w:val="false"/>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3/29/2013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33,770</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Spectra A&amp;D Acquisition, Inc. (fka FDS Avionics Corp.)</w:t>
            </w:r>
          </w:p>
        </w:tc>
        <w:tc>
          <w:tcPr>
            <w:tcW w:w="136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Aerospace &amp; Defense Manufacturing</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(k)(ag)</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+ 5.50%) / (1.00%)</w:t>
            </w:r>
          </w:p>
        </w:tc>
        <w:tc>
          <w:tcPr>
            <w:tcW w:w="67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11.40%/0.00%</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2/12/2021</w:t>
            </w:r>
          </w:p>
        </w:tc>
        <w:tc>
          <w:tcPr>
            <w:tcW w:w="60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2/11/2026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14,948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14,492</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(12,035</w:t>
            </w:r>
            <w:r>
              <w:rPr>
                <w:rFonts w:ascii="Times New Roman" w:hAnsi="Times New Roman"/>
                <w:color w:val="000000"/>
                <w:sz w:val="20"/>
              </w:rPr>
              <w:t> </w:t>
            </w:r>
            <w:r>
              <w:rPr>
                <w:rFonts w:ascii="Times New Roman" w:hAnsi="Times New Roman"/>
                <w:b w:val="false"/>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8/25/2021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422</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(41,290</w:t>
            </w:r>
            <w:r>
              <w:rPr>
                <w:rFonts w:ascii="Times New Roman" w:hAnsi="Times New Roman"/>
                <w:color w:val="000000"/>
                <w:sz w:val="20"/>
              </w:rPr>
              <w:t> </w:t>
            </w:r>
            <w:r>
              <w:rPr>
                <w:rFonts w:ascii="Times New Roman" w:hAnsi="Times New Roman"/>
                <w:b w:val="false"/>
                <w:color w:val="000000"/>
                <w:sz w:val="10"/>
              </w:rPr>
              <w:t>units)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12/16/2022</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(6,783</w:t>
            </w:r>
            <w:r>
              <w:rPr>
                <w:rFonts w:ascii="Times New Roman" w:hAnsi="Times New Roman"/>
                <w:color w:val="000000"/>
                <w:sz w:val="20"/>
              </w:rPr>
              <w:t> </w:t>
            </w:r>
            <w:r>
              <w:rPr>
                <w:rFonts w:ascii="Times New Roman" w:hAnsi="Times New Roman"/>
                <w:b w:val="false"/>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7/10/2023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686</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(4,921</w:t>
            </w:r>
            <w:r>
              <w:rPr>
                <w:rFonts w:ascii="Times New Roman" w:hAnsi="Times New Roman"/>
                <w:color w:val="000000"/>
                <w:sz w:val="20"/>
              </w:rPr>
              <w:t> </w:t>
            </w:r>
            <w:r>
              <w:rPr>
                <w:rFonts w:ascii="Times New Roman" w:hAnsi="Times New Roman"/>
                <w:b w:val="false"/>
                <w:color w:val="000000"/>
                <w:sz w:val="10"/>
              </w:rPr>
              <w:t>units)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9/16/2022</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16,111</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Steward Holding LLC (dba Steward Advanced Materials)</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Aerospace &amp; Defense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(1,000,000</w:t>
            </w:r>
            <w:r>
              <w:rPr>
                <w:rFonts w:ascii="Times New Roman" w:hAnsi="Times New Roman"/>
                <w:color w:val="000000"/>
                <w:sz w:val="20"/>
              </w:rPr>
              <w:t> </w:t>
            </w:r>
            <w:r>
              <w:rPr>
                <w:rFonts w:ascii="Times New Roman" w:hAnsi="Times New Roman"/>
                <w:b w:val="false"/>
                <w:color w:val="000000"/>
                <w:sz w:val="10"/>
              </w:rPr>
              <w:t>units)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11/12/2015</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4,869</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46,480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83,157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Non-control/Non-affiliate Investments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2KDirect, Inc. (dba iPromote)</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(k)(at)</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+ 7.25%) / (0.50%)</w:t>
            </w:r>
          </w:p>
        </w:tc>
        <w:tc>
          <w:tcPr>
            <w:tcW w:w="67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12.63%/0.00%</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6/25/2021</w:t>
            </w:r>
          </w:p>
        </w:tc>
        <w:tc>
          <w:tcPr>
            <w:tcW w:w="60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6/25/2026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11,037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10,865</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(j)(aa)</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+ 7.25%) / (0.50%)</w:t>
            </w:r>
          </w:p>
        </w:tc>
        <w:tc>
          <w:tcPr>
            <w:tcW w:w="67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12.63%/0.00%</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7/30/2021</w:t>
            </w:r>
          </w:p>
        </w:tc>
        <w:tc>
          <w:tcPr>
            <w:tcW w:w="60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6/25/2026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3,396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3,396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3,396</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(1,000,000</w:t>
            </w:r>
            <w:r>
              <w:rPr>
                <w:rFonts w:ascii="Times New Roman" w:hAnsi="Times New Roman"/>
                <w:color w:val="000000"/>
                <w:sz w:val="20"/>
              </w:rPr>
              <w:t> </w:t>
            </w:r>
            <w:r>
              <w:rPr>
                <w:rFonts w:ascii="Times New Roman" w:hAnsi="Times New Roman"/>
                <w:b w:val="false"/>
                <w:color w:val="000000"/>
                <w:sz w:val="10"/>
              </w:rPr>
              <w:t>units)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6/25/2021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14,714</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Acendre Midco, Inc.</w:t>
            </w:r>
          </w:p>
        </w:tc>
        <w:tc>
          <w:tcPr>
            <w:tcW w:w="136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+ 7.75%) / (0.50%)</w:t>
            </w:r>
          </w:p>
        </w:tc>
        <w:tc>
          <w:tcPr>
            <w:tcW w:w="67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13.26%/0.00%</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10/6/2021</w:t>
            </w:r>
          </w:p>
        </w:tc>
        <w:tc>
          <w:tcPr>
            <w:tcW w:w="60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10/6/2026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5,473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5,473</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+ 7.75%) / (0.50%)</w:t>
            </w:r>
          </w:p>
        </w:tc>
        <w:tc>
          <w:tcPr>
            <w:tcW w:w="67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13.26%/0.00%</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10/6/2021</w:t>
            </w:r>
          </w:p>
        </w:tc>
        <w:tc>
          <w:tcPr>
            <w:tcW w:w="60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10/6/2026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12,397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12,438</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Revolving Loan ($1,000</w:t>
            </w:r>
            <w:r>
              <w:rPr>
                <w:rFonts w:ascii="Times New Roman" w:hAnsi="Times New Roman"/>
                <w:color w:val="000000"/>
                <w:sz w:val="20"/>
              </w:rPr>
              <w:t> </w:t>
            </w:r>
            <w:r>
              <w:rPr>
                <w:rFonts w:ascii="Times New Roman" w:hAnsi="Times New Roman"/>
                <w:b w:val="false"/>
                <w:color w:val="000000"/>
                <w:sz w:val="10"/>
              </w:rPr>
              <w:t>unfunded commitment) (j)(i)</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+ 7.50%) / (0.50%)</w:t>
            </w:r>
          </w:p>
        </w:tc>
        <w:tc>
          <w:tcPr>
            <w:tcW w:w="67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13.26%/0.00%</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10/6/2021</w:t>
            </w:r>
          </w:p>
        </w:tc>
        <w:tc>
          <w:tcPr>
            <w:tcW w:w="60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10/6/2026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(500,000</w:t>
            </w:r>
            <w:r>
              <w:rPr>
                <w:rFonts w:ascii="Times New Roman" w:hAnsi="Times New Roman"/>
                <w:color w:val="000000"/>
                <w:sz w:val="20"/>
              </w:rPr>
              <w:t> </w:t>
            </w:r>
            <w:r>
              <w:rPr>
                <w:rFonts w:ascii="Times New Roman" w:hAnsi="Times New Roman"/>
                <w:b w:val="false"/>
                <w:color w:val="000000"/>
                <w:sz w:val="10"/>
              </w:rPr>
              <w:t>shares)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10/6/2021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474</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Warrant (150,000</w:t>
            </w:r>
            <w:r>
              <w:rPr>
                <w:rFonts w:ascii="Times New Roman" w:hAnsi="Times New Roman"/>
                <w:color w:val="000000"/>
                <w:sz w:val="20"/>
              </w:rPr>
              <w:t> </w:t>
            </w:r>
            <w:r>
              <w:rPr>
                <w:rFonts w:ascii="Times New Roman" w:hAnsi="Times New Roman"/>
                <w:b w:val="false"/>
                <w:color w:val="000000"/>
                <w:sz w:val="10"/>
              </w:rPr>
              <w:t>shares) (j)(m)</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10/6/2021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(77,016</w:t>
            </w:r>
            <w:r>
              <w:rPr>
                <w:rFonts w:ascii="Times New Roman" w:hAnsi="Times New Roman"/>
                <w:color w:val="000000"/>
                <w:sz w:val="20"/>
              </w:rPr>
              <w:t> </w:t>
            </w:r>
            <w:r>
              <w:rPr>
                <w:rFonts w:ascii="Times New Roman" w:hAnsi="Times New Roman"/>
                <w:b w:val="false"/>
                <w:color w:val="000000"/>
                <w:sz w:val="10"/>
              </w:rPr>
              <w:t>shares)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9/26/2022</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18,448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18,528</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Aeronix Inc.</w:t>
            </w:r>
          </w:p>
        </w:tc>
        <w:tc>
          <w:tcPr>
            <w:tcW w:w="136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Aerospace &amp; Defense Manufacturing</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(ai)</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+ 6.25%) / (1.50%)</w:t>
            </w:r>
          </w:p>
        </w:tc>
        <w:tc>
          <w:tcPr>
            <w:tcW w:w="67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11.90%/0.00%</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6/11/2021</w:t>
            </w:r>
          </w:p>
        </w:tc>
        <w:tc>
          <w:tcPr>
            <w:tcW w:w="60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6/11/2026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20,700</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(549</w:t>
            </w:r>
            <w:r>
              <w:rPr>
                <w:rFonts w:ascii="Times New Roman" w:hAnsi="Times New Roman"/>
                <w:color w:val="000000"/>
                <w:sz w:val="20"/>
              </w:rPr>
              <w:t> </w:t>
            </w:r>
            <w:r>
              <w:rPr>
                <w:rFonts w:ascii="Times New Roman" w:hAnsi="Times New Roman"/>
                <w:b w:val="false"/>
                <w:color w:val="000000"/>
                <w:sz w:val="10"/>
              </w:rPr>
              <w:t>units)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6/11/2021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22,210</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Aldinger Company</w:t>
            </w:r>
          </w:p>
        </w:tc>
        <w:tc>
          <w:tcPr>
            <w:tcW w:w="136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Business Services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(ae)</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+ 6.50%) / (2.00%)</w:t>
            </w:r>
          </w:p>
        </w:tc>
        <w:tc>
          <w:tcPr>
            <w:tcW w:w="67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11.74%/0.00%</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6/30/2023</w:t>
            </w:r>
          </w:p>
        </w:tc>
        <w:tc>
          <w:tcPr>
            <w:tcW w:w="60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6/29/2029</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7,820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7,764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7,764</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(6,800</w:t>
            </w:r>
            <w:r>
              <w:rPr>
                <w:rFonts w:ascii="Times New Roman" w:hAnsi="Times New Roman"/>
                <w:color w:val="000000"/>
                <w:sz w:val="20"/>
              </w:rPr>
              <w:t> </w:t>
            </w:r>
            <w:r>
              <w:rPr>
                <w:rFonts w:ascii="Times New Roman" w:hAnsi="Times New Roman"/>
                <w:b w:val="false"/>
                <w:color w:val="000000"/>
                <w:sz w:val="10"/>
              </w:rPr>
              <w:t>units)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6/30/2023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(6,800</w:t>
            </w:r>
            <w:r>
              <w:rPr>
                <w:rFonts w:ascii="Times New Roman" w:hAnsi="Times New Roman"/>
                <w:color w:val="000000"/>
                <w:sz w:val="20"/>
              </w:rPr>
              <w:t> </w:t>
            </w:r>
            <w:r>
              <w:rPr>
                <w:rFonts w:ascii="Times New Roman" w:hAnsi="Times New Roman"/>
                <w:b w:val="false"/>
                <w:color w:val="000000"/>
                <w:sz w:val="10"/>
              </w:rPr>
              <w:t>units)</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6/30/2023</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8,444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8,444</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Allredi, LLC (fka Marco Group International OpCo, LLC)</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Industrial Cleaning &amp; Coatings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0.00%/15.00%</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3/2/2020</w:t>
            </w:r>
          </w:p>
        </w:tc>
        <w:tc>
          <w:tcPr>
            <w:tcW w:w="60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9/2/2026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11,197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9,665</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(570,636</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7/21/2017</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102</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(39,443</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11/24/2021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33</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Common Equity (524,624units)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8/3/2023</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11,901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9,882</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American AllWaste LLC (dba WasteWater Transport Services)</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Environmental Industries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(j)(p)</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+ 6.50%) / (1.00%)</w:t>
            </w:r>
          </w:p>
        </w:tc>
        <w:tc>
          <w:tcPr>
            <w:tcW w:w="67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10.90%/0.00%</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6/28/2021</w:t>
            </w:r>
          </w:p>
        </w:tc>
        <w:tc>
          <w:tcPr>
            <w:tcW w:w="60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6/28/2026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20,736</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(j)(o)</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+ 4.00%) / (1.00%)</w:t>
            </w:r>
          </w:p>
        </w:tc>
        <w:tc>
          <w:tcPr>
            <w:tcW w:w="67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9.51%/0.00%</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6/28/2021</w:t>
            </w:r>
          </w:p>
        </w:tc>
        <w:tc>
          <w:tcPr>
            <w:tcW w:w="60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6/28/2026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318</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(500</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5/31/2018</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230</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(207</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8/6/2019</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95</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(141</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11/2/2020</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65</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(74</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12/29/2021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22,338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21,478</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AmeriWater, LLC</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Component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(af)</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+ 6.25%) / (1.00%)</w:t>
            </w:r>
          </w:p>
        </w:tc>
        <w:tc>
          <w:tcPr>
            <w:tcW w:w="67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11.50%/0.00%</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7/8/2022</w:t>
            </w:r>
          </w:p>
        </w:tc>
        <w:tc>
          <w:tcPr>
            <w:tcW w:w="60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7/8/2027</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7,636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7,636</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7.00%/7.00%</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7/8/2022</w:t>
            </w:r>
          </w:p>
        </w:tc>
        <w:tc>
          <w:tcPr>
            <w:tcW w:w="60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1/8/2028</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2,181</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(1,000</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7/8/2022</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10,797</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AOM Intermediate Holdco, LLC (dba AllOver Media)</w:t>
            </w:r>
          </w:p>
        </w:tc>
        <w:tc>
          <w:tcPr>
            <w:tcW w:w="136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(1,232</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2/1/2022</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1,425</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APM Intermediate Holdings, LLC (dba Artistic Paver Manufacturing, Inc.)</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Building Products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(av)</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+ 7.00%) / (2.00%)</w:t>
            </w:r>
          </w:p>
        </w:tc>
        <w:tc>
          <w:tcPr>
            <w:tcW w:w="67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12.25%/0.00%</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11/8/2022</w:t>
            </w:r>
          </w:p>
        </w:tc>
        <w:tc>
          <w:tcPr>
            <w:tcW w:w="60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11/8/2027</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14,908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15,000</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(1,200</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11/8/2022</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pPr>
            <w:r>
              <w:rPr/>
              <w:t> </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16,108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16,583</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Applied Data Corporation</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(k)(v)</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+ 6.25%) / (1.50%)</w:t>
            </w:r>
          </w:p>
        </w:tc>
        <w:tc>
          <w:tcPr>
            <w:tcW w:w="67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11.76%/0.00%</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11/6/2020</w:t>
            </w:r>
          </w:p>
        </w:tc>
        <w:tc>
          <w:tcPr>
            <w:tcW w:w="60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11/6/2025</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19,005</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(24</w:t>
            </w:r>
            <w:r>
              <w:rPr>
                <w:rFonts w:ascii="Times New Roman" w:hAnsi="Times New Roman"/>
                <w:color w:val="000000"/>
                <w:sz w:val="20"/>
              </w:rPr>
              <w:t> </w:t>
            </w:r>
            <w:r>
              <w:rPr>
                <w:rFonts w:ascii="Times New Roman" w:hAnsi="Times New Roman"/>
                <w:b w:val="false"/>
                <w:color w:val="000000"/>
                <w:sz w:val="10"/>
              </w:rPr>
              <w:t>units)</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11/6/2020</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885</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(1,184,711</w:t>
            </w:r>
            <w:r>
              <w:rPr>
                <w:rFonts w:ascii="Times New Roman" w:hAnsi="Times New Roman"/>
                <w:color w:val="000000"/>
                <w:sz w:val="20"/>
              </w:rPr>
              <w:t> </w:t>
            </w:r>
            <w:r>
              <w:rPr>
                <w:rFonts w:ascii="Times New Roman" w:hAnsi="Times New Roman"/>
                <w:b w:val="false"/>
                <w:color w:val="000000"/>
                <w:sz w:val="10"/>
              </w:rPr>
              <w:t>units)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11/6/2020</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21,325</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Auto CRM LLC (dba Dealer Holdings)</w:t>
            </w:r>
          </w:p>
        </w:tc>
        <w:tc>
          <w:tcPr>
            <w:tcW w:w="136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(au)</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(P + 5.50%) / (3.25%)</w:t>
            </w:r>
          </w:p>
        </w:tc>
        <w:tc>
          <w:tcPr>
            <w:tcW w:w="67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14.00%/0.85%</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10/1/2021</w:t>
            </w:r>
          </w:p>
        </w:tc>
        <w:tc>
          <w:tcPr>
            <w:tcW w:w="60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10/1/2026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7,630</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0.00%/14.50%</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10/1/2021</w:t>
            </w:r>
          </w:p>
        </w:tc>
        <w:tc>
          <w:tcPr>
            <w:tcW w:w="60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12/31/2026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652</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(500</w:t>
            </w:r>
            <w:r>
              <w:rPr>
                <w:rFonts w:ascii="Times New Roman" w:hAnsi="Times New Roman"/>
                <w:color w:val="000000"/>
                <w:sz w:val="20"/>
              </w:rPr>
              <w:t> </w:t>
            </w:r>
            <w:r>
              <w:rPr>
                <w:rFonts w:ascii="Times New Roman" w:hAnsi="Times New Roman"/>
                <w:b w:val="false"/>
                <w:color w:val="000000"/>
                <w:sz w:val="10"/>
              </w:rPr>
              <w:t>units)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10/1/2021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8,691</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BCM One Group Holdings, Inc.</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11.75%/0.00%</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11/17/2021</w:t>
            </w:r>
          </w:p>
        </w:tc>
        <w:tc>
          <w:tcPr>
            <w:tcW w:w="60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11/17/2028</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18,194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18,104</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Bedford Precision Parts LLC</w:t>
            </w:r>
          </w:p>
        </w:tc>
        <w:tc>
          <w:tcPr>
            <w:tcW w:w="136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Specialty Distribution</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(500,000</w:t>
            </w:r>
            <w:r>
              <w:rPr>
                <w:rFonts w:ascii="Times New Roman" w:hAnsi="Times New Roman"/>
                <w:color w:val="000000"/>
                <w:sz w:val="20"/>
              </w:rPr>
              <w:t> </w:t>
            </w:r>
            <w:r>
              <w:rPr>
                <w:rFonts w:ascii="Times New Roman" w:hAnsi="Times New Roman"/>
                <w:b w:val="false"/>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3/12/2019</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433</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BP Thrift Buyer, LLC (dba myUnique and Ecothrift)</w:t>
            </w:r>
          </w:p>
        </w:tc>
        <w:tc>
          <w:tcPr>
            <w:tcW w:w="136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Retail</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(j)(al)</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+ 5.75%) / (1.50%)</w:t>
            </w:r>
          </w:p>
        </w:tc>
        <w:tc>
          <w:tcPr>
            <w:tcW w:w="67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11.00%/0.00%</w:t>
            </w:r>
          </w:p>
        </w:tc>
        <w:tc>
          <w:tcPr>
            <w:tcW w:w="6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9/13/2022</w:t>
            </w:r>
          </w:p>
        </w:tc>
        <w:tc>
          <w:tcPr>
            <w:tcW w:w="60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9/13/2027</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20,000</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825"/>
        <w:gridCol w:w="1435"/>
        <w:gridCol w:w="983"/>
        <w:gridCol w:w="701"/>
        <w:gridCol w:w="559"/>
        <w:gridCol w:w="559"/>
        <w:gridCol w:w="146"/>
        <w:gridCol w:w="436"/>
        <w:gridCol w:w="146"/>
        <w:gridCol w:w="146"/>
        <w:gridCol w:w="146"/>
        <w:gridCol w:w="436"/>
        <w:gridCol w:w="146"/>
        <w:gridCol w:w="146"/>
        <w:gridCol w:w="146"/>
        <w:gridCol w:w="436"/>
        <w:gridCol w:w="146"/>
        <w:gridCol w:w="146"/>
        <w:gridCol w:w="166"/>
        <w:gridCol w:w="355"/>
      </w:tblGrid>
      <w:tr>
        <w:trPr/>
        <w:tc>
          <w:tcPr>
            <w:tcW w:w="282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+ 5.75%) / (1.50%)</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11.00%/0.00%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5/12/2023</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9/13/2027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1,929</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(1,000</w:t>
            </w:r>
            <w:r>
              <w:rPr>
                <w:rFonts w:ascii="Times New Roman" w:hAnsi="Times New Roman"/>
                <w:color w:val="000000"/>
                <w:sz w:val="20"/>
              </w:rPr>
              <w:t> </w:t>
            </w:r>
            <w:r>
              <w:rPr>
                <w:rFonts w:ascii="Times New Roman" w:hAnsi="Times New Roman"/>
                <w:b w:val="false"/>
                <w:color w:val="000000"/>
                <w:sz w:val="10"/>
              </w:rPr>
              <w:t>units)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9/13/2022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22,523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23,289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BurgerFi International, LLC (dba BurgerFi) (ad)</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Restaurants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(14,201</w:t>
            </w:r>
            <w:r>
              <w:rPr>
                <w:rFonts w:ascii="Times New Roman" w:hAnsi="Times New Roman"/>
                <w:color w:val="000000"/>
                <w:sz w:val="20"/>
              </w:rPr>
              <w:t> </w:t>
            </w:r>
            <w:r>
              <w:rPr>
                <w:rFonts w:ascii="Times New Roman" w:hAnsi="Times New Roman"/>
                <w:b w:val="false"/>
                <w:color w:val="000000"/>
                <w:sz w:val="10"/>
              </w:rPr>
              <w:t>units) (j)(ao)</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11/3/2022</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(9,787</w:t>
            </w:r>
            <w:r>
              <w:rPr>
                <w:rFonts w:ascii="Times New Roman" w:hAnsi="Times New Roman"/>
                <w:color w:val="000000"/>
                <w:sz w:val="20"/>
              </w:rPr>
              <w:t> </w:t>
            </w:r>
            <w:r>
              <w:rPr>
                <w:rFonts w:ascii="Times New Roman" w:hAnsi="Times New Roman"/>
                <w:b w:val="false"/>
                <w:color w:val="000000"/>
                <w:sz w:val="10"/>
              </w:rPr>
              <w:t>units) (j)(ao)</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11/3/2022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Cardback Intermediate, LLC (dba Chargeback Gurus)</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(j)(ah)</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+ 6.50%) / (0.75%)</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12.01%/0.00%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8/10/2021</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8/10/2026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11,725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11,769</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(495</w:t>
            </w:r>
            <w:r>
              <w:rPr>
                <w:rFonts w:ascii="Times New Roman" w:hAnsi="Times New Roman"/>
                <w:color w:val="000000"/>
                <w:sz w:val="20"/>
              </w:rPr>
              <w:t> </w:t>
            </w:r>
            <w:r>
              <w:rPr>
                <w:rFonts w:ascii="Times New Roman" w:hAnsi="Times New Roman"/>
                <w:b w:val="false"/>
                <w:color w:val="000000"/>
                <w:sz w:val="10"/>
              </w:rPr>
              <w:t>shares)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8/10/2021</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(495</w:t>
            </w:r>
            <w:r>
              <w:rPr>
                <w:rFonts w:ascii="Times New Roman" w:hAnsi="Times New Roman"/>
                <w:color w:val="000000"/>
                <w:sz w:val="20"/>
              </w:rPr>
              <w:t> </w:t>
            </w:r>
            <w:r>
              <w:rPr>
                <w:rFonts w:ascii="Times New Roman" w:hAnsi="Times New Roman"/>
                <w:b w:val="false"/>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8/10/2021</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11,975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Choice Technology Solutions, LLC (dba Choice Merchant Solutions, LLC)</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+ 7.25%) / (1.00%)</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12.75%/0.00%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4/1/2022</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8,467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8,500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Revolving Loan ($1,000</w:t>
            </w:r>
            <w:r>
              <w:rPr>
                <w:rFonts w:ascii="Times New Roman" w:hAnsi="Times New Roman"/>
                <w:color w:val="000000"/>
                <w:sz w:val="20"/>
              </w:rPr>
              <w:t> </w:t>
            </w:r>
            <w:r>
              <w:rPr>
                <w:rFonts w:ascii="Times New Roman" w:hAnsi="Times New Roman"/>
                <w:b w:val="false"/>
                <w:color w:val="000000"/>
                <w:sz w:val="10"/>
              </w:rPr>
              <w:t>unfunded commitment) (i)(j)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+ 6.25%) / (1.00%)</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11.75%/0.00%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4/1/2022</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(500,000</w:t>
            </w:r>
            <w:r>
              <w:rPr>
                <w:rFonts w:ascii="Times New Roman" w:hAnsi="Times New Roman"/>
                <w:color w:val="000000"/>
                <w:sz w:val="20"/>
              </w:rPr>
              <w:t> </w:t>
            </w:r>
            <w:r>
              <w:rPr>
                <w:rFonts w:ascii="Times New Roman" w:hAnsi="Times New Roman"/>
                <w:b w:val="false"/>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8/21/2023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CIH Intermediate, LLC</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(k)</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10.00%/1.00%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3/3/2022</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3/3/2028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13,856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13,855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(563</w:t>
            </w:r>
            <w:r>
              <w:rPr>
                <w:rFonts w:ascii="Times New Roman" w:hAnsi="Times New Roman"/>
                <w:color w:val="000000"/>
                <w:sz w:val="20"/>
              </w:rPr>
              <w:t> </w:t>
            </w:r>
            <w:r>
              <w:rPr>
                <w:rFonts w:ascii="Times New Roman" w:hAnsi="Times New Roman"/>
                <w:b w:val="false"/>
                <w:color w:val="000000"/>
                <w:sz w:val="10"/>
              </w:rPr>
              <w:t>shares)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3/3/2022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1,233</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(563</w:t>
            </w:r>
            <w:r>
              <w:rPr>
                <w:rFonts w:ascii="Times New Roman" w:hAnsi="Times New Roman"/>
                <w:color w:val="000000"/>
                <w:sz w:val="20"/>
              </w:rPr>
              <w:t> </w:t>
            </w:r>
            <w:r>
              <w:rPr>
                <w:rFonts w:ascii="Times New Roman" w:hAnsi="Times New Roman"/>
                <w:b w:val="false"/>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3/3/2022</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14,555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15,991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Combined Systems, Inc.</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Aerospace &amp; Defense Manufacturing</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+ 11.00%) / (2.00%)</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19.51%/0.00%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1/31/2020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1/31/2025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3,862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3,847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3,897</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+ 11.00%) / (2.00%)</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19.51%/0.00%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12/22/2022</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1/31/2025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493</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Revolving Loan ($162</w:t>
            </w:r>
            <w:r>
              <w:rPr>
                <w:rFonts w:ascii="Times New Roman" w:hAnsi="Times New Roman"/>
                <w:color w:val="000000"/>
                <w:sz w:val="20"/>
              </w:rPr>
              <w:t> </w:t>
            </w:r>
            <w:r>
              <w:rPr>
                <w:rFonts w:ascii="Times New Roman" w:hAnsi="Times New Roman"/>
                <w:b w:val="false"/>
                <w:color w:val="000000"/>
                <w:sz w:val="10"/>
              </w:rPr>
              <w:t>unfunded commitment) (j)(ac)</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+ 10.00%) / (2.00%)</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18.51%/0.00%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1/31/2020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1/31/2025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8,228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Comply365, LLC</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Aerospace &amp; Defense Manufacturing</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(1,000,000</w:t>
            </w:r>
            <w:r>
              <w:rPr>
                <w:rFonts w:ascii="Times New Roman" w:hAnsi="Times New Roman"/>
                <w:color w:val="000000"/>
                <w:sz w:val="20"/>
              </w:rPr>
              <w:t> </w:t>
            </w:r>
            <w:r>
              <w:rPr>
                <w:rFonts w:ascii="Times New Roman" w:hAnsi="Times New Roman"/>
                <w:b w:val="false"/>
                <w:color w:val="000000"/>
                <w:sz w:val="10"/>
              </w:rPr>
              <w:t>units)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12/11/2020</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CRS Solutions Holdings, LLC (dba CRS Texas)</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(Class A Units) (574,929</w:t>
            </w:r>
            <w:r>
              <w:rPr>
                <w:rFonts w:ascii="Times New Roman" w:hAnsi="Times New Roman"/>
                <w:color w:val="000000"/>
                <w:sz w:val="20"/>
              </w:rPr>
              <w:t> </w:t>
            </w:r>
            <w:r>
              <w:rPr>
                <w:rFonts w:ascii="Times New Roman" w:hAnsi="Times New Roman"/>
                <w:b w:val="false"/>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6/28/2022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CTM Group, Inc.</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+ 6.75%) / (1.00%)</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12.31%/0.00%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2/28/2023</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11/30/2026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7,960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7,960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11.50%/2.00%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2/28/2023</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11/30/2027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2,024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(400,000</w:t>
            </w:r>
            <w:r>
              <w:rPr>
                <w:rFonts w:ascii="Times New Roman" w:hAnsi="Times New Roman"/>
                <w:color w:val="000000"/>
                <w:sz w:val="20"/>
              </w:rPr>
              <w:t> </w:t>
            </w:r>
            <w:r>
              <w:rPr>
                <w:rFonts w:ascii="Times New Roman" w:hAnsi="Times New Roman"/>
                <w:b w:val="false"/>
                <w:color w:val="000000"/>
                <w:sz w:val="10"/>
              </w:rPr>
              <w:t>units)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2/28/2023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Dataguise, Inc.</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11.00%/2.00%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12/30/2022</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11/23/2027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21,777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21,777</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(909</w:t>
            </w:r>
            <w:r>
              <w:rPr>
                <w:rFonts w:ascii="Times New Roman" w:hAnsi="Times New Roman"/>
                <w:color w:val="000000"/>
                <w:sz w:val="20"/>
              </w:rPr>
              <w:t> </w:t>
            </w:r>
            <w:r>
              <w:rPr>
                <w:rFonts w:ascii="Times New Roman" w:hAnsi="Times New Roman"/>
                <w:b w:val="false"/>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12/31/2020</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23,234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22,747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Dealerbuilt Acquisition, LLC</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(aw)</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+ 5.75%) / (4.00%)</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12.64%/2.23%</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7/21/2023</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7/21/2026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13,058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12,967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12,967</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7.50%/7.50%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7/21/2023</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1/21/2027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5,046</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(1,000</w:t>
            </w:r>
            <w:r>
              <w:rPr>
                <w:rFonts w:ascii="Times New Roman" w:hAnsi="Times New Roman"/>
                <w:color w:val="000000"/>
                <w:sz w:val="20"/>
              </w:rPr>
              <w:t> </w:t>
            </w:r>
            <w:r>
              <w:rPr>
                <w:rFonts w:ascii="Times New Roman" w:hAnsi="Times New Roman"/>
                <w:b w:val="false"/>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7/21/2023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(1,000</w:t>
            </w:r>
            <w:r>
              <w:rPr>
                <w:rFonts w:ascii="Times New Roman" w:hAnsi="Times New Roman"/>
                <w:color w:val="000000"/>
                <w:sz w:val="20"/>
              </w:rPr>
              <w:t> </w:t>
            </w:r>
            <w:r>
              <w:rPr>
                <w:rFonts w:ascii="Times New Roman" w:hAnsi="Times New Roman"/>
                <w:b w:val="false"/>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7/21/2023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19,013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19,013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Detechtion Holdings, LLC</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(k)</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+ 5.75%) / (2.25%)</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11.00%/2.00%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6/21/2023</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6/21/2028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17,599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17,501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17,501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0.00%/14.00%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6/21/2023</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2,069</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(500,000</w:t>
            </w:r>
            <w:r>
              <w:rPr>
                <w:rFonts w:ascii="Times New Roman" w:hAnsi="Times New Roman"/>
                <w:color w:val="000000"/>
                <w:sz w:val="20"/>
              </w:rPr>
              <w:t> </w:t>
            </w:r>
            <w:r>
              <w:rPr>
                <w:rFonts w:ascii="Times New Roman" w:hAnsi="Times New Roman"/>
                <w:b w:val="false"/>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6/21/2023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20,070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20,070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Diversified Search LLC</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(k)(r)</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+ 6.50%) / (1.00%)</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12.16%/0.00%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2/7/2019</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9/30/2025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24,155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24,073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24,155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(573</w:t>
            </w:r>
            <w:r>
              <w:rPr>
                <w:rFonts w:ascii="Times New Roman" w:hAnsi="Times New Roman"/>
                <w:color w:val="000000"/>
                <w:sz w:val="20"/>
              </w:rPr>
              <w:t> </w:t>
            </w:r>
            <w:r>
              <w:rPr>
                <w:rFonts w:ascii="Times New Roman" w:hAnsi="Times New Roman"/>
                <w:b w:val="false"/>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2/7/2019</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24,625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24,591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Education Incites, LLC (dba Acceleration Academies)</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12.75%/0.00%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10/31/2022</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10/29/2027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Elements Brands, LLC</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Consumer Products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12.25%/0.00%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12/31/2020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6/30/2024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1,275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Revolving Loan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12.25%/0.00%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12/31/2020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6/30/2024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2,760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Fishbowl Solutions, LLC</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(ar)</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+ 7.75%) / (1.00%)</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13.28%/0.00%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3/25/2022</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3/25/2027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14,264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14,264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Global Plasma Solutions, Inc.</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Component Manufacturing</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0.00%/18.80%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3/31/2023</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3/18/2024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(947</w:t>
            </w:r>
            <w:r>
              <w:rPr>
                <w:rFonts w:ascii="Times New Roman" w:hAnsi="Times New Roman"/>
                <w:color w:val="000000"/>
                <w:sz w:val="20"/>
              </w:rPr>
              <w:t> </w:t>
            </w:r>
            <w:r>
              <w:rPr>
                <w:rFonts w:ascii="Times New Roman" w:hAnsi="Times New Roman"/>
                <w:b w:val="false"/>
                <w:color w:val="000000"/>
                <w:sz w:val="10"/>
              </w:rPr>
              <w:t>shares)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9/21/2018</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GP&amp;C Operations, LLC (dba Garlock Printing and Converting)</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Component Manufacturing</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(w)</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+ 8.25%) / (1.00%)</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13.90%/0.00%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1/22/2021</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1/22/2026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10,836</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(515,625</w:t>
            </w:r>
            <w:r>
              <w:rPr>
                <w:rFonts w:ascii="Times New Roman" w:hAnsi="Times New Roman"/>
                <w:color w:val="000000"/>
                <w:sz w:val="20"/>
              </w:rPr>
              <w:t> </w:t>
            </w:r>
            <w:r>
              <w:rPr>
                <w:rFonts w:ascii="Times New Roman" w:hAnsi="Times New Roman"/>
                <w:b w:val="false"/>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1/22/2021</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11,128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Green Cubes Technology, LLC (dba Green Cubes)</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+ 13.00%) / (0.00%)</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18.56%/0.00%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12/17/2021</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12/17/2024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Gurobi Optimization, LLC</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(3</w:t>
            </w:r>
            <w:r>
              <w:rPr>
                <w:rFonts w:ascii="Times New Roman" w:hAnsi="Times New Roman"/>
                <w:color w:val="000000"/>
                <w:sz w:val="20"/>
              </w:rPr>
              <w:t> </w:t>
            </w:r>
            <w:r>
              <w:rPr>
                <w:rFonts w:ascii="Times New Roman" w:hAnsi="Times New Roman"/>
                <w:b w:val="false"/>
                <w:color w:val="000000"/>
                <w:sz w:val="10"/>
              </w:rPr>
              <w:t>shares)</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12/19/2017</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3,085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Haematologic Technologies, Inc.</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Healthcare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(x)</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+ 8.25%) / (2.00%)</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13.89%/0.00%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10/11/2019</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10/11/2024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5,385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(630</w:t>
            </w:r>
            <w:r>
              <w:rPr>
                <w:rFonts w:ascii="Times New Roman" w:hAnsi="Times New Roman"/>
                <w:color w:val="000000"/>
                <w:sz w:val="20"/>
              </w:rPr>
              <w:t> </w:t>
            </w:r>
            <w:r>
              <w:rPr>
                <w:rFonts w:ascii="Times New Roman" w:hAnsi="Times New Roman"/>
                <w:b w:val="false"/>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10/11/2019</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136</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(89</w:t>
            </w:r>
            <w:r>
              <w:rPr>
                <w:rFonts w:ascii="Times New Roman" w:hAnsi="Times New Roman"/>
                <w:color w:val="000000"/>
                <w:sz w:val="20"/>
              </w:rPr>
              <w:t> </w:t>
            </w:r>
            <w:r>
              <w:rPr>
                <w:rFonts w:ascii="Times New Roman" w:hAnsi="Times New Roman"/>
                <w:b w:val="false"/>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6/26/2023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6,095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5,610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Hallmark Health Care Solutions, Inc.</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Healthcare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Common Equity (3,645,752units)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9/18/2023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3,647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3,646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Healthfuse, LLC</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Healthcare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(197,980</w:t>
            </w:r>
            <w:r>
              <w:rPr>
                <w:rFonts w:ascii="Times New Roman" w:hAnsi="Times New Roman"/>
                <w:color w:val="000000"/>
                <w:sz w:val="20"/>
              </w:rPr>
              <w:t> </w:t>
            </w:r>
            <w:r>
              <w:rPr>
                <w:rFonts w:ascii="Times New Roman" w:hAnsi="Times New Roman"/>
                <w:b w:val="false"/>
                <w:color w:val="000000"/>
                <w:sz w:val="10"/>
              </w:rPr>
              <w:t>units)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11/13/2020</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Hub Acquisition Sub, LLC (dba Hub Pen)</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Promotional products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(k)</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12.50%/1.00%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4/25/2023</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6/30/2028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20,089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19,814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(5,837</w:t>
            </w:r>
            <w:r>
              <w:rPr>
                <w:rFonts w:ascii="Times New Roman" w:hAnsi="Times New Roman"/>
                <w:color w:val="000000"/>
                <w:sz w:val="20"/>
              </w:rPr>
              <w:t> </w:t>
            </w:r>
            <w:r>
              <w:rPr>
                <w:rFonts w:ascii="Times New Roman" w:hAnsi="Times New Roman"/>
                <w:b w:val="false"/>
                <w:color w:val="000000"/>
                <w:sz w:val="10"/>
              </w:rPr>
              <w:t>units)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3/23/2016</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1,317</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(637</w:t>
            </w:r>
            <w:r>
              <w:rPr>
                <w:rFonts w:ascii="Times New Roman" w:hAnsi="Times New Roman"/>
                <w:color w:val="000000"/>
                <w:sz w:val="20"/>
              </w:rPr>
              <w:t> </w:t>
            </w:r>
            <w:r>
              <w:rPr>
                <w:rFonts w:ascii="Times New Roman" w:hAnsi="Times New Roman"/>
                <w:b w:val="false"/>
                <w:color w:val="000000"/>
                <w:sz w:val="10"/>
              </w:rPr>
              <w:t>units)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8/7/2023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(868</w:t>
            </w:r>
            <w:r>
              <w:rPr>
                <w:rFonts w:ascii="Times New Roman" w:hAnsi="Times New Roman"/>
                <w:color w:val="000000"/>
                <w:sz w:val="20"/>
              </w:rPr>
              <w:t> </w:t>
            </w:r>
            <w:r>
              <w:rPr>
                <w:rFonts w:ascii="Times New Roman" w:hAnsi="Times New Roman"/>
                <w:b w:val="false"/>
                <w:color w:val="000000"/>
                <w:sz w:val="10"/>
              </w:rPr>
              <w:t>units)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10/16/2020</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21,560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IBH Holdings, LLC (fka Inflexxion, Inc.)</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(150,000</w:t>
            </w:r>
            <w:r>
              <w:rPr>
                <w:rFonts w:ascii="Times New Roman" w:hAnsi="Times New Roman"/>
                <w:color w:val="000000"/>
                <w:sz w:val="20"/>
              </w:rPr>
              <w:t> </w:t>
            </w:r>
            <w:r>
              <w:rPr>
                <w:rFonts w:ascii="Times New Roman" w:hAnsi="Times New Roman"/>
                <w:b w:val="false"/>
                <w:color w:val="000000"/>
                <w:sz w:val="10"/>
              </w:rPr>
              <w:t>units)</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6/20/2018</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ISI PSG Holdings, LLC (dba Incentive Solutions, Inc.)</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(j)(aj)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+ 7.50%) / (0.50%)</w:t>
            </w:r>
          </w:p>
        </w:tc>
        <w:tc>
          <w:tcPr>
            <w:tcW w:w="70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12.90%/0.00%</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4/5/2021</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4/5/2026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11,833</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(j)(an)</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+ 7.50%) / (0.50%)</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12.90%/0.00%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6/30/2021</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4/5/2026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12,593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12,593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12,527</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(256,964</w:t>
            </w:r>
            <w:r>
              <w:rPr>
                <w:rFonts w:ascii="Times New Roman" w:hAnsi="Times New Roman"/>
                <w:color w:val="000000"/>
                <w:sz w:val="20"/>
              </w:rPr>
              <w:t> </w:t>
            </w:r>
            <w:r>
              <w:rPr>
                <w:rFonts w:ascii="Times New Roman" w:hAnsi="Times New Roman"/>
                <w:b w:val="false"/>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4/5/2021</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24,873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24,883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K2 Merger Agreement Agent, LLC (fka K2 Industrial Services, Inc.) (n)</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Industrial Cleaning &amp; Coatings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(j)(y)</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0.00%/10.00%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1/28/2019</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1/28/2025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The Kyjen Company, LLC (dba Outward Hound)</w:t>
            </w:r>
          </w:p>
        </w:tc>
        <w:tc>
          <w:tcPr>
            <w:tcW w:w="143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Consumer Products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(855</w:t>
            </w:r>
            <w:r>
              <w:rPr>
                <w:rFonts w:ascii="Times New Roman" w:hAnsi="Times New Roman"/>
                <w:color w:val="000000"/>
                <w:sz w:val="20"/>
              </w:rPr>
              <w:t> </w:t>
            </w:r>
            <w:r>
              <w:rPr>
                <w:rFonts w:ascii="Times New Roman" w:hAnsi="Times New Roman"/>
                <w:b w:val="false"/>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12/8/2017</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Level Education Group, LLC (dba CE4Less)</w:t>
            </w:r>
          </w:p>
        </w:tc>
        <w:tc>
          <w:tcPr>
            <w:tcW w:w="143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(ak)</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+ 5.75%) / (2.00%)</w:t>
            </w:r>
          </w:p>
        </w:tc>
        <w:tc>
          <w:tcPr>
            <w:tcW w:w="70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11.26%/0.00%</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4/1/2021</w:t>
            </w:r>
          </w:p>
        </w:tc>
        <w:tc>
          <w:tcPr>
            <w:tcW w:w="55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4,691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(1,000,000</w:t>
            </w:r>
            <w:r>
              <w:rPr>
                <w:rFonts w:ascii="Times New Roman" w:hAnsi="Times New Roman"/>
                <w:color w:val="000000"/>
                <w:sz w:val="20"/>
              </w:rPr>
              <w:t> </w:t>
            </w:r>
            <w:r>
              <w:rPr>
                <w:rFonts w:ascii="Times New Roman" w:hAnsi="Times New Roman"/>
                <w:b w:val="false"/>
                <w:color w:val="000000"/>
                <w:sz w:val="10"/>
              </w:rPr>
              <w:t>units)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4/1/2021</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3013"/>
        <w:gridCol w:w="1289"/>
        <w:gridCol w:w="947"/>
        <w:gridCol w:w="681"/>
        <w:gridCol w:w="541"/>
        <w:gridCol w:w="541"/>
        <w:gridCol w:w="146"/>
        <w:gridCol w:w="436"/>
        <w:gridCol w:w="146"/>
        <w:gridCol w:w="146"/>
        <w:gridCol w:w="146"/>
        <w:gridCol w:w="436"/>
        <w:gridCol w:w="146"/>
        <w:gridCol w:w="146"/>
        <w:gridCol w:w="146"/>
        <w:gridCol w:w="436"/>
        <w:gridCol w:w="146"/>
        <w:gridCol w:w="146"/>
        <w:gridCol w:w="166"/>
        <w:gridCol w:w="405"/>
      </w:tblGrid>
      <w:tr>
        <w:trPr/>
        <w:tc>
          <w:tcPr>
            <w:tcW w:w="301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LifeSpan Biosciences, Inc.</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Healthcare Products</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11.50%/0.00%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3/19/2021</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9/19/2026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15,956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14,980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(100</w:t>
            </w:r>
            <w:r>
              <w:rPr>
                <w:rFonts w:ascii="Times New Roman" w:hAnsi="Times New Roman"/>
                <w:color w:val="000000"/>
                <w:sz w:val="20"/>
              </w:rPr>
              <w:t> </w:t>
            </w:r>
            <w:r>
              <w:rPr>
                <w:rFonts w:ascii="Times New Roman" w:hAnsi="Times New Roman"/>
                <w:b w:val="false"/>
                <w:color w:val="000000"/>
                <w:sz w:val="10"/>
              </w:rPr>
              <w:t>shares)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3/19/2021</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16,956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Magenta Buyer LLC (dba Trellix)</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+ 8.25%) / (0.75%)</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13.87%/0.00%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7/19/2022</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7/27/2029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MBS Opco, LLC (dba Marketron)</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+ 8.50%) / (1.50%)</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14.00%/0.00%</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9/29/2022</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9/28/2026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26,899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26,321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MDME Holding Corp.</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Healthcare Products</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+ 6.00%) / (1.00%)</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11.54%/0.00%</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8/31/2023</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8/3/2027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11,830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11,830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Common Equity (j)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9/18/2023</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Preferred Equity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9/18/2023</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Micronics Filtration Holdings, Inc. (dba Micronics Engineered Filtration Group, Inc.)</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Component Manufacturing</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(k)(as)</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+ 5.50%) / (0.50%)</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9.32%/0.00%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2/17/2022</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2/17/2027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16,387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16,293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16,387</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(14,400</w:t>
            </w:r>
            <w:r>
              <w:rPr>
                <w:rFonts w:ascii="Times New Roman" w:hAnsi="Times New Roman"/>
                <w:color w:val="000000"/>
                <w:sz w:val="20"/>
              </w:rPr>
              <w:t> </w:t>
            </w:r>
            <w:r>
              <w:rPr>
                <w:rFonts w:ascii="Times New Roman" w:hAnsi="Times New Roman"/>
                <w:b w:val="false"/>
                <w:color w:val="000000"/>
                <w:sz w:val="10"/>
              </w:rPr>
              <w:t>units)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2/17/2022</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4,765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17,733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Netbase Solutions, Inc. (dba Netbase Quid)</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(k)(ap)</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(P + 4.00%) / (3.25%)</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12.50%/0.00%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11/18/2021</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11/18/2025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16,642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NGT Acquisition Holdings, LLC (dba Techniks Industries)</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Component Manufacturing</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(378</w:t>
            </w:r>
            <w:r>
              <w:rPr>
                <w:rFonts w:ascii="Times New Roman" w:hAnsi="Times New Roman"/>
                <w:color w:val="000000"/>
                <w:sz w:val="20"/>
              </w:rPr>
              <w:t> </w:t>
            </w:r>
            <w:r>
              <w:rPr>
                <w:rFonts w:ascii="Times New Roman" w:hAnsi="Times New Roman"/>
                <w:b w:val="false"/>
                <w:color w:val="000000"/>
                <w:sz w:val="10"/>
              </w:rPr>
              <w:t>units)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5/24/2017</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NWS Technologies, LLC</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Utilities: Services</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(u)</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+ 8.00%) / (2.50%)</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15.61%/0.00%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6/20/2023</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6/16/2028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16,760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16,760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w:t>
            </w:r>
            <w:r>
              <w:rPr>
                <w:rFonts w:ascii="Times New Roman" w:hAnsi="Times New Roman"/>
                <w:color w:val="000000"/>
                <w:sz w:val="20"/>
              </w:rPr>
              <w:t> </w:t>
            </w:r>
            <w:r>
              <w:rPr>
                <w:rFonts w:ascii="Times New Roman" w:hAnsi="Times New Roman"/>
                <w:b w:val="false"/>
                <w:color w:val="000000"/>
                <w:sz w:val="10"/>
              </w:rPr>
              <w:t>unit) (h)(j)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6/20/2023</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1,125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(0.375</w:t>
            </w:r>
            <w:r>
              <w:rPr>
                <w:rFonts w:ascii="Times New Roman" w:hAnsi="Times New Roman"/>
                <w:color w:val="000000"/>
                <w:sz w:val="20"/>
              </w:rPr>
              <w:t> </w:t>
            </w:r>
            <w:r>
              <w:rPr>
                <w:rFonts w:ascii="Times New Roman" w:hAnsi="Times New Roman"/>
                <w:b w:val="false"/>
                <w:color w:val="000000"/>
                <w:sz w:val="10"/>
              </w:rPr>
              <w:t>units) (h)(j)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6/20/2023</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OnePath Systems, LLC</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(s)</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+ 7.50%) / (1.00%)</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12.89%/0.00%</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9/30/2022</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9/30/2027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10,934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10,836</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(732,542</w:t>
            </w:r>
            <w:r>
              <w:rPr>
                <w:rFonts w:ascii="Times New Roman" w:hAnsi="Times New Roman"/>
                <w:color w:val="000000"/>
                <w:sz w:val="20"/>
              </w:rPr>
              <w:t> </w:t>
            </w:r>
            <w:r>
              <w:rPr>
                <w:rFonts w:ascii="Times New Roman" w:hAnsi="Times New Roman"/>
                <w:b w:val="false"/>
                <w:color w:val="000000"/>
                <w:sz w:val="10"/>
              </w:rPr>
              <w:t>shares) (j)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9/30/2022</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11,434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Palmetto Moon, LLC</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Retail</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(499</w:t>
            </w:r>
            <w:r>
              <w:rPr>
                <w:rFonts w:ascii="Times New Roman" w:hAnsi="Times New Roman"/>
                <w:color w:val="000000"/>
                <w:sz w:val="20"/>
              </w:rPr>
              <w:t> </w:t>
            </w:r>
            <w:r>
              <w:rPr>
                <w:rFonts w:ascii="Times New Roman" w:hAnsi="Times New Roman"/>
                <w:b w:val="false"/>
                <w:color w:val="000000"/>
                <w:sz w:val="10"/>
              </w:rPr>
              <w:t>units)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11/3/2016</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Pinnergy, Ltd.</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Oil &amp; Gas Services</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9.00%/0.00%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6/30/2022</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6/30/2027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12,794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Pool &amp; Electrical Products, LLC</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Specialty Distribution</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(18,298</w:t>
            </w:r>
            <w:r>
              <w:rPr>
                <w:rFonts w:ascii="Times New Roman" w:hAnsi="Times New Roman"/>
                <w:color w:val="000000"/>
                <w:sz w:val="20"/>
              </w:rPr>
              <w:t> </w:t>
            </w:r>
            <w:r>
              <w:rPr>
                <w:rFonts w:ascii="Times New Roman" w:hAnsi="Times New Roman"/>
                <w:b w:val="false"/>
                <w:color w:val="000000"/>
                <w:sz w:val="10"/>
              </w:rPr>
              <w:t>units) (h)(j)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10/28/2020</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Power Grid Components, Inc.</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Specialty Distribution</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(k)</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11.50%/0.00%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4/12/2018</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12/2/2025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10,236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10,269</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(392</w:t>
            </w:r>
            <w:r>
              <w:rPr>
                <w:rFonts w:ascii="Times New Roman" w:hAnsi="Times New Roman"/>
                <w:color w:val="000000"/>
                <w:sz w:val="20"/>
              </w:rPr>
              <w:t> </w:t>
            </w:r>
            <w:r>
              <w:rPr>
                <w:rFonts w:ascii="Times New Roman" w:hAnsi="Times New Roman"/>
                <w:b w:val="false"/>
                <w:color w:val="000000"/>
                <w:sz w:val="10"/>
              </w:rPr>
              <w:t>shares)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4/12/2018</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674</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(48</w:t>
            </w:r>
            <w:r>
              <w:rPr>
                <w:rFonts w:ascii="Times New Roman" w:hAnsi="Times New Roman"/>
                <w:color w:val="000000"/>
                <w:sz w:val="20"/>
              </w:rPr>
              <w:t> </w:t>
            </w:r>
            <w:r>
              <w:rPr>
                <w:rFonts w:ascii="Times New Roman" w:hAnsi="Times New Roman"/>
                <w:b w:val="false"/>
                <w:color w:val="000000"/>
                <w:sz w:val="10"/>
              </w:rPr>
              <w:t>shares) (j)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12/2/2019</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83</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(10,622</w:t>
            </w:r>
            <w:r>
              <w:rPr>
                <w:rFonts w:ascii="Times New Roman" w:hAnsi="Times New Roman"/>
                <w:color w:val="000000"/>
                <w:sz w:val="20"/>
              </w:rPr>
              <w:t> </w:t>
            </w:r>
            <w:r>
              <w:rPr>
                <w:rFonts w:ascii="Times New Roman" w:hAnsi="Times New Roman"/>
                <w:b w:val="false"/>
                <w:color w:val="000000"/>
                <w:sz w:val="10"/>
              </w:rPr>
              <w:t>shares)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4/12/2018</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PowerGrid Services Acquisition, LLC</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Utilities: Services</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+ 9.50%) / (1.00%)</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15.15%/0.00%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9/21/2021</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3/21/2029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10,831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10,791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10,831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(5,341</w:t>
            </w:r>
            <w:r>
              <w:rPr>
                <w:rFonts w:ascii="Times New Roman" w:hAnsi="Times New Roman"/>
                <w:color w:val="000000"/>
                <w:sz w:val="20"/>
              </w:rPr>
              <w:t> </w:t>
            </w:r>
            <w:r>
              <w:rPr>
                <w:rFonts w:ascii="Times New Roman" w:hAnsi="Times New Roman"/>
                <w:b w:val="false"/>
                <w:color w:val="000000"/>
                <w:sz w:val="10"/>
              </w:rPr>
              <w:t>units) (h)(j)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9/21/2021</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11,674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Prime AE Group, Inc.</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Business Services</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(j)(ab)</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+ 7.25%) / (2.00%)</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12.90%/0.00%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11/25/2019</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11/25/2024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5,789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5,833</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(900,000</w:t>
            </w:r>
            <w:r>
              <w:rPr>
                <w:rFonts w:ascii="Times New Roman" w:hAnsi="Times New Roman"/>
                <w:color w:val="000000"/>
                <w:sz w:val="20"/>
              </w:rPr>
              <w:t> </w:t>
            </w:r>
            <w:r>
              <w:rPr>
                <w:rFonts w:ascii="Times New Roman" w:hAnsi="Times New Roman"/>
                <w:b w:val="false"/>
                <w:color w:val="000000"/>
                <w:sz w:val="10"/>
              </w:rPr>
              <w:t>shares)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11/25/2019</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6,689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6,056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Puget Collision, LLC</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Retail</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(k)</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+ 9.50%) / (1.00%)</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14.83%/0.00%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4/28/2023</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9/12/2027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10,544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QED Technologies International, Inc.</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Component Manufacturing</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(q)</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+ 6.00%) / (1.50%)</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11.25%/0.50%</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3/1/2023</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17,348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17,232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17,348</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(140</w:t>
            </w:r>
            <w:r>
              <w:rPr>
                <w:rFonts w:ascii="Times New Roman" w:hAnsi="Times New Roman"/>
                <w:color w:val="000000"/>
                <w:sz w:val="20"/>
              </w:rPr>
              <w:t> </w:t>
            </w:r>
            <w:r>
              <w:rPr>
                <w:rFonts w:ascii="Times New Roman" w:hAnsi="Times New Roman"/>
                <w:b w:val="false"/>
                <w:color w:val="000000"/>
                <w:sz w:val="10"/>
              </w:rPr>
              <w:t>shares) (j)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2/28/2023</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18,634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Quest Software US Holdings Inc.</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+ 7.50%) / (0.50%)</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13.02%/0.00%</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3/1/2022</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2/1/2030</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19,428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15,985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w:t>
            </w:r>
          </w:p>
        </w:tc>
        <w:tc>
          <w:tcPr>
            <w:tcW w:w="405"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ind w:left="160" w:right="0" w:firstLine="160"/>
              <w:jc w:val="left"/>
              <w:rPr/>
            </w:pPr>
            <w:r>
              <w:rPr/>
              <w:t> </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R1 Holdings, LLC (dba RoadOne IntermodaLogistics)</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Transportation services</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First Lien Debt ($1,742</w:t>
            </w:r>
            <w:r>
              <w:rPr>
                <w:rFonts w:ascii="Times New Roman" w:hAnsi="Times New Roman"/>
                <w:color w:val="000000"/>
                <w:sz w:val="20"/>
              </w:rPr>
              <w:t> </w:t>
            </w:r>
            <w:r>
              <w:rPr>
                <w:rFonts w:ascii="Times New Roman" w:hAnsi="Times New Roman"/>
                <w:b w:val="false"/>
                <w:color w:val="000000"/>
                <w:sz w:val="10"/>
              </w:rPr>
              <w:t>unfunded commitment) (j)(ac)</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+ 6.25%) / (1.00%)</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11.72%/0.00%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12/30/2022</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12/30/2028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6,228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6,228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Subordinated Debt ($417</w:t>
            </w:r>
            <w:r>
              <w:rPr>
                <w:rFonts w:ascii="Times New Roman" w:hAnsi="Times New Roman"/>
                <w:color w:val="000000"/>
                <w:sz w:val="20"/>
              </w:rPr>
              <w:t> </w:t>
            </w:r>
            <w:r>
              <w:rPr>
                <w:rFonts w:ascii="Times New Roman" w:hAnsi="Times New Roman"/>
                <w:b w:val="false"/>
                <w:color w:val="000000"/>
                <w:sz w:val="10"/>
              </w:rPr>
              <w:t>unfunded commitment) (j)(ac)</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8.75%/5.00%</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12/30/2022</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6/30/2029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1,385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(280,000</w:t>
            </w:r>
            <w:r>
              <w:rPr>
                <w:rFonts w:ascii="Times New Roman" w:hAnsi="Times New Roman"/>
                <w:color w:val="000000"/>
                <w:sz w:val="20"/>
              </w:rPr>
              <w:t> </w:t>
            </w:r>
            <w:r>
              <w:rPr>
                <w:rFonts w:ascii="Times New Roman" w:hAnsi="Times New Roman"/>
                <w:b w:val="false"/>
                <w:color w:val="000000"/>
                <w:sz w:val="10"/>
              </w:rPr>
              <w:t>units) ($70</w:t>
            </w:r>
            <w:r>
              <w:rPr>
                <w:rFonts w:ascii="Times New Roman" w:hAnsi="Times New Roman"/>
                <w:color w:val="000000"/>
                <w:sz w:val="20"/>
              </w:rPr>
              <w:t> </w:t>
            </w:r>
            <w:r>
              <w:rPr>
                <w:rFonts w:ascii="Times New Roman" w:hAnsi="Times New Roman"/>
                <w:b w:val="false"/>
                <w:color w:val="000000"/>
                <w:sz w:val="10"/>
              </w:rPr>
              <w:t>unfunded commitment) (j)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12/30/2022</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7,664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Road Safety Services, Inc.</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Business Services</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center"/>
              <w:rPr/>
            </w:pPr>
            <w:r>
              <w:rPr/>
              <w:t> </w:t>
            </w:r>
          </w:p>
        </w:tc>
        <w:tc>
          <w:tcPr>
            <w:tcW w:w="405" w:type="dxa"/>
            <w:tcBorders/>
            <w:shd w:fill="CFF0FC" w:val="clear"/>
            <w:vAlign w:val="center"/>
          </w:tcPr>
          <w:p>
            <w:pPr>
              <w:pStyle w:val="TableContents"/>
              <w:bidi w:val="0"/>
              <w:spacing w:before="0" w:after="283"/>
              <w:ind w:left="0" w:right="0" w:firstLine="160"/>
              <w:jc w:val="center"/>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(k)</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11.25%/2.50%</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9/18/2018</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9/18/2025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21,221</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(779</w:t>
            </w:r>
            <w:r>
              <w:rPr>
                <w:rFonts w:ascii="Times New Roman" w:hAnsi="Times New Roman"/>
                <w:color w:val="000000"/>
                <w:sz w:val="20"/>
              </w:rPr>
              <w:t> </w:t>
            </w:r>
            <w:r>
              <w:rPr>
                <w:rFonts w:ascii="Times New Roman" w:hAnsi="Times New Roman"/>
                <w:b w:val="false"/>
                <w:color w:val="000000"/>
                <w:sz w:val="10"/>
              </w:rPr>
              <w:t>units)</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9/18/2018</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2,656</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(97</w:t>
            </w:r>
            <w:r>
              <w:rPr>
                <w:rFonts w:ascii="Times New Roman" w:hAnsi="Times New Roman"/>
                <w:color w:val="000000"/>
                <w:sz w:val="20"/>
              </w:rPr>
              <w:t> </w:t>
            </w:r>
            <w:r>
              <w:rPr>
                <w:rFonts w:ascii="Times New Roman" w:hAnsi="Times New Roman"/>
                <w:b w:val="false"/>
                <w:color w:val="000000"/>
                <w:sz w:val="10"/>
              </w:rPr>
              <w:t>units)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2/3/2023</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22,725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24,479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Sonicwall US Holdings, Inc.</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+ 7.50%) / (0.00%)</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12.93%/0.00%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9/6/2022</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5/18/2026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Suited Connector LLC</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center"/>
              <w:rPr/>
            </w:pPr>
            <w:r>
              <w:rPr/>
              <w:t> </w:t>
            </w:r>
          </w:p>
        </w:tc>
        <w:tc>
          <w:tcPr>
            <w:tcW w:w="405" w:type="dxa"/>
            <w:tcBorders/>
            <w:shd w:fill="CFF0FC" w:val="clear"/>
            <w:vAlign w:val="center"/>
          </w:tcPr>
          <w:p>
            <w:pPr>
              <w:pStyle w:val="TableContents"/>
              <w:bidi w:val="0"/>
              <w:spacing w:before="0" w:after="283"/>
              <w:ind w:left="0" w:right="0" w:firstLine="160"/>
              <w:jc w:val="center"/>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(j)(y)</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0.00%/12.00%</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10/29/2021</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5,025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(56,382</w:t>
            </w:r>
            <w:r>
              <w:rPr>
                <w:rFonts w:ascii="Times New Roman" w:hAnsi="Times New Roman"/>
                <w:color w:val="000000"/>
                <w:sz w:val="20"/>
              </w:rPr>
              <w:t> </w:t>
            </w:r>
            <w:r>
              <w:rPr>
                <w:rFonts w:ascii="Times New Roman" w:hAnsi="Times New Roman"/>
                <w:b w:val="false"/>
                <w:color w:val="000000"/>
                <w:sz w:val="10"/>
              </w:rPr>
              <w:t>units) (h)(j)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12/1/2021</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Tedia Company, LLC</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Healthcare Products</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+ 7.75%) / (1.00%)</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13.26%/0.00%</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3/4/2022</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3/4/2027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15,539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15,600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Revolving Loan ($2,400</w:t>
            </w:r>
            <w:r>
              <w:rPr>
                <w:rFonts w:ascii="Times New Roman" w:hAnsi="Times New Roman"/>
                <w:color w:val="000000"/>
                <w:sz w:val="20"/>
              </w:rPr>
              <w:t> </w:t>
            </w:r>
            <w:r>
              <w:rPr>
                <w:rFonts w:ascii="Times New Roman" w:hAnsi="Times New Roman"/>
                <w:b w:val="false"/>
                <w:color w:val="000000"/>
                <w:sz w:val="10"/>
              </w:rPr>
              <w:t>unfunded commitment) (j)(i)</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13.26%/0.00%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3/4/2022</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3/4/2027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w:t>
            </w:r>
          </w:p>
        </w:tc>
        <w:tc>
          <w:tcPr>
            <w:tcW w:w="146"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7.25%/7.25%</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3/4/2022</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9/4/2027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2,805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2,794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3,264</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(Series A) (1,000</w:t>
            </w:r>
            <w:r>
              <w:rPr>
                <w:rFonts w:ascii="Times New Roman" w:hAnsi="Times New Roman"/>
                <w:color w:val="000000"/>
                <w:sz w:val="20"/>
              </w:rPr>
              <w:t> </w:t>
            </w:r>
            <w:r>
              <w:rPr>
                <w:rFonts w:ascii="Times New Roman" w:hAnsi="Times New Roman"/>
                <w:b w:val="false"/>
                <w:color w:val="000000"/>
                <w:sz w:val="10"/>
              </w:rPr>
              <w:t>units) (h)(j)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3/4/2022</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Tiger Calcium Services Inc. (aq)</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Transportation services</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(j) (ao)</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12.50%/0.00%</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12/21/2022</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5/31/2025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12,457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UBEO, LLC</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Business Services</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(705,000</w:t>
            </w:r>
            <w:r>
              <w:rPr>
                <w:rFonts w:ascii="Times New Roman" w:hAnsi="Times New Roman"/>
                <w:color w:val="000000"/>
                <w:sz w:val="20"/>
              </w:rPr>
              <w:t> </w:t>
            </w:r>
            <w:r>
              <w:rPr>
                <w:rFonts w:ascii="Times New Roman" w:hAnsi="Times New Roman"/>
                <w:b w:val="false"/>
                <w:color w:val="000000"/>
                <w:sz w:val="10"/>
              </w:rPr>
              <w:t>units) (h)(j)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4/3/2018</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United Biologics, LLC</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Healthcare Services</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Preferred Equity (98,377</w:t>
            </w:r>
            <w:r>
              <w:rPr>
                <w:rFonts w:ascii="Times New Roman" w:hAnsi="Times New Roman"/>
                <w:color w:val="000000"/>
                <w:sz w:val="20"/>
              </w:rPr>
              <w:t> </w:t>
            </w:r>
            <w:r>
              <w:rPr>
                <w:rFonts w:ascii="Times New Roman" w:hAnsi="Times New Roman"/>
                <w:b w:val="false"/>
                <w:color w:val="000000"/>
                <w:sz w:val="10"/>
              </w:rPr>
              <w:t>units) (h)(j)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4/1/2012</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Warrant (57,469</w:t>
            </w:r>
            <w:r>
              <w:rPr>
                <w:rFonts w:ascii="Times New Roman" w:hAnsi="Times New Roman"/>
                <w:color w:val="000000"/>
                <w:sz w:val="20"/>
              </w:rPr>
              <w:t> </w:t>
            </w:r>
            <w:r>
              <w:rPr>
                <w:rFonts w:ascii="Times New Roman" w:hAnsi="Times New Roman"/>
                <w:b w:val="false"/>
                <w:color w:val="000000"/>
                <w:sz w:val="10"/>
              </w:rPr>
              <w:t>units) (j)(m)</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3/5/2012</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US Fertility Enterprises, LLC</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Healthcare Services</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0.00%/13.75%</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5/19/2023</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12,804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12,804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USG AS Holdings, LLC</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Utilities: Services</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center"/>
              <w:rPr/>
            </w:pPr>
            <w:r>
              <w:rPr/>
              <w:t> </w:t>
            </w:r>
          </w:p>
        </w:tc>
        <w:tc>
          <w:tcPr>
            <w:tcW w:w="405" w:type="dxa"/>
            <w:tcBorders/>
            <w:shd w:fill="FFFFFF" w:val="clear"/>
            <w:vAlign w:val="center"/>
          </w:tcPr>
          <w:p>
            <w:pPr>
              <w:pStyle w:val="TableContents"/>
              <w:bidi w:val="0"/>
              <w:spacing w:before="0" w:after="283"/>
              <w:ind w:left="0" w:right="0" w:firstLine="160"/>
              <w:jc w:val="center"/>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+ 8.50%) / (2.50%)</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13.90%/0.00%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2/23/2023</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2/23/2028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9,912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10,000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Common Equity (Units N/A) (j)</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2/21/2023</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sz w:val="4"/>
                <w:szCs w:val="4"/>
              </w:rPr>
            </w:pPr>
            <w:r>
              <w:rPr>
                <w:sz w:val="4"/>
                <w:szCs w:val="4"/>
              </w:rPr>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10,912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Virginia Tile Company, LLC</w:t>
            </w:r>
          </w:p>
        </w:tc>
        <w:tc>
          <w:tcPr>
            <w:tcW w:w="12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Specialty Distribution</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(17</w:t>
            </w:r>
            <w:r>
              <w:rPr>
                <w:rFonts w:ascii="Times New Roman" w:hAnsi="Times New Roman"/>
                <w:color w:val="000000"/>
                <w:sz w:val="20"/>
              </w:rPr>
              <w:t> </w:t>
            </w:r>
            <w:r>
              <w:rPr>
                <w:rFonts w:ascii="Times New Roman" w:hAnsi="Times New Roman"/>
                <w:b w:val="false"/>
                <w:color w:val="000000"/>
                <w:sz w:val="10"/>
              </w:rPr>
              <w:t>units) (j)</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12/19/2014</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0</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Virtex Enterprises, LP</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Component Manufacturing</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(y)</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+ 9.75%) / (2.50%)</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5.54%/9.75%</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4/13/2022</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6/30/2026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5,771</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301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Subordinated Debt (y)</w:t>
            </w:r>
          </w:p>
        </w:tc>
        <w:tc>
          <w:tcPr>
            <w:tcW w:w="1289"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+ 4.00%) / (2.50%)</w:t>
            </w:r>
          </w:p>
        </w:tc>
        <w:tc>
          <w:tcPr>
            <w:tcW w:w="68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9.54%/0.00%</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9/20/2023</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12/31/2025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3013" w:type="dxa"/>
            <w:tcBorders/>
            <w:shd w:fill="FFFFFF" w:val="clear"/>
            <w:vAlign w:val="center"/>
          </w:tcPr>
          <w:p>
            <w:pPr>
              <w:pStyle w:val="TableContents"/>
              <w:bidi w:val="0"/>
              <w:spacing w:before="0" w:after="283"/>
              <w:jc w:val="left"/>
              <w:rPr>
                <w:sz w:val="4"/>
                <w:szCs w:val="4"/>
              </w:rPr>
            </w:pPr>
            <w:r>
              <w:rPr>
                <w:sz w:val="4"/>
                <w:szCs w:val="4"/>
              </w:rPr>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11,263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3013"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Winona Foods, Inc.</w:t>
            </w:r>
          </w:p>
        </w:tc>
        <w:tc>
          <w:tcPr>
            <w:tcW w:w="12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Specialty Distribution</w:t>
            </w:r>
          </w:p>
        </w:tc>
        <w:tc>
          <w:tcPr>
            <w:tcW w:w="947"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301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First Lien Debt ($500</w:t>
            </w:r>
            <w:r>
              <w:rPr>
                <w:rFonts w:ascii="Times New Roman" w:hAnsi="Times New Roman"/>
                <w:color w:val="000000"/>
                <w:sz w:val="20"/>
              </w:rPr>
              <w:t> </w:t>
            </w:r>
            <w:r>
              <w:rPr>
                <w:rFonts w:ascii="Times New Roman" w:hAnsi="Times New Roman"/>
                <w:b w:val="false"/>
                <w:color w:val="000000"/>
                <w:sz w:val="10"/>
              </w:rPr>
              <w:t>unfunded commitment) (j)(am)</w:t>
            </w:r>
          </w:p>
        </w:tc>
        <w:tc>
          <w:tcPr>
            <w:tcW w:w="1289"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(P + 11.00%) / (2.00%)</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19.50%/0.00%</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4/1/2021</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5,180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859"/>
        <w:gridCol w:w="1209"/>
        <w:gridCol w:w="889"/>
        <w:gridCol w:w="649"/>
        <w:gridCol w:w="479"/>
        <w:gridCol w:w="479"/>
        <w:gridCol w:w="146"/>
        <w:gridCol w:w="436"/>
        <w:gridCol w:w="146"/>
        <w:gridCol w:w="146"/>
        <w:gridCol w:w="166"/>
        <w:gridCol w:w="496"/>
        <w:gridCol w:w="146"/>
        <w:gridCol w:w="146"/>
        <w:gridCol w:w="166"/>
        <w:gridCol w:w="586"/>
        <w:gridCol w:w="146"/>
        <w:gridCol w:w="146"/>
        <w:gridCol w:w="286"/>
        <w:gridCol w:w="483"/>
      </w:tblGrid>
      <w:tr>
        <w:trPr/>
        <w:tc>
          <w:tcPr>
            <w:tcW w:w="285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w:t>
            </w:r>
          </w:p>
        </w:tc>
        <w:tc>
          <w:tcPr>
            <w:tcW w:w="120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(P + 12.00%) / (2.00%)</w:t>
            </w:r>
          </w:p>
        </w:tc>
        <w:tc>
          <w:tcPr>
            <w:tcW w:w="64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8.50%/12.00%</w:t>
            </w:r>
          </w:p>
        </w:tc>
        <w:tc>
          <w:tcPr>
            <w:tcW w:w="47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4/1/2021</w:t>
            </w:r>
          </w:p>
        </w:tc>
        <w:tc>
          <w:tcPr>
            <w:tcW w:w="47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4/1/2026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7,236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0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4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59"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Wonderware Holdings, LLC (dba CORE Business Technologies)</w:t>
            </w:r>
          </w:p>
        </w:tc>
        <w:tc>
          <w:tcPr>
            <w:tcW w:w="120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Information Technology Services</w:t>
            </w:r>
          </w:p>
        </w:tc>
        <w:tc>
          <w:tcPr>
            <w:tcW w:w="889"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5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(k)(z)</w:t>
            </w:r>
          </w:p>
        </w:tc>
        <w:tc>
          <w:tcPr>
            <w:tcW w:w="120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+ 7.25%) / (1.00%)</w:t>
            </w:r>
          </w:p>
        </w:tc>
        <w:tc>
          <w:tcPr>
            <w:tcW w:w="64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12.92%/0.00%</w:t>
            </w:r>
          </w:p>
        </w:tc>
        <w:tc>
          <w:tcPr>
            <w:tcW w:w="47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2/10/2021</w:t>
            </w:r>
          </w:p>
        </w:tc>
        <w:tc>
          <w:tcPr>
            <w:tcW w:w="47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2/9/2026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w:t>
            </w:r>
          </w:p>
        </w:tc>
        <w:tc>
          <w:tcPr>
            <w:tcW w:w="4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0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Worldwide Express Operations, LLC</w:t>
            </w:r>
          </w:p>
        </w:tc>
        <w:tc>
          <w:tcPr>
            <w:tcW w:w="120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Transportation services</w:t>
            </w:r>
          </w:p>
        </w:tc>
        <w:tc>
          <w:tcPr>
            <w:tcW w:w="88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Second Lien Debt (j)</w:t>
            </w:r>
          </w:p>
        </w:tc>
        <w:tc>
          <w:tcPr>
            <w:tcW w:w="120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+ 7.00%) / (0.75%)</w:t>
            </w:r>
          </w:p>
        </w:tc>
        <w:tc>
          <w:tcPr>
            <w:tcW w:w="64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12.65%/0.00%</w:t>
            </w:r>
          </w:p>
        </w:tc>
        <w:tc>
          <w:tcPr>
            <w:tcW w:w="47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8/2/2021</w:t>
            </w:r>
          </w:p>
        </w:tc>
        <w:tc>
          <w:tcPr>
            <w:tcW w:w="47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7/26/2029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27,497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26,521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27,140</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Common Equity (795,000units) (j)</w:t>
            </w:r>
          </w:p>
        </w:tc>
        <w:tc>
          <w:tcPr>
            <w:tcW w:w="120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7/21/2021</w:t>
            </w:r>
          </w:p>
        </w:tc>
        <w:tc>
          <w:tcPr>
            <w:tcW w:w="47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849</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(752,380</w:t>
            </w:r>
            <w:r>
              <w:rPr>
                <w:rFonts w:ascii="Times New Roman" w:hAnsi="Times New Roman"/>
                <w:color w:val="000000"/>
                <w:sz w:val="20"/>
              </w:rPr>
              <w:t> </w:t>
            </w:r>
            <w:r>
              <w:rPr>
                <w:rFonts w:ascii="Times New Roman" w:hAnsi="Times New Roman"/>
                <w:b w:val="false"/>
                <w:color w:val="000000"/>
                <w:sz w:val="10"/>
              </w:rPr>
              <w:t>units) (h)(j)</w:t>
            </w:r>
          </w:p>
        </w:tc>
        <w:tc>
          <w:tcPr>
            <w:tcW w:w="120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7/26/2021</w:t>
            </w:r>
          </w:p>
        </w:tc>
        <w:tc>
          <w:tcPr>
            <w:tcW w:w="47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0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27,541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28,648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w:t>
            </w:r>
          </w:p>
        </w:tc>
        <w:tc>
          <w:tcPr>
            <w:tcW w:w="4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59" w:type="dxa"/>
            <w:tcBorders/>
            <w:shd w:fill="CFF0FC" w:val="clear"/>
            <w:vAlign w:val="center"/>
          </w:tcPr>
          <w:p>
            <w:pPr>
              <w:pStyle w:val="TableContents"/>
              <w:bidi w:val="0"/>
              <w:spacing w:before="0" w:after="283"/>
              <w:jc w:val="left"/>
              <w:rPr>
                <w:rFonts w:ascii="Times New Roman" w:hAnsi="Times New Roman"/>
                <w:b w:val="false"/>
                <w:i/>
                <w:color w:val="000000"/>
                <w:sz w:val="10"/>
              </w:rPr>
            </w:pPr>
            <w:r>
              <w:rPr>
                <w:rFonts w:ascii="Times New Roman" w:hAnsi="Times New Roman"/>
                <w:b w:val="false"/>
                <w:i/>
                <w:color w:val="000000"/>
                <w:sz w:val="10"/>
              </w:rPr>
              <w:t>Zonkd, LLC</w:t>
            </w:r>
          </w:p>
        </w:tc>
        <w:tc>
          <w:tcPr>
            <w:tcW w:w="120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Component Manufacturing</w:t>
            </w:r>
          </w:p>
        </w:tc>
        <w:tc>
          <w:tcPr>
            <w:tcW w:w="889"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First Lien Debt (j)</w:t>
            </w:r>
          </w:p>
        </w:tc>
        <w:tc>
          <w:tcPr>
            <w:tcW w:w="120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 + 10.00%) / (1.00%)</w:t>
            </w:r>
          </w:p>
        </w:tc>
        <w:tc>
          <w:tcPr>
            <w:tcW w:w="64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16.66%/0.00%</w:t>
            </w:r>
          </w:p>
        </w:tc>
        <w:tc>
          <w:tcPr>
            <w:tcW w:w="47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3/18/2022</w:t>
            </w:r>
          </w:p>
        </w:tc>
        <w:tc>
          <w:tcPr>
            <w:tcW w:w="47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3/18/2027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4,439</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0"/>
              </w:rPr>
              <w:t>Common Equity (4,987</w:t>
            </w:r>
            <w:r>
              <w:rPr>
                <w:rFonts w:ascii="Times New Roman" w:hAnsi="Times New Roman"/>
                <w:color w:val="000000"/>
                <w:sz w:val="20"/>
              </w:rPr>
              <w:t> </w:t>
            </w:r>
            <w:r>
              <w:rPr>
                <w:rFonts w:ascii="Times New Roman" w:hAnsi="Times New Roman"/>
                <w:b w:val="false"/>
                <w:color w:val="000000"/>
                <w:sz w:val="10"/>
              </w:rPr>
              <w:t>units) (h)(j)</w:t>
            </w:r>
          </w:p>
        </w:tc>
        <w:tc>
          <w:tcPr>
            <w:tcW w:w="120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3/18/2022</w:t>
            </w:r>
          </w:p>
        </w:tc>
        <w:tc>
          <w:tcPr>
            <w:tcW w:w="47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0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5,071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4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0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Non-control/Non-affiliate Investments</w:t>
            </w:r>
          </w:p>
        </w:tc>
        <w:tc>
          <w:tcPr>
            <w:tcW w:w="120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842,050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843,702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154</w:t>
            </w:r>
          </w:p>
        </w:tc>
        <w:tc>
          <w:tcPr>
            <w:tcW w:w="4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0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w:t>
            </w:r>
          </w:p>
        </w:tc>
        <w:tc>
          <w:tcPr>
            <w:tcW w:w="120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895,362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926,859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169</w:t>
            </w:r>
          </w:p>
        </w:tc>
        <w:tc>
          <w:tcPr>
            <w:tcW w:w="4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0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Money market funds (included in cash and cash equivalents)</w:t>
            </w:r>
          </w:p>
        </w:tc>
        <w:tc>
          <w:tcPr>
            <w:tcW w:w="120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0"/>
              </w:rPr>
            </w:pPr>
            <w:r>
              <w:rPr>
                <w:rFonts w:ascii="Times New Roman" w:hAnsi="Times New Roman"/>
                <w:b w:val="false"/>
                <w:color w:val="000000"/>
                <w:sz w:val="10"/>
              </w:rPr>
              <w:t>Goldman Sachs Financial Square Treasury Obligation Institution CUSIP (38141W323) (ad)</w:t>
            </w:r>
          </w:p>
        </w:tc>
        <w:tc>
          <w:tcPr>
            <w:tcW w:w="120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78,578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78,578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w:t>
            </w:r>
          </w:p>
        </w:tc>
        <w:tc>
          <w:tcPr>
            <w:tcW w:w="483" w:type="dxa"/>
            <w:tcBorders/>
            <w:shd w:fill="CFF0FC" w:val="clear"/>
            <w:vAlign w:val="center"/>
          </w:tcPr>
          <w:p>
            <w:pPr>
              <w:pStyle w:val="TableContents"/>
              <w:bidi w:val="0"/>
              <w:spacing w:before="0" w:after="283"/>
              <w:ind w:left="0" w:right="0" w:firstLine="240"/>
              <w:jc w:val="left"/>
              <w:rPr>
                <w:rFonts w:ascii="Times New Roman" w:hAnsi="Times New Roman"/>
                <w:b w:val="false"/>
                <w:color w:val="000000"/>
                <w:sz w:val="10"/>
              </w:rPr>
            </w:pPr>
            <w:r>
              <w:rPr>
                <w:rFonts w:ascii="Times New Roman" w:hAnsi="Times New Roman"/>
                <w:b w:val="false"/>
                <w:color w:val="000000"/>
                <w:sz w:val="10"/>
              </w:rPr>
              <w:t>%</w:t>
            </w:r>
          </w:p>
        </w:tc>
      </w:tr>
      <w:tr>
        <w:trPr/>
        <w:tc>
          <w:tcPr>
            <w:tcW w:w="2859" w:type="dxa"/>
            <w:tcBorders/>
            <w:shd w:fill="FFFFFF" w:val="clear"/>
            <w:vAlign w:val="center"/>
          </w:tcPr>
          <w:p>
            <w:pPr>
              <w:pStyle w:val="TableContents"/>
              <w:bidi w:val="0"/>
              <w:spacing w:before="0" w:after="283"/>
              <w:ind w:left="240" w:right="0" w:firstLine="240"/>
              <w:jc w:val="left"/>
              <w:rPr>
                <w:rFonts w:ascii="Times New Roman" w:hAnsi="Times New Roman"/>
                <w:b/>
                <w:color w:val="000000"/>
                <w:sz w:val="10"/>
              </w:rPr>
            </w:pPr>
            <w:r>
              <w:rPr>
                <w:rFonts w:ascii="Times New Roman" w:hAnsi="Times New Roman"/>
                <w:b/>
                <w:color w:val="000000"/>
                <w:sz w:val="10"/>
              </w:rPr>
              <w:t>Total money market funds</w:t>
            </w:r>
          </w:p>
        </w:tc>
        <w:tc>
          <w:tcPr>
            <w:tcW w:w="120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78,578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78,578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w:t>
            </w:r>
          </w:p>
        </w:tc>
        <w:tc>
          <w:tcPr>
            <w:tcW w:w="483"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r>
      <w:tr>
        <w:trPr/>
        <w:tc>
          <w:tcPr>
            <w:tcW w:w="2859"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 and Money Market Funds</w:t>
            </w:r>
          </w:p>
        </w:tc>
        <w:tc>
          <w:tcPr>
            <w:tcW w:w="120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973,940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1,005,437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183</w:t>
            </w:r>
          </w:p>
        </w:tc>
        <w:tc>
          <w:tcPr>
            <w:tcW w:w="483"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0"/>
              </w:rPr>
            </w:pPr>
            <w:r>
              <w:rPr>
                <w:rFonts w:ascii="Times New Roman" w:hAnsi="Times New Roman"/>
                <w:b w:val="false"/>
                <w:color w:val="000000"/>
                <w:sz w:val="10"/>
              </w:rPr>
              <w:t>%</w:t>
            </w:r>
          </w:p>
        </w:tc>
      </w:tr>
      <w:tr>
        <w:trPr/>
        <w:tc>
          <w:tcPr>
            <w:tcW w:w="2859" w:type="dxa"/>
            <w:tcBorders/>
            <w:shd w:fill="FFFFFF" w:val="clear"/>
            <w:vAlign w:val="center"/>
          </w:tcPr>
          <w:p>
            <w:pPr>
              <w:pStyle w:val="TableContents"/>
              <w:bidi w:val="0"/>
              <w:spacing w:before="0" w:after="283"/>
              <w:ind w:left="160" w:right="0" w:firstLine="160"/>
              <w:jc w:val="left"/>
              <w:rPr/>
            </w:pPr>
            <w:r>
              <w:rPr/>
              <w:t> </w:t>
            </w:r>
          </w:p>
        </w:tc>
        <w:tc>
          <w:tcPr>
            <w:tcW w:w="120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 See Note 3 to the consolidated financial statements for portfolio composition by geographic location.</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(b) Equity ownership may be held in shares or units of companies related to the portfolio companies.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(c) All debt investments are income producing, unless otherwise indicated.</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Equity investments are non-income producing unless otherwise noted.</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(d) 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September 30, 2023.</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(e) Rate includes the cash interest or dividend rate and paid-in-kind interest or dividend rate, if any, as of September 30, 2023. Generally, payment-in-kind interest can be paid-in-kind or all in cash.</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(f) Investment date represents the date of the initial investment in the security.</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(h) Investment is held by a taxable subsidiary of the Company.</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(i) The disclosed commitment represents the unfunded amount as of September 30, 2023. The Company is earning 0.50% interest on the unfunded balance of the commitment. The interest rate disclosed represents the rate that will be earned if the commitment is funded.</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(k) 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b w:val="false"/>
          <w:color w:val="000000"/>
          <w:sz w:val="12"/>
        </w:rPr>
        <w:t>(o) The Company sold a participating interest of approximately $0.3</w:t>
      </w:r>
      <w:r>
        <w:rPr>
          <w:rFonts w:ascii="Times New Roman" w:hAnsi="Times New Roman"/>
          <w:color w:val="000000"/>
          <w:sz w:val="20"/>
        </w:rPr>
        <w:t xml:space="preserve"> </w:t>
      </w:r>
      <w:r>
        <w:rPr>
          <w:rFonts w:ascii="Times New Roman" w:hAnsi="Times New Roman"/>
          <w:b w:val="false"/>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(p) In addition to the interest earned based on the stated interest rate of this security, the Company is entitled to receive an additional interest amount of 5.96%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(q) In addition to the interest earned based on the stated interest rate of this security, the Company is entitled to receive an additional interest amount of 3.12%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(r) In addition to the interest earned based on the stated interest rate of this security, the Company is entitled to receive an additional interest amount of 3.27%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(s) In addition to the interest earned based on the stated interest rate of this security, the Company is entitled to receive an additional interest amount of 2.22%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(u) In addition to the interest earned based on the stated interest rate of this security, the Company is entitled to receive an additional interest amount of 2.36%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(v) In addition to the interest earned based on the stated interest rate of this security, the Company is entitled to receive an additional interest amount of 3.09%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(w) In addition to the interest earned based on the stated interest rate of this security, the Company is entitled to receive an additional interest amount of 4.95%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(x) In addition to the interest earned based on the stated interest rate of this security, the Company is entitled to receive an additional interest amount of 2.46%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(y) Investment was on non-accrual status as of September 30, 2023.</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(z) In addition to the interest earned based on the stated interest rate of this security, the Company is entitled to receive an additional interest amount of 4.27%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b w:val="false"/>
          <w:color w:val="000000"/>
          <w:sz w:val="12"/>
        </w:rPr>
        <w:t>(aa) The Company sold a participating interest of approximately $4.0</w:t>
      </w:r>
      <w:r>
        <w:rPr>
          <w:rFonts w:ascii="Times New Roman" w:hAnsi="Times New Roman"/>
          <w:color w:val="000000"/>
          <w:sz w:val="20"/>
        </w:rPr>
        <w:t xml:space="preserve"> </w:t>
      </w:r>
      <w:r>
        <w:rPr>
          <w:rFonts w:ascii="Times New Roman" w:hAnsi="Times New Roman"/>
          <w:b w:val="false"/>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(ab) In addition to the interest earned based on the stated interest rate of this security, the Company is entitled to receive an additional interest amount of 7.72%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(ac) The disclosed commitment represents the unfunded amount as of September 30, 2023.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(ad) This investment is classified as a Level 1 investment. For further detail on the fair value measurements, see Note 4 to the consolidated financial statements.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(ae) In addition to the interest earned based on the stated interest rate of this security, the Company is entitled to receive an additional interest amount of 2.36%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(ag) In addition to the interest earned based on the stated interest rate of this security, the Company is entitled to receive an additional interest amount of 4.40%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(ah) In addition to the interest earned based on the stated interest rate of this security, the Company is entitled to receive an additional interest amount of 1.62%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(ai) In addition to the interest earned based on the stated interest rate of this security, the Company is entitled to receive an additional interest amount of 3.45%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(ak) In addition to the interest earned based on the stated interest rate of this security, the Company is entitled to receive an additional interest amount of 3.48%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(al) In addition to the interest earned based on the stated interest rate of this security, the Company is entitled to receive an additional interest amount of 5.08%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(am) In addition to the interest earned based on the stated interest rate of this security, the Company is entitled to receive an additional interest amount of 3.58%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b w:val="false"/>
          <w:color w:val="000000"/>
          <w:sz w:val="12"/>
        </w:rPr>
        <w:t>(an) The Company sold a participating interest of approximately $13.5</w:t>
      </w:r>
      <w:r>
        <w:rPr>
          <w:rFonts w:ascii="Times New Roman" w:hAnsi="Times New Roman"/>
          <w:color w:val="000000"/>
          <w:sz w:val="20"/>
        </w:rPr>
        <w:t xml:space="preserve"> </w:t>
      </w:r>
      <w:r>
        <w:rPr>
          <w:rFonts w:ascii="Times New Roman" w:hAnsi="Times New Roman"/>
          <w:b w:val="false"/>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September 30, 2023, total non-qualifying assets at fair value represented 1.25% of the Company's total assets calculated in accordance with the 1940 Act.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(ap) In addition to the interest earned based on the stated interest rate of this security, the Company is entitled to receive an additional cash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(aq) The headquarters of this portfolio company is located in Canada.</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(ar) In addition to the interest earned based on the stated interest rate of this security, the Company is entitled to receive an additional interest amount of 4.32%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(as) In addition to the interest earned based on the stated interest rate of this security, the Company is entitled to receive an additional interest amount of 6.16%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(at) In addition to the interest earned based on the stated interest rate of this security, the Company is entitled to receive an additional interest amount of 2.55%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(au) In addition to the interest earned based on the stated interest rate of this security, the Company is entitled to receive an additional interest amount of 3.24%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(av) In addition to the interest earned based on the stated interest rate of this security, the Company is entitled to receive an additional interest amount of 3.37%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(aw) In addition to the interest earned based on the stated interest rate of this security, the Company is entitled to receive an additional interest amount of 1.54%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pPr>
      <w:r>
        <w:rPr/>
        <w:t> </w:t>
      </w:r>
    </w:p>
    <w:p>
      <w:pPr>
        <w:pStyle w:val="TextBody"/>
        <w:bidi w:val="0"/>
        <w:spacing w:before="120" w:after="283"/>
        <w:jc w:val="center"/>
        <w:rPr>
          <w:rFonts w:ascii="Times New Roman" w:hAnsi="Times New Roman"/>
          <w:b w:val="false"/>
          <w:i/>
          <w:color w:val="000000"/>
          <w:sz w:val="12"/>
        </w:rPr>
      </w:pPr>
      <w:r>
        <w:rPr>
          <w:rFonts w:ascii="Times New Roman" w:hAnsi="Times New Roman"/>
          <w:b w:val="false"/>
          <w:i/>
          <w:color w:val="000000"/>
          <w:sz w:val="12"/>
        </w:rPr>
        <w:t>See Notes to Consolidated Financial Statements (unaudited).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41"/>
        <w:gridCol w:w="1443"/>
        <w:gridCol w:w="904"/>
        <w:gridCol w:w="663"/>
        <w:gridCol w:w="691"/>
        <w:gridCol w:w="617"/>
        <w:gridCol w:w="166"/>
        <w:gridCol w:w="436"/>
        <w:gridCol w:w="146"/>
        <w:gridCol w:w="146"/>
        <w:gridCol w:w="166"/>
        <w:gridCol w:w="436"/>
        <w:gridCol w:w="146"/>
        <w:gridCol w:w="146"/>
        <w:gridCol w:w="166"/>
        <w:gridCol w:w="496"/>
        <w:gridCol w:w="146"/>
        <w:gridCol w:w="233"/>
        <w:gridCol w:w="363"/>
        <w:gridCol w:w="354"/>
      </w:tblGrid>
      <w:tr>
        <w:trPr/>
        <w:tc>
          <w:tcPr>
            <w:tcW w:w="234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Portfolio Company (a)(b)</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Variable Index</w:t>
            </w:r>
          </w:p>
        </w:tc>
        <w:tc>
          <w:tcPr>
            <w:tcW w:w="66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Rate (e)</w:t>
            </w:r>
          </w:p>
        </w:tc>
        <w:tc>
          <w:tcPr>
            <w:tcW w:w="69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w:t>
            </w:r>
          </w:p>
        </w:tc>
        <w:tc>
          <w:tcPr>
            <w:tcW w:w="146" w:type="dxa"/>
            <w:tcBorders/>
            <w:shd w:fill="FFFFFF" w:val="clear"/>
            <w:vAlign w:val="center"/>
          </w:tcPr>
          <w:p>
            <w:pPr>
              <w:pStyle w:val="TableContents"/>
              <w:bidi w:val="0"/>
              <w:spacing w:before="0" w:after="283"/>
              <w:jc w:val="center"/>
              <w:rPr/>
            </w:pPr>
            <w:r>
              <w:rPr/>
              <w:t> </w:t>
            </w:r>
          </w:p>
        </w:tc>
        <w:tc>
          <w:tcPr>
            <w:tcW w:w="59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Percent of</w:t>
            </w:r>
          </w:p>
        </w:tc>
        <w:tc>
          <w:tcPr>
            <w:tcW w:w="354" w:type="dxa"/>
            <w:tcBorders/>
            <w:shd w:fill="FFFFFF" w:val="clear"/>
            <w:vAlign w:val="center"/>
          </w:tcPr>
          <w:p>
            <w:pPr>
              <w:pStyle w:val="TableContents"/>
              <w:bidi w:val="0"/>
              <w:spacing w:before="0" w:after="283"/>
              <w:jc w:val="center"/>
              <w:rPr/>
            </w:pPr>
            <w:r>
              <w:rPr/>
              <w:t> </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Type (c)</w:t>
            </w:r>
          </w:p>
        </w:tc>
        <w:tc>
          <w:tcPr>
            <w:tcW w:w="1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Industry</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Spread / Floor (d)</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Cash/PIK</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Date (f)</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Maturity</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Assets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vAlign w:val="center"/>
          </w:tcPr>
          <w:p>
            <w:pPr>
              <w:pStyle w:val="TableContents"/>
              <w:bidi w:val="0"/>
              <w:spacing w:before="0" w:after="283"/>
              <w:jc w:val="left"/>
              <w:rPr/>
            </w:pPr>
            <w:r>
              <w:rPr/>
              <w:t> </w:t>
            </w:r>
          </w:p>
        </w:tc>
        <w:tc>
          <w:tcPr>
            <w:tcW w:w="1443"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6" w:type="dxa"/>
            <w:gridSpan w:val="2"/>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center"/>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Control Investments (t)</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EBL, LLC (EbLens)</w:t>
            </w:r>
          </w:p>
        </w:tc>
        <w:tc>
          <w:tcPr>
            <w:tcW w:w="14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Retail</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(j)(y)</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0.00%/13.00%</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10/3/2022</w:t>
            </w:r>
          </w:p>
        </w:tc>
        <w:tc>
          <w:tcPr>
            <w:tcW w:w="61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10/3/2025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(75,000</w:t>
            </w:r>
            <w:r>
              <w:rPr>
                <w:rFonts w:ascii="Times New Roman" w:hAnsi="Times New Roman"/>
                <w:color w:val="000000"/>
                <w:sz w:val="20"/>
              </w:rPr>
              <w:t> </w:t>
            </w:r>
            <w:r>
              <w:rPr>
                <w:rFonts w:ascii="Times New Roman" w:hAnsi="Times New Roman"/>
                <w:b w:val="false"/>
                <w:color w:val="000000"/>
                <w:sz w:val="12"/>
              </w:rPr>
              <w:t>units) (j)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7/13/2017</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(375</w:t>
            </w:r>
            <w:r>
              <w:rPr>
                <w:rFonts w:ascii="Times New Roman" w:hAnsi="Times New Roman"/>
                <w:color w:val="000000"/>
                <w:sz w:val="20"/>
              </w:rPr>
              <w:t> </w:t>
            </w:r>
            <w:r>
              <w:rPr>
                <w:rFonts w:ascii="Times New Roman" w:hAnsi="Times New Roman"/>
                <w:b w:val="false"/>
                <w:color w:val="000000"/>
                <w:sz w:val="12"/>
              </w:rPr>
              <w:t>units) ($375</w:t>
            </w:r>
            <w:r>
              <w:rPr>
                <w:rFonts w:ascii="Times New Roman" w:hAnsi="Times New Roman"/>
                <w:color w:val="000000"/>
                <w:sz w:val="20"/>
              </w:rPr>
              <w:t> </w:t>
            </w:r>
            <w:r>
              <w:rPr>
                <w:rFonts w:ascii="Times New Roman" w:hAnsi="Times New Roman"/>
                <w:b w:val="false"/>
                <w:color w:val="000000"/>
                <w:sz w:val="12"/>
              </w:rPr>
              <w:t>unfunded commitment) (j)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10/3/2022</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US GreenFiber, LLC (n)</w:t>
            </w:r>
          </w:p>
        </w:tc>
        <w:tc>
          <w:tcPr>
            <w:tcW w:w="14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Building Products Manufacturing</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(j)(y)</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10.00%/3.00%</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7/3/2014</w:t>
            </w:r>
          </w:p>
        </w:tc>
        <w:tc>
          <w:tcPr>
            <w:tcW w:w="61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8/30/2024</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(2,522</w:t>
            </w:r>
            <w:r>
              <w:rPr>
                <w:rFonts w:ascii="Times New Roman" w:hAnsi="Times New Roman"/>
                <w:color w:val="000000"/>
                <w:sz w:val="20"/>
              </w:rPr>
              <w:t> </w:t>
            </w:r>
            <w:r>
              <w:rPr>
                <w:rFonts w:ascii="Times New Roman" w:hAnsi="Times New Roman"/>
                <w:b w:val="false"/>
                <w:color w:val="000000"/>
                <w:sz w:val="12"/>
              </w:rPr>
              <w:t>units) (h)(j)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7/3/2014</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(425,508</w:t>
            </w:r>
            <w:r>
              <w:rPr>
                <w:rFonts w:ascii="Times New Roman" w:hAnsi="Times New Roman"/>
                <w:color w:val="000000"/>
                <w:sz w:val="20"/>
              </w:rPr>
              <w:t> </w:t>
            </w:r>
            <w:r>
              <w:rPr>
                <w:rFonts w:ascii="Times New Roman" w:hAnsi="Times New Roman"/>
                <w:b w:val="false"/>
                <w:color w:val="000000"/>
                <w:sz w:val="12"/>
              </w:rPr>
              <w:t>units) (j)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8/30/2019</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(1,022,813</w:t>
            </w:r>
            <w:r>
              <w:rPr>
                <w:rFonts w:ascii="Times New Roman" w:hAnsi="Times New Roman"/>
                <w:color w:val="000000"/>
                <w:sz w:val="20"/>
              </w:rPr>
              <w:t> </w:t>
            </w:r>
            <w:r>
              <w:rPr>
                <w:rFonts w:ascii="Times New Roman" w:hAnsi="Times New Roman"/>
                <w:b w:val="false"/>
                <w:color w:val="000000"/>
                <w:sz w:val="12"/>
              </w:rPr>
              <w:t>units) (h)(j)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7/1/2020</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CFF0FC" w:val="clear"/>
            <w:vAlign w:val="center"/>
          </w:tcPr>
          <w:p>
            <w:pPr>
              <w:pStyle w:val="TableContents"/>
              <w:bidi w:val="0"/>
              <w:spacing w:before="0" w:after="283"/>
              <w:jc w:val="left"/>
              <w:rPr>
                <w:sz w:val="4"/>
                <w:szCs w:val="4"/>
              </w:rPr>
            </w:pPr>
            <w:r>
              <w:rPr>
                <w:sz w:val="4"/>
                <w:szCs w:val="4"/>
              </w:rPr>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Control Investments</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CFF0FC" w:val="clear"/>
            <w:vAlign w:val="center"/>
          </w:tcPr>
          <w:p>
            <w:pPr>
              <w:pStyle w:val="TableContents"/>
              <w:bidi w:val="0"/>
              <w:spacing w:before="0" w:after="283"/>
              <w:jc w:val="left"/>
              <w:rPr>
                <w:sz w:val="4"/>
                <w:szCs w:val="4"/>
              </w:rPr>
            </w:pPr>
            <w:r>
              <w:rPr>
                <w:sz w:val="4"/>
                <w:szCs w:val="4"/>
              </w:rPr>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Affiliate Investments (l)</w:t>
            </w:r>
          </w:p>
        </w:tc>
        <w:tc>
          <w:tcPr>
            <w:tcW w:w="1443"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6" w:type="dxa"/>
            <w:gridSpan w:val="2"/>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center"/>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Applegate Greenfiber Intermediate Inc. (fka US GreenFiber, LLC)</w:t>
            </w:r>
          </w:p>
        </w:tc>
        <w:tc>
          <w:tcPr>
            <w:tcW w:w="14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Building Products Manufacturing</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Subordinated Debt (j)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10.00%/0.00%</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12/31/2021</w:t>
            </w:r>
          </w:p>
        </w:tc>
        <w:tc>
          <w:tcPr>
            <w:tcW w:w="61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12/31/2027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9,602</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(5,690</w:t>
            </w:r>
            <w:r>
              <w:rPr>
                <w:rFonts w:ascii="Times New Roman" w:hAnsi="Times New Roman"/>
                <w:color w:val="000000"/>
                <w:sz w:val="20"/>
              </w:rPr>
              <w:t> </w:t>
            </w:r>
            <w:r>
              <w:rPr>
                <w:rFonts w:ascii="Times New Roman" w:hAnsi="Times New Roman"/>
                <w:b w:val="false"/>
                <w:color w:val="000000"/>
                <w:sz w:val="12"/>
              </w:rPr>
              <w:t>units) (h) (j)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12/31/2021</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5,897</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(7,113</w:t>
            </w:r>
            <w:r>
              <w:rPr>
                <w:rFonts w:ascii="Times New Roman" w:hAnsi="Times New Roman"/>
                <w:color w:val="000000"/>
                <w:sz w:val="20"/>
              </w:rPr>
              <w:t> </w:t>
            </w:r>
            <w:r>
              <w:rPr>
                <w:rFonts w:ascii="Times New Roman" w:hAnsi="Times New Roman"/>
                <w:b w:val="false"/>
                <w:color w:val="000000"/>
                <w:sz w:val="12"/>
              </w:rPr>
              <w:t>units) (h) (j)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12/31/2021</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7,669</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(2,012</w:t>
            </w:r>
            <w:r>
              <w:rPr>
                <w:rFonts w:ascii="Times New Roman" w:hAnsi="Times New Roman"/>
                <w:color w:val="000000"/>
                <w:sz w:val="20"/>
              </w:rPr>
              <w:t> </w:t>
            </w:r>
            <w:r>
              <w:rPr>
                <w:rFonts w:ascii="Times New Roman" w:hAnsi="Times New Roman"/>
                <w:b w:val="false"/>
                <w:color w:val="000000"/>
                <w:sz w:val="12"/>
              </w:rPr>
              <w:t>units) (h) (j)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12/31/2021</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23,168</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Medsurant Holdings, LLC</w:t>
            </w:r>
          </w:p>
        </w:tc>
        <w:tc>
          <w:tcPr>
            <w:tcW w:w="14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 Services</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(84,997</w:t>
            </w:r>
            <w:r>
              <w:rPr>
                <w:rFonts w:ascii="Times New Roman" w:hAnsi="Times New Roman"/>
                <w:color w:val="000000"/>
                <w:sz w:val="20"/>
              </w:rPr>
              <w:t> </w:t>
            </w:r>
            <w:r>
              <w:rPr>
                <w:rFonts w:ascii="Times New Roman" w:hAnsi="Times New Roman"/>
                <w:b w:val="false"/>
                <w:color w:val="000000"/>
                <w:sz w:val="12"/>
              </w:rPr>
              <w:t>units) (h)(j)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4/12/2011</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591</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Warrant (252,588</w:t>
            </w:r>
            <w:r>
              <w:rPr>
                <w:rFonts w:ascii="Times New Roman" w:hAnsi="Times New Roman"/>
                <w:color w:val="000000"/>
                <w:sz w:val="20"/>
              </w:rPr>
              <w:t> </w:t>
            </w:r>
            <w:r>
              <w:rPr>
                <w:rFonts w:ascii="Times New Roman" w:hAnsi="Times New Roman"/>
                <w:b w:val="false"/>
                <w:color w:val="000000"/>
                <w:sz w:val="12"/>
              </w:rPr>
              <w:t>units) (h)(j)(m)</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4/12/2011</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2,540</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Pfanstiehl, Inc.</w:t>
            </w:r>
          </w:p>
        </w:tc>
        <w:tc>
          <w:tcPr>
            <w:tcW w:w="14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 Products</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Subordinated Debt (j)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10.00%/0.00%</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8/2/2022</w:t>
            </w:r>
          </w:p>
        </w:tc>
        <w:tc>
          <w:tcPr>
            <w:tcW w:w="61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8/2/2027</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9,954</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(2,550</w:t>
            </w:r>
            <w:r>
              <w:rPr>
                <w:rFonts w:ascii="Times New Roman" w:hAnsi="Times New Roman"/>
                <w:color w:val="000000"/>
                <w:sz w:val="20"/>
              </w:rPr>
              <w:t> </w:t>
            </w:r>
            <w:r>
              <w:rPr>
                <w:rFonts w:ascii="Times New Roman" w:hAnsi="Times New Roman"/>
                <w:b w:val="false"/>
                <w:color w:val="000000"/>
                <w:sz w:val="12"/>
              </w:rPr>
              <w:t>units) (j)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3/29/2013</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51,992</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CFF0FC" w:val="clear"/>
            <w:vAlign w:val="center"/>
          </w:tcPr>
          <w:p>
            <w:pPr>
              <w:pStyle w:val="TableContents"/>
              <w:bidi w:val="0"/>
              <w:spacing w:before="0" w:after="283"/>
              <w:jc w:val="left"/>
              <w:rPr>
                <w:sz w:val="4"/>
                <w:szCs w:val="4"/>
              </w:rPr>
            </w:pPr>
            <w:r>
              <w:rPr>
                <w:sz w:val="4"/>
                <w:szCs w:val="4"/>
              </w:rPr>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Spectra A&amp;D Acquisition, Inc. (fka FDS Avionics Corp.)</w:t>
            </w:r>
          </w:p>
        </w:tc>
        <w:tc>
          <w:tcPr>
            <w:tcW w:w="14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Aerospace &amp; Defense Manufacturing</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(k)(ag)</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+ 5.50%) / (1.00%)</w:t>
            </w:r>
          </w:p>
        </w:tc>
        <w:tc>
          <w:tcPr>
            <w:tcW w:w="66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10.23%/0.00%</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2/12/2021</w:t>
            </w:r>
          </w:p>
        </w:tc>
        <w:tc>
          <w:tcPr>
            <w:tcW w:w="61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2/11/2026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14,931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14,999</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(12,035</w:t>
            </w:r>
            <w:r>
              <w:rPr>
                <w:rFonts w:ascii="Times New Roman" w:hAnsi="Times New Roman"/>
                <w:color w:val="000000"/>
                <w:sz w:val="20"/>
              </w:rPr>
              <w:t> </w:t>
            </w:r>
            <w:r>
              <w:rPr>
                <w:rFonts w:ascii="Times New Roman" w:hAnsi="Times New Roman"/>
                <w:b w:val="false"/>
                <w:color w:val="000000"/>
                <w:sz w:val="12"/>
              </w:rPr>
              <w:t>units) (j)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8/25/2021</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1,204</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(38,493</w:t>
            </w:r>
            <w:r>
              <w:rPr>
                <w:rFonts w:ascii="Times New Roman" w:hAnsi="Times New Roman"/>
                <w:color w:val="000000"/>
                <w:sz w:val="20"/>
              </w:rPr>
              <w:t> </w:t>
            </w:r>
            <w:r>
              <w:rPr>
                <w:rFonts w:ascii="Times New Roman" w:hAnsi="Times New Roman"/>
                <w:b w:val="false"/>
                <w:color w:val="000000"/>
                <w:sz w:val="12"/>
              </w:rPr>
              <w:t>units) (j)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12/16/2022</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2,443</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(4,663</w:t>
            </w:r>
            <w:r>
              <w:rPr>
                <w:rFonts w:ascii="Times New Roman" w:hAnsi="Times New Roman"/>
                <w:color w:val="000000"/>
                <w:sz w:val="20"/>
              </w:rPr>
              <w:t> </w:t>
            </w:r>
            <w:r>
              <w:rPr>
                <w:rFonts w:ascii="Times New Roman" w:hAnsi="Times New Roman"/>
                <w:b w:val="false"/>
                <w:color w:val="000000"/>
                <w:sz w:val="12"/>
              </w:rPr>
              <w:t>units) (j)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9/16/2022</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sz w:val="4"/>
                <w:szCs w:val="4"/>
              </w:rPr>
            </w:pPr>
            <w:r>
              <w:rPr>
                <w:sz w:val="4"/>
                <w:szCs w:val="4"/>
              </w:rPr>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19,118</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Steward Holding LLC (dba Steward Advanced Materials)</w:t>
            </w:r>
          </w:p>
        </w:tc>
        <w:tc>
          <w:tcPr>
            <w:tcW w:w="14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Aerospace &amp; Defense Manufacturing</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(1,000,000</w:t>
            </w:r>
            <w:r>
              <w:rPr>
                <w:rFonts w:ascii="Times New Roman" w:hAnsi="Times New Roman"/>
                <w:color w:val="000000"/>
                <w:sz w:val="20"/>
              </w:rPr>
              <w:t> </w:t>
            </w:r>
            <w:r>
              <w:rPr>
                <w:rFonts w:ascii="Times New Roman" w:hAnsi="Times New Roman"/>
                <w:b w:val="false"/>
                <w:color w:val="000000"/>
                <w:sz w:val="12"/>
              </w:rPr>
              <w:t>units)</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11/12/2015</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4,772</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Affiliate Investments</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101,590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Non-control/Non-affiliate Investments</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2KDirect, Inc. (dba iPromote)</w:t>
            </w:r>
          </w:p>
        </w:tc>
        <w:tc>
          <w:tcPr>
            <w:tcW w:w="14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(k)(at)</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+ 6.75%) / (0.50%)</w:t>
            </w:r>
          </w:p>
        </w:tc>
        <w:tc>
          <w:tcPr>
            <w:tcW w:w="66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11.48%/0.00%</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6/25/2021</w:t>
            </w:r>
          </w:p>
        </w:tc>
        <w:tc>
          <w:tcPr>
            <w:tcW w:w="61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6/25/2026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11,560</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(j)(aa)</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+ 6.75%) / (0.50%)</w:t>
            </w:r>
          </w:p>
        </w:tc>
        <w:tc>
          <w:tcPr>
            <w:tcW w:w="66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11.48%/0.00%</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7/30/2021</w:t>
            </w:r>
          </w:p>
        </w:tc>
        <w:tc>
          <w:tcPr>
            <w:tcW w:w="61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6/25/2026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3,556</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(1,000,000</w:t>
            </w:r>
            <w:r>
              <w:rPr>
                <w:rFonts w:ascii="Times New Roman" w:hAnsi="Times New Roman"/>
                <w:color w:val="000000"/>
                <w:sz w:val="20"/>
              </w:rPr>
              <w:t> </w:t>
            </w:r>
            <w:r>
              <w:rPr>
                <w:rFonts w:ascii="Times New Roman" w:hAnsi="Times New Roman"/>
                <w:b w:val="false"/>
                <w:color w:val="000000"/>
                <w:sz w:val="12"/>
              </w:rPr>
              <w:t>units)</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6/25/2021</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15,593</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Acendre Midco, Inc.</w:t>
            </w:r>
          </w:p>
        </w:tc>
        <w:tc>
          <w:tcPr>
            <w:tcW w:w="14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+ 7.75%) / (0.50%)</w:t>
            </w:r>
          </w:p>
        </w:tc>
        <w:tc>
          <w:tcPr>
            <w:tcW w:w="66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12.30%/0.00%</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10/6/2021</w:t>
            </w:r>
          </w:p>
        </w:tc>
        <w:tc>
          <w:tcPr>
            <w:tcW w:w="61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10/6/2026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5,500</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+ 7.75%) / (0.50%)</w:t>
            </w:r>
          </w:p>
        </w:tc>
        <w:tc>
          <w:tcPr>
            <w:tcW w:w="66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12.30%/0.00%</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10/6/2021</w:t>
            </w:r>
          </w:p>
        </w:tc>
        <w:tc>
          <w:tcPr>
            <w:tcW w:w="61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10/6/2026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12,500</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Revolving Loan ($1,000</w:t>
            </w:r>
            <w:r>
              <w:rPr>
                <w:rFonts w:ascii="Times New Roman" w:hAnsi="Times New Roman"/>
                <w:color w:val="000000"/>
                <w:sz w:val="20"/>
              </w:rPr>
              <w:t> </w:t>
            </w:r>
            <w:r>
              <w:rPr>
                <w:rFonts w:ascii="Times New Roman" w:hAnsi="Times New Roman"/>
                <w:b w:val="false"/>
                <w:color w:val="000000"/>
                <w:sz w:val="12"/>
              </w:rPr>
              <w:t>unfunded commitment) (j)(i)</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+ 7.50%) / (0.50%)</w:t>
            </w:r>
          </w:p>
        </w:tc>
        <w:tc>
          <w:tcPr>
            <w:tcW w:w="66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12.30%/0.00%</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10/6/2021</w:t>
            </w:r>
          </w:p>
        </w:tc>
        <w:tc>
          <w:tcPr>
            <w:tcW w:w="617"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(500,000</w:t>
            </w:r>
            <w:r>
              <w:rPr>
                <w:rFonts w:ascii="Times New Roman" w:hAnsi="Times New Roman"/>
                <w:color w:val="000000"/>
                <w:sz w:val="20"/>
              </w:rPr>
              <w:t> </w:t>
            </w:r>
            <w:r>
              <w:rPr>
                <w:rFonts w:ascii="Times New Roman" w:hAnsi="Times New Roman"/>
                <w:b w:val="false"/>
                <w:color w:val="000000"/>
                <w:sz w:val="12"/>
              </w:rPr>
              <w:t>shares) (j)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10/6/2021</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433</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Warrant (150,000</w:t>
            </w:r>
            <w:r>
              <w:rPr>
                <w:rFonts w:ascii="Times New Roman" w:hAnsi="Times New Roman"/>
                <w:color w:val="000000"/>
                <w:sz w:val="20"/>
              </w:rPr>
              <w:t> </w:t>
            </w:r>
            <w:r>
              <w:rPr>
                <w:rFonts w:ascii="Times New Roman" w:hAnsi="Times New Roman"/>
                <w:b w:val="false"/>
                <w:color w:val="000000"/>
                <w:sz w:val="12"/>
              </w:rPr>
              <w:t>shares) (j)(m)</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10/6/2021</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(77,016</w:t>
            </w:r>
            <w:r>
              <w:rPr>
                <w:rFonts w:ascii="Times New Roman" w:hAnsi="Times New Roman"/>
                <w:color w:val="000000"/>
                <w:sz w:val="20"/>
              </w:rPr>
              <w:t> </w:t>
            </w:r>
            <w:r>
              <w:rPr>
                <w:rFonts w:ascii="Times New Roman" w:hAnsi="Times New Roman"/>
                <w:b w:val="false"/>
                <w:color w:val="000000"/>
                <w:sz w:val="12"/>
              </w:rPr>
              <w:t>shares) (j)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9/26/2022</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18,706</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Aeronix Inc.</w:t>
            </w:r>
          </w:p>
        </w:tc>
        <w:tc>
          <w:tcPr>
            <w:tcW w:w="14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Aerospace &amp; Defense Manufacturing</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(ai)</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+ 5.88%) / (0.50%)</w:t>
            </w:r>
          </w:p>
        </w:tc>
        <w:tc>
          <w:tcPr>
            <w:tcW w:w="66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10.63%/0.00%</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6/11/2021</w:t>
            </w:r>
          </w:p>
        </w:tc>
        <w:tc>
          <w:tcPr>
            <w:tcW w:w="61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6/11/2026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14,250</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(549</w:t>
            </w:r>
            <w:r>
              <w:rPr>
                <w:rFonts w:ascii="Times New Roman" w:hAnsi="Times New Roman"/>
                <w:color w:val="000000"/>
                <w:sz w:val="20"/>
              </w:rPr>
              <w:t> </w:t>
            </w:r>
            <w:r>
              <w:rPr>
                <w:rFonts w:ascii="Times New Roman" w:hAnsi="Times New Roman"/>
                <w:b w:val="false"/>
                <w:color w:val="000000"/>
                <w:sz w:val="12"/>
              </w:rPr>
              <w:t>units)</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6/11/2021</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14,777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15,029</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Allredi, LLC (fka Marco Group International OpCo, LLC)</w:t>
            </w:r>
          </w:p>
        </w:tc>
        <w:tc>
          <w:tcPr>
            <w:tcW w:w="14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 Cleaning &amp; Coatings</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(y)</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12.50%/2.25%</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3/2/2020</w:t>
            </w:r>
          </w:p>
        </w:tc>
        <w:tc>
          <w:tcPr>
            <w:tcW w:w="61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9/2/2026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8,144</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(570,636</w:t>
            </w:r>
            <w:r>
              <w:rPr>
                <w:rFonts w:ascii="Times New Roman" w:hAnsi="Times New Roman"/>
                <w:color w:val="000000"/>
                <w:sz w:val="20"/>
              </w:rPr>
              <w:t> </w:t>
            </w:r>
            <w:r>
              <w:rPr>
                <w:rFonts w:ascii="Times New Roman" w:hAnsi="Times New Roman"/>
                <w:b w:val="false"/>
                <w:color w:val="000000"/>
                <w:sz w:val="12"/>
              </w:rPr>
              <w:t>units) (h)(j)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7/21/2017</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(39,443</w:t>
            </w:r>
            <w:r>
              <w:rPr>
                <w:rFonts w:ascii="Times New Roman" w:hAnsi="Times New Roman"/>
                <w:color w:val="000000"/>
                <w:sz w:val="20"/>
              </w:rPr>
              <w:t> </w:t>
            </w:r>
            <w:r>
              <w:rPr>
                <w:rFonts w:ascii="Times New Roman" w:hAnsi="Times New Roman"/>
                <w:b w:val="false"/>
                <w:color w:val="000000"/>
                <w:sz w:val="12"/>
              </w:rPr>
              <w:t>units) (h)(j)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11/24/2021</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sz w:val="4"/>
                <w:szCs w:val="4"/>
              </w:rPr>
            </w:pPr>
            <w:r>
              <w:rPr>
                <w:sz w:val="4"/>
                <w:szCs w:val="4"/>
              </w:rPr>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8,297</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American AllWaste LLC (dba WasteWater Transport Services)</w:t>
            </w:r>
          </w:p>
        </w:tc>
        <w:tc>
          <w:tcPr>
            <w:tcW w:w="14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Environmental Industries</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(j)(p)</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+ 6.15%) / (1.00%)</w:t>
            </w:r>
          </w:p>
        </w:tc>
        <w:tc>
          <w:tcPr>
            <w:tcW w:w="66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9.82%/0.00%</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6/28/2021</w:t>
            </w:r>
          </w:p>
        </w:tc>
        <w:tc>
          <w:tcPr>
            <w:tcW w:w="61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6/28/2026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20,500</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(j)(o)</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+ 3.75%) / (1.00%)</w:t>
            </w:r>
          </w:p>
        </w:tc>
        <w:tc>
          <w:tcPr>
            <w:tcW w:w="66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7.42%/0.00%</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6/28/2021</w:t>
            </w:r>
          </w:p>
        </w:tc>
        <w:tc>
          <w:tcPr>
            <w:tcW w:w="61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6/28/2026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325</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(500</w:t>
            </w:r>
            <w:r>
              <w:rPr>
                <w:rFonts w:ascii="Times New Roman" w:hAnsi="Times New Roman"/>
                <w:color w:val="000000"/>
                <w:sz w:val="20"/>
              </w:rPr>
              <w:t> </w:t>
            </w:r>
            <w:r>
              <w:rPr>
                <w:rFonts w:ascii="Times New Roman" w:hAnsi="Times New Roman"/>
                <w:b w:val="false"/>
                <w:color w:val="000000"/>
                <w:sz w:val="12"/>
              </w:rPr>
              <w:t>units) (h)(j)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5/31/2018</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547</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(207</w:t>
            </w:r>
            <w:r>
              <w:rPr>
                <w:rFonts w:ascii="Times New Roman" w:hAnsi="Times New Roman"/>
                <w:color w:val="000000"/>
                <w:sz w:val="20"/>
              </w:rPr>
              <w:t> </w:t>
            </w:r>
            <w:r>
              <w:rPr>
                <w:rFonts w:ascii="Times New Roman" w:hAnsi="Times New Roman"/>
                <w:b w:val="false"/>
                <w:color w:val="000000"/>
                <w:sz w:val="12"/>
              </w:rPr>
              <w:t>units) (h)(j)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8/6/2019</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264</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(141</w:t>
            </w:r>
            <w:r>
              <w:rPr>
                <w:rFonts w:ascii="Times New Roman" w:hAnsi="Times New Roman"/>
                <w:color w:val="000000"/>
                <w:sz w:val="20"/>
              </w:rPr>
              <w:t> </w:t>
            </w:r>
            <w:r>
              <w:rPr>
                <w:rFonts w:ascii="Times New Roman" w:hAnsi="Times New Roman"/>
                <w:b w:val="false"/>
                <w:color w:val="000000"/>
                <w:sz w:val="12"/>
              </w:rPr>
              <w:t>units) (h)(j)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11/2/2020</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180</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(74</w:t>
            </w:r>
            <w:r>
              <w:rPr>
                <w:rFonts w:ascii="Times New Roman" w:hAnsi="Times New Roman"/>
                <w:color w:val="000000"/>
                <w:sz w:val="20"/>
              </w:rPr>
              <w:t> </w:t>
            </w:r>
            <w:r>
              <w:rPr>
                <w:rFonts w:ascii="Times New Roman" w:hAnsi="Times New Roman"/>
                <w:b w:val="false"/>
                <w:color w:val="000000"/>
                <w:sz w:val="12"/>
              </w:rPr>
              <w:t>units) (h)(j)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12/29/2021</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sz w:val="4"/>
                <w:szCs w:val="4"/>
              </w:rPr>
            </w:pPr>
            <w:r>
              <w:rPr>
                <w:sz w:val="4"/>
                <w:szCs w:val="4"/>
              </w:rPr>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21,677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21,917</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AmeriWater, LLC</w:t>
            </w:r>
          </w:p>
        </w:tc>
        <w:tc>
          <w:tcPr>
            <w:tcW w:w="14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Component Manufacturing</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(af)</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+ 6.25%) / (1.00%)</w:t>
            </w:r>
          </w:p>
        </w:tc>
        <w:tc>
          <w:tcPr>
            <w:tcW w:w="66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9.81%/0.00%</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7/8/2022</w:t>
            </w:r>
          </w:p>
        </w:tc>
        <w:tc>
          <w:tcPr>
            <w:tcW w:w="61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7/8/2027</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7,662</w:t>
            </w:r>
          </w:p>
        </w:tc>
        <w:tc>
          <w:tcPr>
            <w:tcW w:w="146" w:type="dxa"/>
            <w:tcBorders/>
            <w:shd w:fill="CFF0FC" w:val="cle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4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Subordinated Debt (j)</w:t>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7.00%/7.00%</w:t>
            </w:r>
          </w:p>
        </w:tc>
        <w:tc>
          <w:tcPr>
            <w:tcW w:w="6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7/8/2022</w:t>
            </w:r>
          </w:p>
        </w:tc>
        <w:tc>
          <w:tcPr>
            <w:tcW w:w="61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1/8/2028</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2,060</w:t>
            </w:r>
          </w:p>
        </w:tc>
        <w:tc>
          <w:tcPr>
            <w:tcW w:w="146" w:type="dxa"/>
            <w:tcBorders/>
            <w:shd w:fill="FFFFFF" w:val="clear"/>
            <w:vAlign w:val="center"/>
          </w:tcPr>
          <w:p>
            <w:pPr>
              <w:pStyle w:val="TableContents"/>
              <w:bidi w:val="0"/>
              <w:spacing w:before="0" w:after="283"/>
              <w:jc w:val="left"/>
              <w:rPr/>
            </w:pPr>
            <w:r>
              <w:rPr/>
              <w:t> </w:t>
            </w:r>
          </w:p>
        </w:tc>
        <w:tc>
          <w:tcPr>
            <w:tcW w:w="596"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41"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(1,000</w:t>
            </w:r>
            <w:r>
              <w:rPr>
                <w:rFonts w:ascii="Times New Roman" w:hAnsi="Times New Roman"/>
                <w:color w:val="000000"/>
                <w:sz w:val="20"/>
              </w:rPr>
              <w:t> </w:t>
            </w:r>
            <w:r>
              <w:rPr>
                <w:rFonts w:ascii="Times New Roman" w:hAnsi="Times New Roman"/>
                <w:b w:val="false"/>
                <w:color w:val="000000"/>
                <w:sz w:val="12"/>
              </w:rPr>
              <w:t>units) (h)(j)</w:t>
            </w:r>
          </w:p>
        </w:tc>
        <w:tc>
          <w:tcPr>
            <w:tcW w:w="1443"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7/8/2022</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1443"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10,722</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1"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AOM Intermediate Holdco, LLC (dba AllOver Media)</w:t>
            </w:r>
          </w:p>
        </w:tc>
        <w:tc>
          <w:tcPr>
            <w:tcW w:w="14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04"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6"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2"/>
        <w:gridCol w:w="1540"/>
        <w:gridCol w:w="1009"/>
        <w:gridCol w:w="692"/>
        <w:gridCol w:w="530"/>
        <w:gridCol w:w="530"/>
        <w:gridCol w:w="146"/>
        <w:gridCol w:w="436"/>
        <w:gridCol w:w="146"/>
        <w:gridCol w:w="146"/>
        <w:gridCol w:w="146"/>
        <w:gridCol w:w="436"/>
        <w:gridCol w:w="146"/>
        <w:gridCol w:w="146"/>
        <w:gridCol w:w="146"/>
        <w:gridCol w:w="436"/>
        <w:gridCol w:w="146"/>
        <w:gridCol w:w="146"/>
        <w:gridCol w:w="166"/>
        <w:gridCol w:w="354"/>
      </w:tblGrid>
      <w:tr>
        <w:trPr/>
        <w:tc>
          <w:tcPr>
            <w:tcW w:w="276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(aq)</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+ 6.50%) / (0.75%)</w:t>
            </w:r>
          </w:p>
        </w:tc>
        <w:tc>
          <w:tcPr>
            <w:tcW w:w="69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10.31%/0.00%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2/1/2022</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(750</w:t>
            </w:r>
            <w:r>
              <w:rPr>
                <w:rFonts w:ascii="Times New Roman" w:hAnsi="Times New Roman"/>
                <w:color w:val="000000"/>
                <w:sz w:val="20"/>
              </w:rPr>
              <w:t> </w:t>
            </w:r>
            <w:r>
              <w:rPr>
                <w:rFonts w:ascii="Times New Roman" w:hAnsi="Times New Roman"/>
                <w:b w:val="false"/>
                <w:color w:val="000000"/>
                <w:sz w:val="12"/>
              </w:rPr>
              <w:t>units) (h)(j)</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2/1/2022</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762" w:type="dxa"/>
            <w:tcBorders/>
            <w:shd w:fill="FFFFFF" w:val="clear"/>
            <w:vAlign w:val="center"/>
          </w:tcPr>
          <w:p>
            <w:pPr>
              <w:pStyle w:val="TableContents"/>
              <w:bidi w:val="0"/>
              <w:spacing w:before="0" w:after="283"/>
              <w:jc w:val="left"/>
              <w:rPr>
                <w:sz w:val="4"/>
                <w:szCs w:val="4"/>
              </w:rPr>
            </w:pPr>
            <w:r>
              <w:rPr>
                <w:sz w:val="4"/>
                <w:szCs w:val="4"/>
              </w:rPr>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APM Intermediate Holdings, LLC (dba Artistic Paver Manufacturing, Inc.)</w:t>
            </w:r>
          </w:p>
        </w:tc>
        <w:tc>
          <w:tcPr>
            <w:tcW w:w="154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Building Products Manufacturing</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(av)</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+ 7.00%) / (2.00%)</w:t>
            </w:r>
          </w:p>
        </w:tc>
        <w:tc>
          <w:tcPr>
            <w:tcW w:w="69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11.21%/0.00%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11/8/2022</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11/8/2027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14,890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(1,200</w:t>
            </w:r>
            <w:r>
              <w:rPr>
                <w:rFonts w:ascii="Times New Roman" w:hAnsi="Times New Roman"/>
                <w:color w:val="000000"/>
                <w:sz w:val="20"/>
              </w:rPr>
              <w:t> </w:t>
            </w:r>
            <w:r>
              <w:rPr>
                <w:rFonts w:ascii="Times New Roman" w:hAnsi="Times New Roman"/>
                <w:b w:val="false"/>
                <w:color w:val="000000"/>
                <w:sz w:val="12"/>
              </w:rPr>
              <w:t>units) (h)(j)</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11/8/2022</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762"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Applied Data Corporation</w:t>
            </w:r>
          </w:p>
        </w:tc>
        <w:tc>
          <w:tcPr>
            <w:tcW w:w="154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(k)(v)</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+ 6.25%) / (1.50%)</w:t>
            </w:r>
          </w:p>
        </w:tc>
        <w:tc>
          <w:tcPr>
            <w:tcW w:w="69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10.07%/0.00%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11/6/2020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11/6/2025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19,005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(24</w:t>
            </w:r>
            <w:r>
              <w:rPr>
                <w:rFonts w:ascii="Times New Roman" w:hAnsi="Times New Roman"/>
                <w:color w:val="000000"/>
                <w:sz w:val="20"/>
              </w:rPr>
              <w:t> </w:t>
            </w:r>
            <w:r>
              <w:rPr>
                <w:rFonts w:ascii="Times New Roman" w:hAnsi="Times New Roman"/>
                <w:b w:val="false"/>
                <w:color w:val="000000"/>
                <w:sz w:val="12"/>
              </w:rPr>
              <w:t>units)</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11/6/2020</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(1,184,711</w:t>
            </w:r>
            <w:r>
              <w:rPr>
                <w:rFonts w:ascii="Times New Roman" w:hAnsi="Times New Roman"/>
                <w:color w:val="000000"/>
                <w:sz w:val="20"/>
              </w:rPr>
              <w:t> </w:t>
            </w:r>
            <w:r>
              <w:rPr>
                <w:rFonts w:ascii="Times New Roman" w:hAnsi="Times New Roman"/>
                <w:b w:val="false"/>
                <w:color w:val="000000"/>
                <w:sz w:val="12"/>
              </w:rPr>
              <w:t>units)</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11/6/2020</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20,834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Auto CRM LLC (dba Dealer Holdings)</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(au)</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 + 5.50%) / (3.25%)</w:t>
            </w:r>
          </w:p>
        </w:tc>
        <w:tc>
          <w:tcPr>
            <w:tcW w:w="69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13.00%/0.85%</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10/1/2021</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7,581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Subordinated Debt</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0.00%/12.75%</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10/1/2021</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12/31/2026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587</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(500</w:t>
            </w:r>
            <w:r>
              <w:rPr>
                <w:rFonts w:ascii="Times New Roman" w:hAnsi="Times New Roman"/>
                <w:color w:val="000000"/>
                <w:sz w:val="20"/>
              </w:rPr>
              <w:t> </w:t>
            </w:r>
            <w:r>
              <w:rPr>
                <w:rFonts w:ascii="Times New Roman" w:hAnsi="Times New Roman"/>
                <w:b w:val="false"/>
                <w:color w:val="000000"/>
                <w:sz w:val="12"/>
              </w:rPr>
              <w:t>units) (j)</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10/1/2021</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762" w:type="dxa"/>
            <w:tcBorders/>
            <w:shd w:fill="FFFFFF" w:val="clear"/>
            <w:vAlign w:val="center"/>
          </w:tcPr>
          <w:p>
            <w:pPr>
              <w:pStyle w:val="TableContents"/>
              <w:bidi w:val="0"/>
              <w:spacing w:before="0" w:after="283"/>
              <w:jc w:val="left"/>
              <w:rPr>
                <w:sz w:val="4"/>
                <w:szCs w:val="4"/>
              </w:rPr>
            </w:pPr>
            <w:r>
              <w:rPr>
                <w:sz w:val="4"/>
                <w:szCs w:val="4"/>
              </w:rPr>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BCM One Group Holdings, Inc.</w:t>
            </w:r>
          </w:p>
        </w:tc>
        <w:tc>
          <w:tcPr>
            <w:tcW w:w="154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Subordinated Debt (j)</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10.25%/0.00%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11/17/2021</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11/17/2028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Bedford Precision Parts LLC</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Specialty Distribution</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(500,000</w:t>
            </w:r>
            <w:r>
              <w:rPr>
                <w:rFonts w:ascii="Times New Roman" w:hAnsi="Times New Roman"/>
                <w:color w:val="000000"/>
                <w:sz w:val="20"/>
              </w:rPr>
              <w:t> </w:t>
            </w:r>
            <w:r>
              <w:rPr>
                <w:rFonts w:ascii="Times New Roman" w:hAnsi="Times New Roman"/>
                <w:b w:val="false"/>
                <w:color w:val="000000"/>
                <w:sz w:val="12"/>
              </w:rPr>
              <w:t>units) (h)(j)</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3/12/2019</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sz w:val="4"/>
                <w:szCs w:val="4"/>
              </w:rPr>
            </w:pPr>
            <w:r>
              <w:rPr>
                <w:sz w:val="4"/>
                <w:szCs w:val="4"/>
              </w:rPr>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BP Thrift Buyer, LLC (dba myUnique and Ecothrift)</w:t>
            </w:r>
          </w:p>
        </w:tc>
        <w:tc>
          <w:tcPr>
            <w:tcW w:w="154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Retail</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(j)(al)</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+ 5.75%) / (1.50%)</w:t>
            </w:r>
          </w:p>
        </w:tc>
        <w:tc>
          <w:tcPr>
            <w:tcW w:w="69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9.31%/0.00%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9/13/2022</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9/13/2027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19,564</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(1,000</w:t>
            </w:r>
            <w:r>
              <w:rPr>
                <w:rFonts w:ascii="Times New Roman" w:hAnsi="Times New Roman"/>
                <w:color w:val="000000"/>
                <w:sz w:val="20"/>
              </w:rPr>
              <w:t> </w:t>
            </w:r>
            <w:r>
              <w:rPr>
                <w:rFonts w:ascii="Times New Roman" w:hAnsi="Times New Roman"/>
                <w:b w:val="false"/>
                <w:color w:val="000000"/>
                <w:sz w:val="12"/>
              </w:rPr>
              <w:t>units) (j)</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9/13/2022</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762" w:type="dxa"/>
            <w:tcBorders/>
            <w:shd w:fill="FFFFFF" w:val="clear"/>
            <w:vAlign w:val="center"/>
          </w:tcPr>
          <w:p>
            <w:pPr>
              <w:pStyle w:val="TableContents"/>
              <w:bidi w:val="0"/>
              <w:spacing w:before="0" w:after="283"/>
              <w:jc w:val="left"/>
              <w:rPr>
                <w:sz w:val="4"/>
                <w:szCs w:val="4"/>
              </w:rPr>
            </w:pPr>
            <w:r>
              <w:rPr>
                <w:sz w:val="4"/>
                <w:szCs w:val="4"/>
              </w:rPr>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Cardback Intermediate, LLC (dba Chargeback Gurus)</w:t>
            </w:r>
          </w:p>
        </w:tc>
        <w:tc>
          <w:tcPr>
            <w:tcW w:w="154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(j)(ah)</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+ 6.50%) / (0.75%)</w:t>
            </w:r>
          </w:p>
        </w:tc>
        <w:tc>
          <w:tcPr>
            <w:tcW w:w="69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10.24%/0.00%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8/10/2021</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8/10/2026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12,541</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(495</w:t>
            </w:r>
            <w:r>
              <w:rPr>
                <w:rFonts w:ascii="Times New Roman" w:hAnsi="Times New Roman"/>
                <w:color w:val="000000"/>
                <w:sz w:val="20"/>
              </w:rPr>
              <w:t> </w:t>
            </w:r>
            <w:r>
              <w:rPr>
                <w:rFonts w:ascii="Times New Roman" w:hAnsi="Times New Roman"/>
                <w:b w:val="false"/>
                <w:color w:val="000000"/>
                <w:sz w:val="12"/>
              </w:rPr>
              <w:t>shares) (j)</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8/10/2021</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(495</w:t>
            </w:r>
            <w:r>
              <w:rPr>
                <w:rFonts w:ascii="Times New Roman" w:hAnsi="Times New Roman"/>
                <w:color w:val="000000"/>
                <w:sz w:val="20"/>
              </w:rPr>
              <w:t> </w:t>
            </w:r>
            <w:r>
              <w:rPr>
                <w:rFonts w:ascii="Times New Roman" w:hAnsi="Times New Roman"/>
                <w:b w:val="false"/>
                <w:color w:val="000000"/>
                <w:sz w:val="12"/>
              </w:rPr>
              <w:t>shares) (j)</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8/10/2021</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Cardboard Box LLC (dba Anthony's Coal Fired Pizza) (ad)</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Restaurants</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Common Equity (14,201 units) (j)(ao)</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11/3/2022</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Preferred Equity (9,787 units) (j)(ao)</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11/3/2022</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Choice Technology Solutions, LLC (dba Choice Merchant Solutions, LLC)</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+ 7.25%) / (1.00%)</w:t>
            </w:r>
          </w:p>
        </w:tc>
        <w:tc>
          <w:tcPr>
            <w:tcW w:w="69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11.06%/0.00%</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4/1/2022</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8,500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Revolving Loan ($1,000</w:t>
            </w:r>
            <w:r>
              <w:rPr>
                <w:rFonts w:ascii="Times New Roman" w:hAnsi="Times New Roman"/>
                <w:color w:val="000000"/>
                <w:sz w:val="20"/>
              </w:rPr>
              <w:t> </w:t>
            </w:r>
            <w:r>
              <w:rPr>
                <w:rFonts w:ascii="Times New Roman" w:hAnsi="Times New Roman"/>
                <w:b w:val="false"/>
                <w:color w:val="000000"/>
                <w:sz w:val="12"/>
              </w:rPr>
              <w:t>unfunded commitment) (i)(j)</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+ 6.25%) / (1.00%)</w:t>
            </w:r>
          </w:p>
        </w:tc>
        <w:tc>
          <w:tcPr>
            <w:tcW w:w="69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10.06%/0.00%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4/1/2022</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CIH Intermediate, LLC</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Subordinated Debt (k)</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10.00%/1.00%</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3/3/2022</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3/3/2028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13,751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13,751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(563</w:t>
            </w:r>
            <w:r>
              <w:rPr>
                <w:rFonts w:ascii="Times New Roman" w:hAnsi="Times New Roman"/>
                <w:color w:val="000000"/>
                <w:sz w:val="20"/>
              </w:rPr>
              <w:t> </w:t>
            </w:r>
            <w:r>
              <w:rPr>
                <w:rFonts w:ascii="Times New Roman" w:hAnsi="Times New Roman"/>
                <w:b w:val="false"/>
                <w:color w:val="000000"/>
                <w:sz w:val="12"/>
              </w:rPr>
              <w:t>shares) (j)</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3/3/2022</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(563</w:t>
            </w:r>
            <w:r>
              <w:rPr>
                <w:rFonts w:ascii="Times New Roman" w:hAnsi="Times New Roman"/>
                <w:color w:val="000000"/>
                <w:sz w:val="20"/>
              </w:rPr>
              <w:t> </w:t>
            </w:r>
            <w:r>
              <w:rPr>
                <w:rFonts w:ascii="Times New Roman" w:hAnsi="Times New Roman"/>
                <w:b w:val="false"/>
                <w:color w:val="000000"/>
                <w:sz w:val="12"/>
              </w:rPr>
              <w:t>shares) (j)</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3/3/2022</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762" w:type="dxa"/>
            <w:tcBorders/>
            <w:shd w:fill="FFFFFF" w:val="clear"/>
            <w:vAlign w:val="center"/>
          </w:tcPr>
          <w:p>
            <w:pPr>
              <w:pStyle w:val="TableContents"/>
              <w:bidi w:val="0"/>
              <w:spacing w:before="0" w:after="283"/>
              <w:jc w:val="left"/>
              <w:rPr>
                <w:sz w:val="4"/>
                <w:szCs w:val="4"/>
              </w:rPr>
            </w:pPr>
            <w:r>
              <w:rPr>
                <w:sz w:val="4"/>
                <w:szCs w:val="4"/>
              </w:rPr>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14,434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Combined Systems, Inc.</w:t>
            </w:r>
          </w:p>
        </w:tc>
        <w:tc>
          <w:tcPr>
            <w:tcW w:w="154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Aerospace &amp; Defense Manufacturing</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+ 11.00%) / (2.00%)</w:t>
            </w:r>
          </w:p>
        </w:tc>
        <w:tc>
          <w:tcPr>
            <w:tcW w:w="69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17.74%/0.00%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1/31/2020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1/31/2025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4,890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+ 11.00%) / (2.00%)</w:t>
            </w:r>
          </w:p>
        </w:tc>
        <w:tc>
          <w:tcPr>
            <w:tcW w:w="69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18.75%/0.00%</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12/22/2022</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2/15/2023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Revolving Loan ($162</w:t>
            </w:r>
            <w:r>
              <w:rPr>
                <w:rFonts w:ascii="Times New Roman" w:hAnsi="Times New Roman"/>
                <w:color w:val="000000"/>
                <w:sz w:val="20"/>
              </w:rPr>
              <w:t> </w:t>
            </w:r>
            <w:r>
              <w:rPr>
                <w:rFonts w:ascii="Times New Roman" w:hAnsi="Times New Roman"/>
                <w:b w:val="false"/>
                <w:color w:val="000000"/>
                <w:sz w:val="12"/>
              </w:rPr>
              <w:t>unfunded commitment) (j)(ac)</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+ 10.00%) / (2.00%)</w:t>
            </w:r>
          </w:p>
        </w:tc>
        <w:tc>
          <w:tcPr>
            <w:tcW w:w="69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16.74%/0.00%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1/31/2020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1/31/2025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Comply365, LLC</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Aerospace &amp; Defense Manufacturing</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(1,000,000</w:t>
            </w:r>
            <w:r>
              <w:rPr>
                <w:rFonts w:ascii="Times New Roman" w:hAnsi="Times New Roman"/>
                <w:color w:val="000000"/>
                <w:sz w:val="20"/>
              </w:rPr>
              <w:t> </w:t>
            </w:r>
            <w:r>
              <w:rPr>
                <w:rFonts w:ascii="Times New Roman" w:hAnsi="Times New Roman"/>
                <w:b w:val="false"/>
                <w:color w:val="000000"/>
                <w:sz w:val="12"/>
              </w:rPr>
              <w:t>units)</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12/11/2020</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sz w:val="4"/>
                <w:szCs w:val="4"/>
              </w:rPr>
            </w:pPr>
            <w:r>
              <w:rPr>
                <w:sz w:val="4"/>
                <w:szCs w:val="4"/>
              </w:rPr>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CRS Solutions Holdings, LLC (dba CRS Texas)</w:t>
            </w:r>
          </w:p>
        </w:tc>
        <w:tc>
          <w:tcPr>
            <w:tcW w:w="154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(Class A Units) (574,929</w:t>
            </w:r>
            <w:r>
              <w:rPr>
                <w:rFonts w:ascii="Times New Roman" w:hAnsi="Times New Roman"/>
                <w:color w:val="000000"/>
                <w:sz w:val="20"/>
              </w:rPr>
              <w:t> </w:t>
            </w:r>
            <w:r>
              <w:rPr>
                <w:rFonts w:ascii="Times New Roman" w:hAnsi="Times New Roman"/>
                <w:b w:val="false"/>
                <w:color w:val="000000"/>
                <w:sz w:val="12"/>
              </w:rPr>
              <w:t>units) (h)(j)</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6/28/2022</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Dataguise, Inc.</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Subordinated Debt (j)</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11.00%/3.00%</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12/30/2022</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11/23/2027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20,763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20,714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(909</w:t>
            </w:r>
            <w:r>
              <w:rPr>
                <w:rFonts w:ascii="Times New Roman" w:hAnsi="Times New Roman"/>
                <w:color w:val="000000"/>
                <w:sz w:val="20"/>
              </w:rPr>
              <w:t> </w:t>
            </w:r>
            <w:r>
              <w:rPr>
                <w:rFonts w:ascii="Times New Roman" w:hAnsi="Times New Roman"/>
                <w:b w:val="false"/>
                <w:color w:val="000000"/>
                <w:sz w:val="12"/>
              </w:rPr>
              <w:t>shares) (j)</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12/31/2020</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Diversified Search LLC</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(k)(r)</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+ 6.50%) / (1.00%)</w:t>
            </w:r>
          </w:p>
        </w:tc>
        <w:tc>
          <w:tcPr>
            <w:tcW w:w="69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10.32%/0.00%</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2/7/2019</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2/7/2024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24,155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(573</w:t>
            </w:r>
            <w:r>
              <w:rPr>
                <w:rFonts w:ascii="Times New Roman" w:hAnsi="Times New Roman"/>
                <w:color w:val="000000"/>
                <w:sz w:val="20"/>
              </w:rPr>
              <w:t> </w:t>
            </w:r>
            <w:r>
              <w:rPr>
                <w:rFonts w:ascii="Times New Roman" w:hAnsi="Times New Roman"/>
                <w:b w:val="false"/>
                <w:color w:val="000000"/>
                <w:sz w:val="12"/>
              </w:rPr>
              <w:t>units) (h)(j)</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2/7/2019</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24,593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ECM Industries, LLC</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Component Manufacturing</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(1,000,000</w:t>
            </w:r>
            <w:r>
              <w:rPr>
                <w:rFonts w:ascii="Times New Roman" w:hAnsi="Times New Roman"/>
                <w:color w:val="000000"/>
                <w:sz w:val="20"/>
              </w:rPr>
              <w:t> </w:t>
            </w:r>
            <w:r>
              <w:rPr>
                <w:rFonts w:ascii="Times New Roman" w:hAnsi="Times New Roman"/>
                <w:b w:val="false"/>
                <w:color w:val="000000"/>
                <w:sz w:val="12"/>
              </w:rPr>
              <w:t>units) (h)(j)</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4/30/2020</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sz w:val="4"/>
                <w:szCs w:val="4"/>
              </w:rPr>
            </w:pPr>
            <w:r>
              <w:rPr>
                <w:sz w:val="4"/>
                <w:szCs w:val="4"/>
              </w:rPr>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Education Incites, LLC (dba Acceleration Academies)</w:t>
            </w:r>
          </w:p>
        </w:tc>
        <w:tc>
          <w:tcPr>
            <w:tcW w:w="154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12.75%/0.00%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10/31/2022</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10/29/2027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Elements Brands, LLC</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Products</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12.25%/0.00%</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12/31/2020</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6/30/2024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Revolving Loan (j)</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12.25%/0.00%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12/31/2020</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6/30/2024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Fishbowl Solutions, LLC</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(ar)</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+ 7.75%) / (1.00%)</w:t>
            </w:r>
          </w:p>
        </w:tc>
        <w:tc>
          <w:tcPr>
            <w:tcW w:w="69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12.57%/0.00%</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3/25/2022</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3/25/2027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14,428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sz w:val="4"/>
                <w:szCs w:val="4"/>
              </w:rPr>
            </w:pPr>
            <w:r>
              <w:rPr>
                <w:sz w:val="4"/>
                <w:szCs w:val="4"/>
              </w:rPr>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Global Plasma Solutions, Inc.</w:t>
            </w:r>
          </w:p>
        </w:tc>
        <w:tc>
          <w:tcPr>
            <w:tcW w:w="154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Component Manufacturing</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(947</w:t>
            </w:r>
            <w:r>
              <w:rPr>
                <w:rFonts w:ascii="Times New Roman" w:hAnsi="Times New Roman"/>
                <w:color w:val="000000"/>
                <w:sz w:val="20"/>
              </w:rPr>
              <w:t> </w:t>
            </w:r>
            <w:r>
              <w:rPr>
                <w:rFonts w:ascii="Times New Roman" w:hAnsi="Times New Roman"/>
                <w:b w:val="false"/>
                <w:color w:val="000000"/>
                <w:sz w:val="12"/>
              </w:rPr>
              <w:t>shares) (j)</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9/21/2018</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GP&amp;C Operations, LLC (dba Garlock Printing and Converting)</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Component Manufacturing</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(w)</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+ 8.25%) / (1.00%)</w:t>
            </w:r>
          </w:p>
        </w:tc>
        <w:tc>
          <w:tcPr>
            <w:tcW w:w="69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13.01%/0.00%</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1/22/2021</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11,000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76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(515,625</w:t>
            </w:r>
            <w:r>
              <w:rPr>
                <w:rFonts w:ascii="Times New Roman" w:hAnsi="Times New Roman"/>
                <w:color w:val="000000"/>
                <w:sz w:val="20"/>
              </w:rPr>
              <w:t> </w:t>
            </w:r>
            <w:r>
              <w:rPr>
                <w:rFonts w:ascii="Times New Roman" w:hAnsi="Times New Roman"/>
                <w:b w:val="false"/>
                <w:color w:val="000000"/>
                <w:sz w:val="12"/>
              </w:rPr>
              <w:t>units) (h)(j)</w:t>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1/22/2021</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762" w:type="dxa"/>
            <w:tcBorders/>
            <w:shd w:fill="CFF0FC" w:val="clear"/>
            <w:vAlign w:val="center"/>
          </w:tcPr>
          <w:p>
            <w:pPr>
              <w:pStyle w:val="TableContents"/>
              <w:bidi w:val="0"/>
              <w:spacing w:before="0" w:after="283"/>
              <w:jc w:val="left"/>
              <w:rPr>
                <w:sz w:val="4"/>
                <w:szCs w:val="4"/>
              </w:rPr>
            </w:pPr>
            <w:r>
              <w:rPr>
                <w:sz w:val="4"/>
                <w:szCs w:val="4"/>
              </w:rPr>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Green Cubes Technology, LLC (dba Green Cubes)</w:t>
            </w:r>
          </w:p>
        </w:tc>
        <w:tc>
          <w:tcPr>
            <w:tcW w:w="154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762"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w:t>
            </w:r>
          </w:p>
        </w:tc>
        <w:tc>
          <w:tcPr>
            <w:tcW w:w="1540"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+ 13.00%) / (0.00%)</w:t>
            </w:r>
          </w:p>
        </w:tc>
        <w:tc>
          <w:tcPr>
            <w:tcW w:w="69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17.77%/0.00%</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12/17/2021</w:t>
            </w:r>
          </w:p>
        </w:tc>
        <w:tc>
          <w:tcPr>
            <w:tcW w:w="5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12/17/2024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762" w:type="dxa"/>
            <w:tcBorders/>
            <w:shd w:fill="FFFFFF" w:val="clear"/>
            <w:vAlign w:val="center"/>
          </w:tcPr>
          <w:p>
            <w:pPr>
              <w:pStyle w:val="TableContents"/>
              <w:bidi w:val="0"/>
              <w:spacing w:before="0" w:after="283"/>
              <w:jc w:val="left"/>
              <w:rPr>
                <w:sz w:val="4"/>
                <w:szCs w:val="4"/>
              </w:rPr>
            </w:pPr>
            <w:r>
              <w:rPr>
                <w:sz w:val="4"/>
                <w:szCs w:val="4"/>
              </w:rPr>
            </w:r>
          </w:p>
        </w:tc>
        <w:tc>
          <w:tcPr>
            <w:tcW w:w="154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55"/>
        <w:gridCol w:w="1359"/>
        <w:gridCol w:w="977"/>
        <w:gridCol w:w="676"/>
        <w:gridCol w:w="516"/>
        <w:gridCol w:w="516"/>
        <w:gridCol w:w="146"/>
        <w:gridCol w:w="436"/>
        <w:gridCol w:w="146"/>
        <w:gridCol w:w="146"/>
        <w:gridCol w:w="146"/>
        <w:gridCol w:w="436"/>
        <w:gridCol w:w="146"/>
        <w:gridCol w:w="146"/>
        <w:gridCol w:w="146"/>
        <w:gridCol w:w="436"/>
        <w:gridCol w:w="146"/>
        <w:gridCol w:w="146"/>
        <w:gridCol w:w="166"/>
        <w:gridCol w:w="418"/>
      </w:tblGrid>
      <w:tr>
        <w:trPr/>
        <w:tc>
          <w:tcPr>
            <w:tcW w:w="29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955"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Gurobi Optimization, LLC</w:t>
            </w:r>
          </w:p>
        </w:tc>
        <w:tc>
          <w:tcPr>
            <w:tcW w:w="135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(3</w:t>
            </w:r>
            <w:r>
              <w:rPr>
                <w:rFonts w:ascii="Times New Roman" w:hAnsi="Times New Roman"/>
                <w:color w:val="000000"/>
                <w:sz w:val="20"/>
              </w:rPr>
              <w:t> </w:t>
            </w:r>
            <w:r>
              <w:rPr>
                <w:rFonts w:ascii="Times New Roman" w:hAnsi="Times New Roman"/>
                <w:b w:val="false"/>
                <w:color w:val="000000"/>
                <w:sz w:val="12"/>
              </w:rPr>
              <w:t>shares)</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12/19/2017</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4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Haematologic Technologies, Inc.</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 Services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(x)</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+ 8.25%) / (2.00%)</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12.98%/0.00%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10/11/2019</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10/11/2024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5,378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(630</w:t>
            </w:r>
            <w:r>
              <w:rPr>
                <w:rFonts w:ascii="Times New Roman" w:hAnsi="Times New Roman"/>
                <w:color w:val="000000"/>
                <w:sz w:val="20"/>
              </w:rPr>
              <w:t> </w:t>
            </w:r>
            <w:r>
              <w:rPr>
                <w:rFonts w:ascii="Times New Roman" w:hAnsi="Times New Roman"/>
                <w:b w:val="false"/>
                <w:color w:val="000000"/>
                <w:sz w:val="12"/>
              </w:rPr>
              <w:t>units) (h)(j)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10/11/2019</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Hallmark Health Care Solutions, Inc.</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 Services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(j)(ae)</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+ 7.25%) / (1.50%)</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10.99%/0.00%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12/4/2020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12/4/2025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8,361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(750,000</w:t>
            </w:r>
            <w:r>
              <w:rPr>
                <w:rFonts w:ascii="Times New Roman" w:hAnsi="Times New Roman"/>
                <w:color w:val="000000"/>
                <w:sz w:val="20"/>
              </w:rPr>
              <w:t> </w:t>
            </w:r>
            <w:r>
              <w:rPr>
                <w:rFonts w:ascii="Times New Roman" w:hAnsi="Times New Roman"/>
                <w:b w:val="false"/>
                <w:color w:val="000000"/>
                <w:sz w:val="12"/>
              </w:rPr>
              <w:t>units) (j)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12/4/2020</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Healthfuse, LLC</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 Services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(197,980</w:t>
            </w:r>
            <w:r>
              <w:rPr>
                <w:rFonts w:ascii="Times New Roman" w:hAnsi="Times New Roman"/>
                <w:color w:val="000000"/>
                <w:sz w:val="20"/>
              </w:rPr>
              <w:t> </w:t>
            </w:r>
            <w:r>
              <w:rPr>
                <w:rFonts w:ascii="Times New Roman" w:hAnsi="Times New Roman"/>
                <w:b w:val="false"/>
                <w:color w:val="000000"/>
                <w:sz w:val="12"/>
              </w:rPr>
              <w:t>units)</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11/13/2020</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Hub Acquisition Sub, LLC (dba Hub Pen)</w:t>
            </w:r>
          </w:p>
        </w:tc>
        <w:tc>
          <w:tcPr>
            <w:tcW w:w="135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Promotional products</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(k)</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12.50%/1.00%</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3/23/2016</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12/15/2023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25,006</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(3,750</w:t>
            </w:r>
            <w:r>
              <w:rPr>
                <w:rFonts w:ascii="Times New Roman" w:hAnsi="Times New Roman"/>
                <w:color w:val="000000"/>
                <w:sz w:val="20"/>
              </w:rPr>
              <w:t> </w:t>
            </w:r>
            <w:r>
              <w:rPr>
                <w:rFonts w:ascii="Times New Roman" w:hAnsi="Times New Roman"/>
                <w:b w:val="false"/>
                <w:color w:val="000000"/>
                <w:sz w:val="12"/>
              </w:rPr>
              <w:t>units)</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3/23/2016</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(868</w:t>
            </w:r>
            <w:r>
              <w:rPr>
                <w:rFonts w:ascii="Times New Roman" w:hAnsi="Times New Roman"/>
                <w:color w:val="000000"/>
                <w:sz w:val="20"/>
              </w:rPr>
              <w:t> </w:t>
            </w:r>
            <w:r>
              <w:rPr>
                <w:rFonts w:ascii="Times New Roman" w:hAnsi="Times New Roman"/>
                <w:b w:val="false"/>
                <w:color w:val="000000"/>
                <w:sz w:val="12"/>
              </w:rPr>
              <w:t>units) (j)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10/16/2020</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25,220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25,932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IBH Holdings, LLC (fka Inflexxion, Inc.)</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(150,000</w:t>
            </w:r>
            <w:r>
              <w:rPr>
                <w:rFonts w:ascii="Times New Roman" w:hAnsi="Times New Roman"/>
                <w:color w:val="000000"/>
                <w:sz w:val="20"/>
              </w:rPr>
              <w:t> </w:t>
            </w:r>
            <w:r>
              <w:rPr>
                <w:rFonts w:ascii="Times New Roman" w:hAnsi="Times New Roman"/>
                <w:b w:val="false"/>
                <w:color w:val="000000"/>
                <w:sz w:val="12"/>
              </w:rPr>
              <w:t>units)</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6/20/2018</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Ipro Tech, LLC</w:t>
            </w:r>
          </w:p>
        </w:tc>
        <w:tc>
          <w:tcPr>
            <w:tcW w:w="135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(j)(u)</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+ 7.00%) / (1.00%)</w:t>
            </w:r>
          </w:p>
        </w:tc>
        <w:tc>
          <w:tcPr>
            <w:tcW w:w="6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11.69%/1.00%</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6/30/2020</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7/28/2025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19,773</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(682,075</w:t>
            </w:r>
            <w:r>
              <w:rPr>
                <w:rFonts w:ascii="Times New Roman" w:hAnsi="Times New Roman"/>
                <w:color w:val="000000"/>
                <w:sz w:val="20"/>
              </w:rPr>
              <w:t> </w:t>
            </w:r>
            <w:r>
              <w:rPr>
                <w:rFonts w:ascii="Times New Roman" w:hAnsi="Times New Roman"/>
                <w:b w:val="false"/>
                <w:color w:val="000000"/>
                <w:sz w:val="12"/>
              </w:rPr>
              <w:t>units) (j)</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7/28/2021</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955"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19,765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20,796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4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ISI PSG Holdings, LLC (dba Incentive Solutions, Inc.)</w:t>
            </w:r>
          </w:p>
        </w:tc>
        <w:tc>
          <w:tcPr>
            <w:tcW w:w="135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(j)(aj)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+ 7.50%) / (0.50%)</w:t>
            </w:r>
          </w:p>
        </w:tc>
        <w:tc>
          <w:tcPr>
            <w:tcW w:w="6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11.17%/0.00%</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4/5/2021</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4/5/2026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12,175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(j)(an)</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+ 7.50%) / (0.50%)</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11.17%/0.00%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6/30/2021</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4/5/2026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12,994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(256,964</w:t>
            </w:r>
            <w:r>
              <w:rPr>
                <w:rFonts w:ascii="Times New Roman" w:hAnsi="Times New Roman"/>
                <w:color w:val="000000"/>
                <w:sz w:val="20"/>
              </w:rPr>
              <w:t> </w:t>
            </w:r>
            <w:r>
              <w:rPr>
                <w:rFonts w:ascii="Times New Roman" w:hAnsi="Times New Roman"/>
                <w:b w:val="false"/>
                <w:color w:val="000000"/>
                <w:sz w:val="12"/>
              </w:rPr>
              <w:t>units) (h)(j)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4/5/2021</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25,835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K2 Merger Agreement Agent, LLC (fka K2 Industrial Services, Inc.) (n)</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 Cleaning &amp; Coatings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(j) (y)</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0.00%/10.00%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1/28/2019</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1/28/2025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The Kyjen Company, LLC (dba Outward Hound)</w:t>
            </w:r>
          </w:p>
        </w:tc>
        <w:tc>
          <w:tcPr>
            <w:tcW w:w="135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Products</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(855</w:t>
            </w:r>
            <w:r>
              <w:rPr>
                <w:rFonts w:ascii="Times New Roman" w:hAnsi="Times New Roman"/>
                <w:color w:val="000000"/>
                <w:sz w:val="20"/>
              </w:rPr>
              <w:t> </w:t>
            </w:r>
            <w:r>
              <w:rPr>
                <w:rFonts w:ascii="Times New Roman" w:hAnsi="Times New Roman"/>
                <w:b w:val="false"/>
                <w:color w:val="000000"/>
                <w:sz w:val="12"/>
              </w:rPr>
              <w:t>shares) (j)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12/8/2017</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4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Level Education Group, LLC (dba CE4Less)</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(ak)</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+ 6.75%) / (0.50%)</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10.49%/0.00%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4/1/2021</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5,165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(1,000,000</w:t>
            </w:r>
            <w:r>
              <w:rPr>
                <w:rFonts w:ascii="Times New Roman" w:hAnsi="Times New Roman"/>
                <w:color w:val="000000"/>
                <w:sz w:val="20"/>
              </w:rPr>
              <w:t> </w:t>
            </w:r>
            <w:r>
              <w:rPr>
                <w:rFonts w:ascii="Times New Roman" w:hAnsi="Times New Roman"/>
                <w:b w:val="false"/>
                <w:color w:val="000000"/>
                <w:sz w:val="12"/>
              </w:rPr>
              <w:t>units) (j)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4/1/2021</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6,428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LifeSpan Biosciences, Inc.</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 Products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Subordinated Debt (j)</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11.50%/0.00%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3/19/2021</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9/19/2026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15,418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(100</w:t>
            </w:r>
            <w:r>
              <w:rPr>
                <w:rFonts w:ascii="Times New Roman" w:hAnsi="Times New Roman"/>
                <w:color w:val="000000"/>
                <w:sz w:val="20"/>
              </w:rPr>
              <w:t> </w:t>
            </w:r>
            <w:r>
              <w:rPr>
                <w:rFonts w:ascii="Times New Roman" w:hAnsi="Times New Roman"/>
                <w:b w:val="false"/>
                <w:color w:val="000000"/>
                <w:sz w:val="12"/>
              </w:rPr>
              <w:t>shares) (j)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3/19/2021</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Magenta Buyer LLC (dba Trellix)</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(j)</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+ 8.25%) / (0.75%)</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12.98%/0.00%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7/19/2022</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7/27/2029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MBS Opco, LLC (dba Marketron)</w:t>
            </w:r>
          </w:p>
        </w:tc>
        <w:tc>
          <w:tcPr>
            <w:tcW w:w="135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+ 8.50%) / (1.50%)</w:t>
            </w:r>
          </w:p>
        </w:tc>
        <w:tc>
          <w:tcPr>
            <w:tcW w:w="6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13.34%/0.00%</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9/29/2022</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9/28/2026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w:t>
            </w:r>
          </w:p>
        </w:tc>
        <w:tc>
          <w:tcPr>
            <w:tcW w:w="4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Micronics Filtration Holdings, Inc. (dba Micronics Engineered Filtration Group, Inc.)</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Component Manufacturing</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(k) (as)</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+ 5.50%) / (0.50%)</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9.32%/0.00%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2/17/2022</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2/17/2027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11,223</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(14,400</w:t>
            </w:r>
            <w:r>
              <w:rPr>
                <w:rFonts w:ascii="Times New Roman" w:hAnsi="Times New Roman"/>
                <w:color w:val="000000"/>
                <w:sz w:val="20"/>
              </w:rPr>
              <w:t> </w:t>
            </w:r>
            <w:r>
              <w:rPr>
                <w:rFonts w:ascii="Times New Roman" w:hAnsi="Times New Roman"/>
                <w:b w:val="false"/>
                <w:color w:val="000000"/>
                <w:sz w:val="12"/>
              </w:rPr>
              <w:t>units) (j)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2/17/2022</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Mobilewalla, Inc.</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+ 11.50%) / (0.50%)</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16.26%/0.00%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12/17/2021</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12/17/2024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Netbase Solutions, Inc. (dba Netbase Quid)</w:t>
            </w:r>
          </w:p>
        </w:tc>
        <w:tc>
          <w:tcPr>
            <w:tcW w:w="135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First Lien Debt ($3,300</w:t>
            </w:r>
            <w:r>
              <w:rPr>
                <w:rFonts w:ascii="Times New Roman" w:hAnsi="Times New Roman"/>
                <w:color w:val="000000"/>
                <w:sz w:val="20"/>
              </w:rPr>
              <w:t> </w:t>
            </w:r>
            <w:r>
              <w:rPr>
                <w:rFonts w:ascii="Times New Roman" w:hAnsi="Times New Roman"/>
                <w:b w:val="false"/>
                <w:color w:val="000000"/>
                <w:sz w:val="12"/>
              </w:rPr>
              <w:t>unfunded commitment) (i)(k)(ap)</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 + 4.00%) / (3.25%)</w:t>
            </w:r>
          </w:p>
        </w:tc>
        <w:tc>
          <w:tcPr>
            <w:tcW w:w="6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11.50%/0.00%</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11/18/2021</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11/18/2025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16,618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16,852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4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NGT Acquisition Holdings, LLC (dba Techniks Industries)</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Component Manufacturing</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(378</w:t>
            </w:r>
            <w:r>
              <w:rPr>
                <w:rFonts w:ascii="Times New Roman" w:hAnsi="Times New Roman"/>
                <w:color w:val="000000"/>
                <w:sz w:val="20"/>
              </w:rPr>
              <w:t> </w:t>
            </w:r>
            <w:r>
              <w:rPr>
                <w:rFonts w:ascii="Times New Roman" w:hAnsi="Times New Roman"/>
                <w:b w:val="false"/>
                <w:color w:val="000000"/>
                <w:sz w:val="12"/>
              </w:rPr>
              <w:t>units) (j)</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5/24/2017</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OnePath Systems, LLC</w:t>
            </w:r>
          </w:p>
        </w:tc>
        <w:tc>
          <w:tcPr>
            <w:tcW w:w="135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(s)</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+ 7.50%) / (1.00%)</w:t>
            </w:r>
          </w:p>
        </w:tc>
        <w:tc>
          <w:tcPr>
            <w:tcW w:w="6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12.08%/0.00%</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9/30/2022</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9/30/2027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10,922</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(732,542</w:t>
            </w:r>
            <w:r>
              <w:rPr>
                <w:rFonts w:ascii="Times New Roman" w:hAnsi="Times New Roman"/>
                <w:color w:val="000000"/>
                <w:sz w:val="20"/>
              </w:rPr>
              <w:t> </w:t>
            </w:r>
            <w:r>
              <w:rPr>
                <w:rFonts w:ascii="Times New Roman" w:hAnsi="Times New Roman"/>
                <w:b w:val="false"/>
                <w:color w:val="000000"/>
                <w:sz w:val="12"/>
              </w:rPr>
              <w:t>shares) (j)</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9/30/2022</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955"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4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Palmetto Moon, LLC</w:t>
            </w:r>
          </w:p>
        </w:tc>
        <w:tc>
          <w:tcPr>
            <w:tcW w:w="135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Retail</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(499</w:t>
            </w:r>
            <w:r>
              <w:rPr>
                <w:rFonts w:ascii="Times New Roman" w:hAnsi="Times New Roman"/>
                <w:color w:val="000000"/>
                <w:sz w:val="20"/>
              </w:rPr>
              <w:t> </w:t>
            </w:r>
            <w:r>
              <w:rPr>
                <w:rFonts w:ascii="Times New Roman" w:hAnsi="Times New Roman"/>
                <w:b w:val="false"/>
                <w:color w:val="000000"/>
                <w:sz w:val="12"/>
              </w:rPr>
              <w:t>units) (j)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11/3/2016</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4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Pinnergy, Ltd.</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Oil &amp; Gas Services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Subordinated Debt (j)</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9.00%/0.00%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6/30/2022</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6/30/2027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Pool &amp; Electrical Products, LLC</w:t>
            </w:r>
          </w:p>
        </w:tc>
        <w:tc>
          <w:tcPr>
            <w:tcW w:w="135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Specialty Distribution</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(15,000</w:t>
            </w:r>
            <w:r>
              <w:rPr>
                <w:rFonts w:ascii="Times New Roman" w:hAnsi="Times New Roman"/>
                <w:color w:val="000000"/>
                <w:sz w:val="20"/>
              </w:rPr>
              <w:t> </w:t>
            </w:r>
            <w:r>
              <w:rPr>
                <w:rFonts w:ascii="Times New Roman" w:hAnsi="Times New Roman"/>
                <w:b w:val="false"/>
                <w:color w:val="000000"/>
                <w:sz w:val="12"/>
              </w:rPr>
              <w:t>units) (h)(j)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10/28/2020</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4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Power Grid Components, Inc.</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Specialty Distribution</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(k)</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11.00%/0.50%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4/12/2018</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17,689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17,734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(392</w:t>
            </w:r>
            <w:r>
              <w:rPr>
                <w:rFonts w:ascii="Times New Roman" w:hAnsi="Times New Roman"/>
                <w:color w:val="000000"/>
                <w:sz w:val="20"/>
              </w:rPr>
              <w:t> </w:t>
            </w:r>
            <w:r>
              <w:rPr>
                <w:rFonts w:ascii="Times New Roman" w:hAnsi="Times New Roman"/>
                <w:b w:val="false"/>
                <w:color w:val="000000"/>
                <w:sz w:val="12"/>
              </w:rPr>
              <w:t>shares) (j)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4/12/2018</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624</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(48</w:t>
            </w:r>
            <w:r>
              <w:rPr>
                <w:rFonts w:ascii="Times New Roman" w:hAnsi="Times New Roman"/>
                <w:color w:val="000000"/>
                <w:sz w:val="20"/>
              </w:rPr>
              <w:t> </w:t>
            </w:r>
            <w:r>
              <w:rPr>
                <w:rFonts w:ascii="Times New Roman" w:hAnsi="Times New Roman"/>
                <w:b w:val="false"/>
                <w:color w:val="000000"/>
                <w:sz w:val="12"/>
              </w:rPr>
              <w:t>shares) (j)</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12/2/2019</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(10,622</w:t>
            </w:r>
            <w:r>
              <w:rPr>
                <w:rFonts w:ascii="Times New Roman" w:hAnsi="Times New Roman"/>
                <w:color w:val="000000"/>
                <w:sz w:val="20"/>
              </w:rPr>
              <w:t> </w:t>
            </w:r>
            <w:r>
              <w:rPr>
                <w:rFonts w:ascii="Times New Roman" w:hAnsi="Times New Roman"/>
                <w:b w:val="false"/>
                <w:color w:val="000000"/>
                <w:sz w:val="12"/>
              </w:rPr>
              <w:t>shares) (j)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4/12/2018</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20,211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PowerGrid Services Acquisition, LLC</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Utilities: Services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(j)</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+ 9.50%) / (1.00%)</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14.23%/0.00%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9/21/2021</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3/21/2029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10,831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10,831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(5,341</w:t>
            </w:r>
            <w:r>
              <w:rPr>
                <w:rFonts w:ascii="Times New Roman" w:hAnsi="Times New Roman"/>
                <w:color w:val="000000"/>
                <w:sz w:val="20"/>
              </w:rPr>
              <w:t> </w:t>
            </w:r>
            <w:r>
              <w:rPr>
                <w:rFonts w:ascii="Times New Roman" w:hAnsi="Times New Roman"/>
                <w:b w:val="false"/>
                <w:color w:val="000000"/>
                <w:sz w:val="12"/>
              </w:rPr>
              <w:t>units) (h)(j)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9/21/2021</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Prime AE Group, Inc.</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+ 6.75%) / (2.00%)</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11.59%/0.00%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11/25/2019</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11/25/2024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5,833</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95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(900,000</w:t>
            </w:r>
            <w:r>
              <w:rPr>
                <w:rFonts w:ascii="Times New Roman" w:hAnsi="Times New Roman"/>
                <w:color w:val="000000"/>
                <w:sz w:val="20"/>
              </w:rPr>
              <w:t> </w:t>
            </w:r>
            <w:r>
              <w:rPr>
                <w:rFonts w:ascii="Times New Roman" w:hAnsi="Times New Roman"/>
                <w:b w:val="false"/>
                <w:color w:val="000000"/>
                <w:sz w:val="12"/>
              </w:rPr>
              <w:t>shares) (j)</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11/25/2019</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955" w:type="dxa"/>
            <w:tcBorders/>
            <w:shd w:fill="CFF0FC" w:val="clear"/>
            <w:vAlign w:val="center"/>
          </w:tcPr>
          <w:p>
            <w:pPr>
              <w:pStyle w:val="TableContents"/>
              <w:bidi w:val="0"/>
              <w:spacing w:before="0" w:after="283"/>
              <w:jc w:val="left"/>
              <w:rPr>
                <w:sz w:val="4"/>
                <w:szCs w:val="4"/>
              </w:rPr>
            </w:pPr>
            <w:r>
              <w:rPr>
                <w:sz w:val="4"/>
                <w:szCs w:val="4"/>
              </w:rPr>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Quest Software US Holdings Inc.</w:t>
            </w:r>
          </w:p>
        </w:tc>
        <w:tc>
          <w:tcPr>
            <w:tcW w:w="135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955"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(j)</w:t>
            </w:r>
          </w:p>
        </w:tc>
        <w:tc>
          <w:tcPr>
            <w:tcW w:w="135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+ 7.50%) / (0.50%)</w:t>
            </w:r>
          </w:p>
        </w:tc>
        <w:tc>
          <w:tcPr>
            <w:tcW w:w="67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11.79%/0.00%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3/1/2022</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2/1/2030</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418"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2"/>
              </w:rPr>
            </w:pPr>
            <w:r>
              <w:rPr>
                <w:rFonts w:ascii="Times New Roman" w:hAnsi="Times New Roman"/>
                <w:b w:val="false"/>
                <w:color w:val="000000"/>
                <w:sz w:val="12"/>
              </w:rPr>
              <w:t>%</w:t>
            </w:r>
          </w:p>
        </w:tc>
      </w:tr>
      <w:tr>
        <w:trPr/>
        <w:tc>
          <w:tcPr>
            <w:tcW w:w="2955" w:type="dxa"/>
            <w:tcBorders/>
            <w:shd w:fill="FFFFFF" w:val="clear"/>
            <w:vAlign w:val="center"/>
          </w:tcPr>
          <w:p>
            <w:pPr>
              <w:pStyle w:val="TableContents"/>
              <w:bidi w:val="0"/>
              <w:spacing w:before="0" w:after="283"/>
              <w:ind w:left="160" w:right="0" w:firstLine="160"/>
              <w:jc w:val="left"/>
              <w:rPr/>
            </w:pPr>
            <w:r>
              <w:rPr/>
              <w:t> </w:t>
            </w:r>
          </w:p>
        </w:tc>
        <w:tc>
          <w:tcPr>
            <w:tcW w:w="135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3"/>
        <w:gridCol w:w="1269"/>
        <w:gridCol w:w="908"/>
        <w:gridCol w:w="642"/>
        <w:gridCol w:w="486"/>
        <w:gridCol w:w="486"/>
        <w:gridCol w:w="146"/>
        <w:gridCol w:w="436"/>
        <w:gridCol w:w="146"/>
        <w:gridCol w:w="146"/>
        <w:gridCol w:w="166"/>
        <w:gridCol w:w="496"/>
        <w:gridCol w:w="151"/>
        <w:gridCol w:w="146"/>
        <w:gridCol w:w="166"/>
        <w:gridCol w:w="496"/>
        <w:gridCol w:w="146"/>
        <w:gridCol w:w="146"/>
        <w:gridCol w:w="286"/>
        <w:gridCol w:w="498"/>
      </w:tblGrid>
      <w:tr>
        <w:trPr/>
        <w:tc>
          <w:tcPr>
            <w:tcW w:w="284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843"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R1 Holdings, LLC (dba RoadOne IntermodaLogistics)</w:t>
            </w:r>
          </w:p>
        </w:tc>
        <w:tc>
          <w:tcPr>
            <w:tcW w:w="126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Transportation services</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First Lien Debt ($2,489</w:t>
            </w:r>
            <w:r>
              <w:rPr>
                <w:rFonts w:ascii="Times New Roman" w:hAnsi="Times New Roman"/>
                <w:color w:val="000000"/>
                <w:sz w:val="20"/>
              </w:rPr>
              <w:t> </w:t>
            </w:r>
            <w:r>
              <w:rPr>
                <w:rFonts w:ascii="Times New Roman" w:hAnsi="Times New Roman"/>
                <w:b w:val="false"/>
                <w:color w:val="000000"/>
                <w:sz w:val="12"/>
              </w:rPr>
              <w:t>unfunded commitment) (j)(ac)</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+ 6.25%) / (1.00%)</w:t>
            </w:r>
          </w:p>
        </w:tc>
        <w:tc>
          <w:tcPr>
            <w:tcW w:w="64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10.83%/0.00%</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12/30/2022</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12/30/2028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5,309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5,309</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Subordinated Debt ($417</w:t>
            </w:r>
            <w:r>
              <w:rPr>
                <w:rFonts w:ascii="Times New Roman" w:hAnsi="Times New Roman"/>
                <w:color w:val="000000"/>
                <w:sz w:val="20"/>
              </w:rPr>
              <w:t> </w:t>
            </w:r>
            <w:r>
              <w:rPr>
                <w:rFonts w:ascii="Times New Roman" w:hAnsi="Times New Roman"/>
                <w:b w:val="false"/>
                <w:color w:val="000000"/>
                <w:sz w:val="12"/>
              </w:rPr>
              <w:t>unfunded commitment) (j)(ac)</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8.75%/5.00%</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12/30/2022</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6/30/2029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1,287</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(280,000</w:t>
            </w:r>
            <w:r>
              <w:rPr>
                <w:rFonts w:ascii="Times New Roman" w:hAnsi="Times New Roman"/>
                <w:color w:val="000000"/>
                <w:sz w:val="20"/>
              </w:rPr>
              <w:t> </w:t>
            </w:r>
            <w:r>
              <w:rPr>
                <w:rFonts w:ascii="Times New Roman" w:hAnsi="Times New Roman"/>
                <w:b w:val="false"/>
                <w:color w:val="000000"/>
                <w:sz w:val="12"/>
              </w:rPr>
              <w:t>units) ($70</w:t>
            </w:r>
            <w:r>
              <w:rPr>
                <w:rFonts w:ascii="Times New Roman" w:hAnsi="Times New Roman"/>
                <w:color w:val="000000"/>
                <w:sz w:val="20"/>
              </w:rPr>
              <w:t> </w:t>
            </w:r>
            <w:r>
              <w:rPr>
                <w:rFonts w:ascii="Times New Roman" w:hAnsi="Times New Roman"/>
                <w:b w:val="false"/>
                <w:color w:val="000000"/>
                <w:sz w:val="12"/>
              </w:rPr>
              <w:t>unfunded commitment) (j)</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12/30/2022</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sz w:val="4"/>
                <w:szCs w:val="4"/>
              </w:rPr>
            </w:pPr>
            <w:r>
              <w:rPr>
                <w:sz w:val="4"/>
                <w:szCs w:val="4"/>
              </w:rPr>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Rhino Assembly Company, LLC</w:t>
            </w:r>
          </w:p>
        </w:tc>
        <w:tc>
          <w:tcPr>
            <w:tcW w:w="126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Specialty Distribution</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(k)</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11.50%/0.00%</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8/11/2017</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14,851</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(Class A Units) (10,915</w:t>
            </w:r>
            <w:r>
              <w:rPr>
                <w:rFonts w:ascii="Times New Roman" w:hAnsi="Times New Roman"/>
                <w:color w:val="000000"/>
                <w:sz w:val="20"/>
              </w:rPr>
              <w:t> </w:t>
            </w:r>
            <w:r>
              <w:rPr>
                <w:rFonts w:ascii="Times New Roman" w:hAnsi="Times New Roman"/>
                <w:b w:val="false"/>
                <w:color w:val="000000"/>
                <w:sz w:val="12"/>
              </w:rPr>
              <w:t>units) (h)(j)</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8/11/2017</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2,379</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Preferred Equity (Units N/A) (h)(j)</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12/10/2020</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307</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(Class F Units) (710</w:t>
            </w:r>
            <w:r>
              <w:rPr>
                <w:rFonts w:ascii="Times New Roman" w:hAnsi="Times New Roman"/>
                <w:color w:val="000000"/>
                <w:sz w:val="20"/>
              </w:rPr>
              <w:t> </w:t>
            </w:r>
            <w:r>
              <w:rPr>
                <w:rFonts w:ascii="Times New Roman" w:hAnsi="Times New Roman"/>
                <w:b w:val="false"/>
                <w:color w:val="000000"/>
                <w:sz w:val="12"/>
              </w:rPr>
              <w:t>units) (h)(j)</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12/10/2020</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sz w:val="4"/>
                <w:szCs w:val="4"/>
              </w:rPr>
            </w:pPr>
            <w:r>
              <w:rPr>
                <w:sz w:val="4"/>
                <w:szCs w:val="4"/>
              </w:rPr>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16,230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Road Safety Services, Inc.</w:t>
            </w:r>
          </w:p>
        </w:tc>
        <w:tc>
          <w:tcPr>
            <w:tcW w:w="126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center"/>
              <w:rPr/>
            </w:pPr>
            <w:r>
              <w:rPr/>
              <w:t> </w:t>
            </w:r>
          </w:p>
        </w:tc>
        <w:tc>
          <w:tcPr>
            <w:tcW w:w="498" w:type="dxa"/>
            <w:tcBorders/>
            <w:shd w:fill="FFFFFF" w:val="clear"/>
            <w:vAlign w:val="center"/>
          </w:tcPr>
          <w:p>
            <w:pPr>
              <w:pStyle w:val="TableContents"/>
              <w:bidi w:val="0"/>
              <w:spacing w:before="0" w:after="283"/>
              <w:ind w:left="0" w:right="0" w:firstLine="160"/>
              <w:jc w:val="center"/>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11.25%/2.00%</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9/18/2018</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9/18/2025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15,842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15,810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15,842</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(779</w:t>
            </w:r>
            <w:r>
              <w:rPr>
                <w:rFonts w:ascii="Times New Roman" w:hAnsi="Times New Roman"/>
                <w:color w:val="000000"/>
                <w:sz w:val="20"/>
              </w:rPr>
              <w:t> </w:t>
            </w:r>
            <w:r>
              <w:rPr>
                <w:rFonts w:ascii="Times New Roman" w:hAnsi="Times New Roman"/>
                <w:b w:val="false"/>
                <w:color w:val="000000"/>
                <w:sz w:val="12"/>
              </w:rPr>
              <w:t>units)</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9/18/2018</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sz w:val="4"/>
                <w:szCs w:val="4"/>
              </w:rPr>
            </w:pPr>
            <w:r>
              <w:rPr>
                <w:sz w:val="4"/>
                <w:szCs w:val="4"/>
              </w:rPr>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16,931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Sonicwall US Holdings, Inc.</w:t>
            </w:r>
          </w:p>
        </w:tc>
        <w:tc>
          <w:tcPr>
            <w:tcW w:w="126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(j)</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+ 7.50%) / (0.00%)</w:t>
            </w:r>
          </w:p>
        </w:tc>
        <w:tc>
          <w:tcPr>
            <w:tcW w:w="64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12.20%/0.00%</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9/6/2022</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5/18/2026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4,508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sz w:val="4"/>
                <w:szCs w:val="4"/>
              </w:rPr>
            </w:pPr>
            <w:r>
              <w:rPr>
                <w:sz w:val="4"/>
                <w:szCs w:val="4"/>
              </w:rPr>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Suited Connector LLC</w:t>
            </w:r>
          </w:p>
        </w:tc>
        <w:tc>
          <w:tcPr>
            <w:tcW w:w="126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center"/>
              <w:rPr/>
            </w:pPr>
            <w:r>
              <w:rPr/>
              <w:t> </w:t>
            </w:r>
          </w:p>
        </w:tc>
        <w:tc>
          <w:tcPr>
            <w:tcW w:w="498" w:type="dxa"/>
            <w:tcBorders/>
            <w:shd w:fill="CFF0FC" w:val="clear"/>
            <w:vAlign w:val="center"/>
          </w:tcPr>
          <w:p>
            <w:pPr>
              <w:pStyle w:val="TableContents"/>
              <w:bidi w:val="0"/>
              <w:spacing w:before="0" w:after="283"/>
              <w:ind w:left="0" w:right="0" w:firstLine="160"/>
              <w:jc w:val="center"/>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(j)</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12.00%/0.00%</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10/29/2021</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15,933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10,726</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(7,500</w:t>
            </w:r>
            <w:r>
              <w:rPr>
                <w:rFonts w:ascii="Times New Roman" w:hAnsi="Times New Roman"/>
                <w:color w:val="000000"/>
                <w:sz w:val="20"/>
              </w:rPr>
              <w:t> </w:t>
            </w:r>
            <w:r>
              <w:rPr>
                <w:rFonts w:ascii="Times New Roman" w:hAnsi="Times New Roman"/>
                <w:b w:val="false"/>
                <w:color w:val="000000"/>
                <w:sz w:val="12"/>
              </w:rPr>
              <w:t>units) (h)(j)</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12/1/2021</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283"/>
              <w:jc w:val="left"/>
              <w:rPr>
                <w:sz w:val="4"/>
                <w:szCs w:val="4"/>
              </w:rPr>
            </w:pPr>
            <w:r>
              <w:rPr>
                <w:sz w:val="4"/>
                <w:szCs w:val="4"/>
              </w:rPr>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16,683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4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Tedia Company, LLC</w:t>
            </w:r>
          </w:p>
        </w:tc>
        <w:tc>
          <w:tcPr>
            <w:tcW w:w="126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 Products</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+ 7.75%) / (1.00%)</w:t>
            </w:r>
          </w:p>
        </w:tc>
        <w:tc>
          <w:tcPr>
            <w:tcW w:w="64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11.57%/0.00%</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3/4/2022</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3/4/2027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15,527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15,600</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Revolving Loan ($2,400</w:t>
            </w:r>
            <w:r>
              <w:rPr>
                <w:rFonts w:ascii="Times New Roman" w:hAnsi="Times New Roman"/>
                <w:color w:val="000000"/>
                <w:sz w:val="20"/>
              </w:rPr>
              <w:t> </w:t>
            </w:r>
            <w:r>
              <w:rPr>
                <w:rFonts w:ascii="Times New Roman" w:hAnsi="Times New Roman"/>
                <w:b w:val="false"/>
                <w:color w:val="000000"/>
                <w:sz w:val="12"/>
              </w:rPr>
              <w:t>unfunded commitment) (j)(i)</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+ 7.75%) / (1.00%)</w:t>
            </w:r>
          </w:p>
        </w:tc>
        <w:tc>
          <w:tcPr>
            <w:tcW w:w="64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11.57%/0.00%</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3/4/2022</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3/4/2027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1,581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1,600</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Delayed Draw Commitment ($3,000</w:t>
            </w:r>
            <w:r>
              <w:rPr>
                <w:rFonts w:ascii="Times New Roman" w:hAnsi="Times New Roman"/>
                <w:color w:val="000000"/>
                <w:sz w:val="20"/>
              </w:rPr>
              <w:t> </w:t>
            </w:r>
            <w:r>
              <w:rPr>
                <w:rFonts w:ascii="Times New Roman" w:hAnsi="Times New Roman"/>
                <w:b w:val="false"/>
                <w:color w:val="000000"/>
                <w:sz w:val="12"/>
              </w:rPr>
              <w:t>unfunded commitment) (j)(ac)</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+ 7.75%) / (1.00%)</w:t>
            </w:r>
          </w:p>
        </w:tc>
        <w:tc>
          <w:tcPr>
            <w:tcW w:w="64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11.57%/0.00%</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3/4/2022</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3/4/2027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Subordinated Debt (j)</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7.25%/7.25%</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3/4/2022</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9/4/2027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2,643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3,750</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(Series A) (1,000</w:t>
            </w:r>
            <w:r>
              <w:rPr>
                <w:rFonts w:ascii="Times New Roman" w:hAnsi="Times New Roman"/>
                <w:color w:val="000000"/>
                <w:sz w:val="20"/>
              </w:rPr>
              <w:t> </w:t>
            </w:r>
            <w:r>
              <w:rPr>
                <w:rFonts w:ascii="Times New Roman" w:hAnsi="Times New Roman"/>
                <w:b w:val="false"/>
                <w:color w:val="000000"/>
                <w:sz w:val="12"/>
              </w:rPr>
              <w:t>units) (h)(j)</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3/4/2022</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sz w:val="4"/>
                <w:szCs w:val="4"/>
              </w:rPr>
            </w:pPr>
            <w:r>
              <w:rPr>
                <w:sz w:val="4"/>
                <w:szCs w:val="4"/>
              </w:rPr>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20,737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22,742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Tiger Calcium Services Inc. (aw)</w:t>
            </w:r>
          </w:p>
        </w:tc>
        <w:tc>
          <w:tcPr>
            <w:tcW w:w="126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Transportation services</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(j) (ao)</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12.50%/0.00%</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12/21/2022</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5/31/2025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sz w:val="4"/>
                <w:szCs w:val="4"/>
              </w:rPr>
            </w:pPr>
            <w:r>
              <w:rPr>
                <w:sz w:val="4"/>
                <w:szCs w:val="4"/>
              </w:rPr>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UBEO, LLC</w:t>
            </w:r>
          </w:p>
        </w:tc>
        <w:tc>
          <w:tcPr>
            <w:tcW w:w="126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(705,000</w:t>
            </w:r>
            <w:r>
              <w:rPr>
                <w:rFonts w:ascii="Times New Roman" w:hAnsi="Times New Roman"/>
                <w:color w:val="000000"/>
                <w:sz w:val="20"/>
              </w:rPr>
              <w:t> </w:t>
            </w:r>
            <w:r>
              <w:rPr>
                <w:rFonts w:ascii="Times New Roman" w:hAnsi="Times New Roman"/>
                <w:b w:val="false"/>
                <w:color w:val="000000"/>
                <w:sz w:val="12"/>
              </w:rPr>
              <w:t>units) (h)(j)</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4/3/2018</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655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4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CFF0FC" w:val="clear"/>
            <w:vAlign w:val="center"/>
          </w:tcPr>
          <w:p>
            <w:pPr>
              <w:pStyle w:val="TableContents"/>
              <w:bidi w:val="0"/>
              <w:spacing w:before="0" w:after="283"/>
              <w:jc w:val="left"/>
              <w:rPr>
                <w:sz w:val="4"/>
                <w:szCs w:val="4"/>
              </w:rPr>
            </w:pPr>
            <w:r>
              <w:rPr>
                <w:sz w:val="4"/>
                <w:szCs w:val="4"/>
              </w:rPr>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United Biologics, LLC</w:t>
            </w:r>
          </w:p>
        </w:tc>
        <w:tc>
          <w:tcPr>
            <w:tcW w:w="126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 Services</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Preferred Equity (98,377</w:t>
            </w:r>
            <w:r>
              <w:rPr>
                <w:rFonts w:ascii="Times New Roman" w:hAnsi="Times New Roman"/>
                <w:color w:val="000000"/>
                <w:sz w:val="20"/>
              </w:rPr>
              <w:t> </w:t>
            </w:r>
            <w:r>
              <w:rPr>
                <w:rFonts w:ascii="Times New Roman" w:hAnsi="Times New Roman"/>
                <w:b w:val="false"/>
                <w:color w:val="000000"/>
                <w:sz w:val="12"/>
              </w:rPr>
              <w:t>units) (h)(j)</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4/1/2012</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Warrant (57,469</w:t>
            </w:r>
            <w:r>
              <w:rPr>
                <w:rFonts w:ascii="Times New Roman" w:hAnsi="Times New Roman"/>
                <w:color w:val="000000"/>
                <w:sz w:val="20"/>
              </w:rPr>
              <w:t> </w:t>
            </w:r>
            <w:r>
              <w:rPr>
                <w:rFonts w:ascii="Times New Roman" w:hAnsi="Times New Roman"/>
                <w:b w:val="false"/>
                <w:color w:val="000000"/>
                <w:sz w:val="12"/>
              </w:rPr>
              <w:t>units) (j)(m)</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3/5/2012</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sz w:val="4"/>
                <w:szCs w:val="4"/>
              </w:rPr>
            </w:pPr>
            <w:r>
              <w:rPr>
                <w:sz w:val="4"/>
                <w:szCs w:val="4"/>
              </w:rPr>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1,573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Virginia Tile Company, LLC</w:t>
            </w:r>
          </w:p>
        </w:tc>
        <w:tc>
          <w:tcPr>
            <w:tcW w:w="126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Specialty Distribution</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(17</w:t>
            </w:r>
            <w:r>
              <w:rPr>
                <w:rFonts w:ascii="Times New Roman" w:hAnsi="Times New Roman"/>
                <w:color w:val="000000"/>
                <w:sz w:val="20"/>
              </w:rPr>
              <w:t> </w:t>
            </w:r>
            <w:r>
              <w:rPr>
                <w:rFonts w:ascii="Times New Roman" w:hAnsi="Times New Roman"/>
                <w:b w:val="false"/>
                <w:color w:val="000000"/>
                <w:sz w:val="12"/>
              </w:rPr>
              <w:t>units) (j)</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12/19/2014</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sz w:val="4"/>
                <w:szCs w:val="4"/>
              </w:rPr>
            </w:pPr>
            <w:r>
              <w:rPr>
                <w:sz w:val="4"/>
                <w:szCs w:val="4"/>
              </w:rPr>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Virtex Enterprises, LP</w:t>
            </w:r>
          </w:p>
        </w:tc>
        <w:tc>
          <w:tcPr>
            <w:tcW w:w="126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Component Manufacturing</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+ 9.75%) / (1.00%)</w:t>
            </w:r>
          </w:p>
        </w:tc>
        <w:tc>
          <w:tcPr>
            <w:tcW w:w="64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14.48%/0.00%</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4/13/2022</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10/13/2027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4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CFF0FC" w:val="clear"/>
            <w:vAlign w:val="center"/>
          </w:tcPr>
          <w:p>
            <w:pPr>
              <w:pStyle w:val="TableContents"/>
              <w:bidi w:val="0"/>
              <w:spacing w:before="0" w:after="283"/>
              <w:jc w:val="left"/>
              <w:rPr>
                <w:sz w:val="4"/>
                <w:szCs w:val="4"/>
              </w:rPr>
            </w:pPr>
            <w:r>
              <w:rPr>
                <w:sz w:val="4"/>
                <w:szCs w:val="4"/>
              </w:rPr>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Western's Smokehouse, LLC</w:t>
            </w:r>
          </w:p>
        </w:tc>
        <w:tc>
          <w:tcPr>
            <w:tcW w:w="126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Products</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(j)(ab)</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+ 6.50%) / (1.50%)</w:t>
            </w:r>
          </w:p>
        </w:tc>
        <w:tc>
          <w:tcPr>
            <w:tcW w:w="64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11.21%/0.00%</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2/28/2020</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12/23/2024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9,554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9,615</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Delayed Draw Commitment ($2,702</w:t>
            </w:r>
            <w:r>
              <w:rPr>
                <w:rFonts w:ascii="Times New Roman" w:hAnsi="Times New Roman"/>
                <w:color w:val="000000"/>
                <w:sz w:val="20"/>
              </w:rPr>
              <w:t> </w:t>
            </w:r>
            <w:r>
              <w:rPr>
                <w:rFonts w:ascii="Times New Roman" w:hAnsi="Times New Roman"/>
                <w:b w:val="false"/>
                <w:color w:val="000000"/>
                <w:sz w:val="12"/>
              </w:rPr>
              <w:t>unfunded commitment) (j)(i)(ax)</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 + 5.00%) / (1.50%)</w:t>
            </w:r>
          </w:p>
        </w:tc>
        <w:tc>
          <w:tcPr>
            <w:tcW w:w="64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9.71%/0.00%</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6/29/2022</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12/23/2024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sz w:val="4"/>
                <w:szCs w:val="4"/>
              </w:rPr>
            </w:pPr>
            <w:r>
              <w:rPr>
                <w:sz w:val="4"/>
                <w:szCs w:val="4"/>
              </w:rPr>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10,345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Winona Foods, Inc.</w:t>
            </w:r>
          </w:p>
        </w:tc>
        <w:tc>
          <w:tcPr>
            <w:tcW w:w="126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Specialty Distribution</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(j)(am)</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+ 12.00%) / (1.00%)</w:t>
            </w:r>
          </w:p>
        </w:tc>
        <w:tc>
          <w:tcPr>
            <w:tcW w:w="64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16.75%/0.00%</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4/1/2021</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3,907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4,000</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+ 13.00%) / (1.00%)</w:t>
            </w:r>
          </w:p>
        </w:tc>
        <w:tc>
          <w:tcPr>
            <w:tcW w:w="64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17.75%/0.00%</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4/1/2021</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4/1/2026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sz w:val="4"/>
                <w:szCs w:val="4"/>
              </w:rPr>
            </w:pPr>
            <w:r>
              <w:rPr>
                <w:sz w:val="4"/>
                <w:szCs w:val="4"/>
              </w:rPr>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10,873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Wonderware Holdings, LLC (dba CORE Business Technologies)</w:t>
            </w:r>
          </w:p>
        </w:tc>
        <w:tc>
          <w:tcPr>
            <w:tcW w:w="126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 Services</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(k)(z)</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+ 7.25%) / (1.00%)</w:t>
            </w:r>
          </w:p>
        </w:tc>
        <w:tc>
          <w:tcPr>
            <w:tcW w:w="64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11.97%/0.00%</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2/10/2021</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2/9/2026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sz w:val="4"/>
                <w:szCs w:val="4"/>
              </w:rPr>
            </w:pPr>
            <w:r>
              <w:rPr>
                <w:sz w:val="4"/>
                <w:szCs w:val="4"/>
              </w:rPr>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Worldwide Express Operations, LLC</w:t>
            </w:r>
          </w:p>
        </w:tc>
        <w:tc>
          <w:tcPr>
            <w:tcW w:w="126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Transportation services</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Second Lien Debt (j)</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+ 7.00%) / (0.75%)</w:t>
            </w:r>
          </w:p>
        </w:tc>
        <w:tc>
          <w:tcPr>
            <w:tcW w:w="64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11.73%/0.00%</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8/2/2021</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7/26/2029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26,398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26,534</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Common Equity (795,000units) (j)</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7/21/2021</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942</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(752,380</w:t>
            </w:r>
            <w:r>
              <w:rPr>
                <w:rFonts w:ascii="Times New Roman" w:hAnsi="Times New Roman"/>
                <w:color w:val="000000"/>
                <w:sz w:val="20"/>
              </w:rPr>
              <w:t> </w:t>
            </w:r>
            <w:r>
              <w:rPr>
                <w:rFonts w:ascii="Times New Roman" w:hAnsi="Times New Roman"/>
                <w:b w:val="false"/>
                <w:color w:val="000000"/>
                <w:sz w:val="12"/>
              </w:rPr>
              <w:t>units) (h)(j)</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7/26/2021</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sz w:val="4"/>
                <w:szCs w:val="4"/>
              </w:rPr>
            </w:pPr>
            <w:r>
              <w:rPr>
                <w:sz w:val="4"/>
                <w:szCs w:val="4"/>
              </w:rPr>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27,418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rFonts w:ascii="Times New Roman" w:hAnsi="Times New Roman"/>
                <w:b w:val="false"/>
                <w:i/>
                <w:color w:val="000000"/>
                <w:sz w:val="12"/>
              </w:rPr>
            </w:pPr>
            <w:r>
              <w:rPr>
                <w:rFonts w:ascii="Times New Roman" w:hAnsi="Times New Roman"/>
                <w:b w:val="false"/>
                <w:i/>
                <w:color w:val="000000"/>
                <w:sz w:val="12"/>
              </w:rPr>
              <w:t>Zonkd, LLC</w:t>
            </w:r>
          </w:p>
        </w:tc>
        <w:tc>
          <w:tcPr>
            <w:tcW w:w="126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Component Manufacturing</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firstLine="160"/>
              <w:jc w:val="left"/>
              <w:rPr/>
            </w:pPr>
            <w:r>
              <w:rPr/>
              <w:t> </w:t>
            </w:r>
          </w:p>
        </w:tc>
      </w:tr>
      <w:tr>
        <w:trPr/>
        <w:tc>
          <w:tcPr>
            <w:tcW w:w="2843"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First Lien Debt (j)</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 + 10.00%) / (1.00%)</w:t>
            </w:r>
          </w:p>
        </w:tc>
        <w:tc>
          <w:tcPr>
            <w:tcW w:w="64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15.76%/0.00%</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3/18/2022</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3/18/2027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4,807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4,610</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b w:val="false"/>
                <w:color w:val="000000"/>
                <w:sz w:val="12"/>
              </w:rPr>
              <w:t>Common Equity (4,987</w:t>
            </w:r>
            <w:r>
              <w:rPr>
                <w:rFonts w:ascii="Times New Roman" w:hAnsi="Times New Roman"/>
                <w:color w:val="000000"/>
                <w:sz w:val="20"/>
              </w:rPr>
              <w:t> </w:t>
            </w:r>
            <w:r>
              <w:rPr>
                <w:rFonts w:ascii="Times New Roman" w:hAnsi="Times New Roman"/>
                <w:b w:val="false"/>
                <w:color w:val="000000"/>
                <w:sz w:val="12"/>
              </w:rPr>
              <w:t>units) (h)(j)</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3/18/2022</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sz w:val="4"/>
                <w:szCs w:val="4"/>
              </w:rPr>
            </w:pPr>
            <w:r>
              <w:rPr>
                <w:sz w:val="4"/>
                <w:szCs w:val="4"/>
              </w:rPr>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sz w:val="4"/>
                <w:szCs w:val="4"/>
              </w:rPr>
            </w:pPr>
            <w:r>
              <w:rPr>
                <w:sz w:val="4"/>
                <w:szCs w:val="4"/>
              </w:rPr>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Non-control/Non-affiliate Investments</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754,974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758,739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158</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sz w:val="4"/>
                <w:szCs w:val="4"/>
              </w:rPr>
            </w:pPr>
            <w:r>
              <w:rPr>
                <w:sz w:val="4"/>
                <w:szCs w:val="4"/>
              </w:rPr>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828,693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860,329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179</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sz w:val="4"/>
                <w:szCs w:val="4"/>
              </w:rPr>
            </w:pPr>
            <w:r>
              <w:rPr>
                <w:sz w:val="4"/>
                <w:szCs w:val="4"/>
              </w:rPr>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2843"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Money market funds (included in cash and cash equivalents)</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ind w:left="0" w:right="0" w:firstLine="160"/>
              <w:jc w:val="left"/>
              <w:rPr/>
            </w:pPr>
            <w:r>
              <w:rPr/>
              <w:t> </w:t>
            </w:r>
          </w:p>
        </w:tc>
      </w:tr>
      <w:tr>
        <w:trPr/>
        <w:tc>
          <w:tcPr>
            <w:tcW w:w="2843"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2"/>
              </w:rPr>
            </w:pPr>
            <w:r>
              <w:rPr>
                <w:rFonts w:ascii="Times New Roman" w:hAnsi="Times New Roman"/>
                <w:b w:val="false"/>
                <w:color w:val="000000"/>
                <w:sz w:val="12"/>
              </w:rPr>
              <w:t>Goldman Sachs Financial Square Treasury Obligation Institution CUSIP (38141W323) (ad)</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61,076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w:t>
            </w:r>
          </w:p>
        </w:tc>
        <w:tc>
          <w:tcPr>
            <w:tcW w:w="498" w:type="dxa"/>
            <w:tcBorders/>
            <w:shd w:fill="FFFFFF" w:val="clear"/>
            <w:vAlign w:val="center"/>
          </w:tcPr>
          <w:p>
            <w:pPr>
              <w:pStyle w:val="TableContents"/>
              <w:bidi w:val="0"/>
              <w:spacing w:before="0" w:after="283"/>
              <w:ind w:left="0" w:right="0" w:firstLine="240"/>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CFF0FC" w:val="clear"/>
            <w:vAlign w:val="center"/>
          </w:tcPr>
          <w:p>
            <w:pPr>
              <w:pStyle w:val="TableContents"/>
              <w:bidi w:val="0"/>
              <w:spacing w:before="0" w:after="283"/>
              <w:ind w:left="240" w:right="0" w:firstLine="240"/>
              <w:jc w:val="left"/>
              <w:rPr>
                <w:rFonts w:ascii="Times New Roman" w:hAnsi="Times New Roman"/>
                <w:b/>
                <w:color w:val="000000"/>
                <w:sz w:val="12"/>
              </w:rPr>
            </w:pPr>
            <w:r>
              <w:rPr>
                <w:rFonts w:ascii="Times New Roman" w:hAnsi="Times New Roman"/>
                <w:b/>
                <w:color w:val="000000"/>
                <w:sz w:val="12"/>
              </w:rPr>
              <w:t>Total money market funds</w:t>
            </w:r>
          </w:p>
        </w:tc>
        <w:tc>
          <w:tcPr>
            <w:tcW w:w="126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61,076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w:t>
            </w:r>
          </w:p>
        </w:tc>
        <w:tc>
          <w:tcPr>
            <w:tcW w:w="4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Money Market Funds</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889,769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921,405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192</w:t>
            </w:r>
          </w:p>
        </w:tc>
        <w:tc>
          <w:tcPr>
            <w:tcW w:w="498"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2"/>
              </w:rPr>
            </w:pPr>
            <w:r>
              <w:rPr>
                <w:rFonts w:ascii="Times New Roman" w:hAnsi="Times New Roman"/>
                <w:b w:val="false"/>
                <w:color w:val="000000"/>
                <w:sz w:val="12"/>
              </w:rPr>
              <w:t>%</w:t>
            </w:r>
          </w:p>
        </w:tc>
      </w:tr>
      <w:tr>
        <w:trPr/>
        <w:tc>
          <w:tcPr>
            <w:tcW w:w="2843" w:type="dxa"/>
            <w:tcBorders/>
            <w:shd w:fill="FFFFFF" w:val="clear"/>
            <w:vAlign w:val="center"/>
          </w:tcPr>
          <w:p>
            <w:pPr>
              <w:pStyle w:val="TableContents"/>
              <w:bidi w:val="0"/>
              <w:spacing w:before="0" w:after="283"/>
              <w:ind w:left="160" w:right="0" w:firstLine="160"/>
              <w:jc w:val="left"/>
              <w:rPr/>
            </w:pPr>
            <w:r>
              <w:rPr/>
              <w:t> </w:t>
            </w:r>
          </w:p>
        </w:tc>
        <w:tc>
          <w:tcPr>
            <w:tcW w:w="126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bl>
    <w:p>
      <w:pPr>
        <w:pStyle w:val="TextBody"/>
        <w:pBdr>
          <w:bottom w:val="double" w:sz="6" w:space="1" w:color="000000"/>
        </w:pBdr>
        <w:bidi w:val="0"/>
        <w:jc w:val="left"/>
        <w:rPr/>
      </w:pPr>
      <w:r>
        <w:rPr/>
        <w:t> </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 See Note 3 to the consolidated financial statements for portfolio composition by geographic location.</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(b) Equity ownership may be held in shares or units of companies related to the portfolio companies.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(c) All debt investments are income producing, unless otherwise indicated. Equity investments are non-income producing unless otherwise noted.</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(d) Variable rate investments bear interest at a rate indexed to LIBOR (L), Prime (P) or SOFR (S), which are reset monthly, bimonthly, quarterly, or semi-annually. Certain variable rate investments also include a LIBOR, Prime or SOFR interest rate floor. For each investment, the Company has provided the spread over the reference rate and the LIBOR, Prime or SOFR floor, if any, as of December 31, 2022.</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(e) Rate includes the cash interest or dividend rate and paid-in-kind interest or dividend rate, if any, as of December 31, 2022. Generally, payment-in-kind interest can be paid-in-kind or all in cash.</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(f) Investment date represents the date of the initial investment in the security.</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(h) Investment is held by a taxable subsidiary of the Company.</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(i) The disclosed commitment represents the unfunded amount as of December 31, 2022. The Company is earning 0.50% interest on the unfunded balance of the commitment. The interest rate disclosed represents the rate which will be earned if the commitment is funded.</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(k) 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b w:val="false"/>
          <w:color w:val="000000"/>
          <w:sz w:val="12"/>
        </w:rPr>
        <w:t>(o) The Company sold a participating interest of approximately $0.3</w:t>
      </w:r>
      <w:r>
        <w:rPr>
          <w:rFonts w:ascii="Times New Roman" w:hAnsi="Times New Roman"/>
          <w:color w:val="000000"/>
          <w:sz w:val="20"/>
        </w:rPr>
        <w:t xml:space="preserve"> </w:t>
      </w:r>
      <w:r>
        <w:rPr>
          <w:rFonts w:ascii="Times New Roman" w:hAnsi="Times New Roman"/>
          <w:b w:val="false"/>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(p) In addition to the interest earned based on the stated interest rate of this security, the Company is entitled to receive an additional interest amount of 3.76%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(q) Warrant entitles the Company to purchase 4.79% of the outstanding principal of Junior Subordinated Notes prior to exercise, and is non-income producing.</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(r) In addition to the interest earned based on the stated interest rate of this security, the Company is entitled to receive an additional interest amount of 4.24%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(s) In addition to the interest earned based on the stated interest rate of this security, the Company is entitled to receive an additional interest amount of 2.32%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(u) In addition to the interest earned based on the stated interest rate of this security, the Company is entitled to receive an additional cash interest amount of 2.93% and PIK interest amount of 0.98%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(v) 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(w) In addition to the interest earned based on the stated interest rate of this security, the Company is entitled to receive an additional interest amount of 7.11%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(x) In addition to the interest earned based on the stated interest rate of this security, the Company is entitled to receive an additional interest amount of 2.73%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(y) Investment was on non-accrual status as of December 31, 2022.</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(z) In addition to the interest earned based on the stated interest rate of this security, the Company is entitled to receive an additional interest amount of 4.45%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b w:val="false"/>
          <w:color w:val="000000"/>
          <w:sz w:val="12"/>
        </w:rPr>
        <w:t>(aa) The Company sold a participating interest of approximately $4.0</w:t>
      </w:r>
      <w:r>
        <w:rPr>
          <w:rFonts w:ascii="Times New Roman" w:hAnsi="Times New Roman"/>
          <w:color w:val="000000"/>
          <w:sz w:val="20"/>
        </w:rPr>
        <w:t xml:space="preserve"> </w:t>
      </w:r>
      <w:r>
        <w:rPr>
          <w:rFonts w:ascii="Times New Roman" w:hAnsi="Times New Roman"/>
          <w:b w:val="false"/>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(ab) In addition to the interest earned based on the stated interest rate of this security, the Company is entitled to receive an additional interest amount of 1.77%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(ac) The disclosed commitment represents the unfunded amount as of December 31, 2022.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(ad) This investment is classified as a Level 1 investment. For further detail on the fair value measurements, see Note 4 to the consolidated financial statements.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(ag) In addition to the interest earned based on the stated interest rate of this security, the Company is entitled to receive an additional interest amount of 4.54%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(ai) In addition to the interest earned based on the stated interest rate of this security, the Company is entitled to receive an additional interest amount of 4.65%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(al) In addition to the interest earned based on the stated interest rate of this security, the Company is entitled to receive an additional interest amount of 5.62%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(am) In addition to the interest earned based on the stated interest rate of this security, the Company is entitled to receive an additional interest amount of 5.72%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b w:val="false"/>
          <w:color w:val="000000"/>
          <w:sz w:val="12"/>
        </w:rPr>
        <w:t>(an) The Company sold a participating interest of approximately $13.5</w:t>
      </w:r>
      <w:r>
        <w:rPr>
          <w:rFonts w:ascii="Times New Roman" w:hAnsi="Times New Roman"/>
          <w:color w:val="000000"/>
          <w:sz w:val="20"/>
        </w:rPr>
        <w:t xml:space="preserve"> </w:t>
      </w:r>
      <w:r>
        <w:rPr>
          <w:rFonts w:ascii="Times New Roman" w:hAnsi="Times New Roman"/>
          <w:b w:val="false"/>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2022, total non-qualifying assets at fair value represented 1.36% of the Company's total assets calculated in accordance with the 1940 Act.</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(ap) In addition to the interest earned based on the stated interest rate of this security, the Company is entitled to receive an additional cash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(aq) In addition to the interest earned based on the stated interest rate of this security, the Company is entitled to receive an additional interest amount of 4.68%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(ar) In addition to the interest earned based on the stated interest rate of this security, the Company is entitled to receive an additional interest amount of 2.72%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(as) In addition to the interest earned based on the stated interest rate of this security, the Company is entitled to receive an additional interest amount of 4.76%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(at)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(au) In addition to the interest earned based on the stated interest rate of this security, the Company is entitled to receive an additional interest amount of 3.26%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(av)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(aw) The headquarters of this portfolio company is located in Canada.</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(ax) In addition to the interest earned based on the stated interest rate of this security, the Company is entitled to receive an additional interest amount of 5.75%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center"/>
        <w:rPr>
          <w:rFonts w:ascii="Times New Roman" w:hAnsi="Times New Roman"/>
          <w:b w:val="false"/>
          <w:i/>
          <w:color w:val="000000"/>
          <w:sz w:val="12"/>
        </w:rPr>
      </w:pPr>
      <w:r>
        <w:rPr>
          <w:rFonts w:ascii="Times New Roman" w:hAnsi="Times New Roman"/>
          <w:b w:val="false"/>
          <w:i/>
          <w:color w:val="000000"/>
          <w:sz w:val="12"/>
        </w:rPr>
        <w:t>See Notes to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color w:val="000000"/>
          <w:sz w:val="20"/>
        </w:rPr>
      </w:pPr>
      <w:bookmarkStart w:id="9" w:name="notes_consolidated_financial_statements"/>
      <w:bookmarkEnd w:id="9"/>
      <w:r>
        <w:rPr>
          <w:rFonts w:ascii="Times New Roman" w:hAnsi="Times New Roman"/>
          <w:b/>
          <w:color w:val="000000"/>
          <w:sz w:val="20"/>
        </w:rPr>
        <w:t>Note 1. Organization and Nature of Business</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regulations of and oversight by the SBA under the Small Business Investment Act of 1958, as amended (the “SBIC Act”), concerning, among other things, the size and nature of the companies in which they may invest and the structure of those investments.</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earlier of the end of the Funds' investment period, if applicable, or the Funds reach their borrowing limit under the program. For two or more SBICs under common control, the maximum amount of outstanding SBA debentures cannot exceed $350,000.</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Fund II and Fund III are not registered under the 1940 Act and rely on the exclusion from the definition of investment company contained in Section 3(c)(7) of the 1940 Act.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Company pays a quarterly base management fee and an incentive fee to Fidus Investment Advisors, LLC, our investment advisor (the “Investment Advisor” or “Fidus Investment Advisors”) under an investment advisory agreement (the “Investment Advisory Agreement”).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Basis of presentation:</w:t>
      </w:r>
      <w:r>
        <w:rPr>
          <w:rFonts w:ascii="Times New Roman" w:hAnsi="Times New Roman"/>
          <w:color w:val="000000"/>
          <w:sz w:val="20"/>
        </w:rPr>
        <w:t xml:space="preserve"> </w:t>
      </w:r>
      <w:r>
        <w:rPr>
          <w:rFonts w:ascii="Times New Roman" w:hAnsi="Times New Roman"/>
          <w:b w:val="false"/>
          <w:color w:val="000000"/>
          <w:sz w:val="20"/>
        </w:rPr>
        <w:t xml:space="preserve">The accompanying consolidated financial statements of the Company have been prepared in accordance with generally accepted accounting principles in the United States of America (“GAAP”) pursuant to the requirements for reporting on Form 10-Q, Accounting Standards Codification (“ASC”) 946, </w:t>
      </w:r>
      <w:r>
        <w:rPr>
          <w:rFonts w:ascii="Times New Roman" w:hAnsi="Times New Roman"/>
          <w:b w:val="false"/>
          <w:i/>
          <w:color w:val="000000"/>
          <w:sz w:val="20"/>
        </w:rPr>
        <w:t xml:space="preserve">Financial Services – Investment Companies </w:t>
      </w:r>
      <w:r>
        <w:rPr>
          <w:rFonts w:ascii="Times New Roman" w:hAnsi="Times New Roman"/>
          <w:b w:val="false"/>
          <w:color w:val="000000"/>
          <w:sz w:val="20"/>
        </w:rPr>
        <w:t>(“ASC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2022.</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During fiscal year ended December 31, 2022, the Company elected to change the manner in which it presents residual investments in portfolio companies that have sold their operations and are in the process of winding down. These investments similar to escrow receivables are now included in prepaid expenses and other assets whereas previously they were included as a component of investments, at fair value, on the consolidated statements of assets and liabilities until the security was legally extinguished or relinquished. There is no change in historical net increase in net assets resulting from operations due to this change in presentation.</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Use of estimates:</w:t>
      </w:r>
      <w:r>
        <w:rPr>
          <w:rFonts w:ascii="Times New Roman" w:hAnsi="Times New Roman"/>
          <w:color w:val="000000"/>
          <w:sz w:val="20"/>
        </w:rPr>
        <w:t xml:space="preserve"> </w:t>
      </w:r>
      <w:r>
        <w:rPr>
          <w:rFonts w:ascii="Times New Roman" w:hAnsi="Times New Roman"/>
          <w:b w:val="false"/>
          <w:color w:val="000000"/>
          <w:sz w:val="20"/>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Consolidation:</w:t>
      </w:r>
      <w:r>
        <w:rPr>
          <w:rFonts w:ascii="Times New Roman" w:hAnsi="Times New Roman"/>
          <w:color w:val="000000"/>
          <w:sz w:val="20"/>
        </w:rPr>
        <w:t xml:space="preserve"> </w:t>
      </w:r>
      <w:r>
        <w:rPr>
          <w:rFonts w:ascii="Times New Roman" w:hAnsi="Times New Roman"/>
          <w:b w:val="false"/>
          <w:color w:val="000000"/>
          <w:sz w:val="20"/>
        </w:rPr>
        <w:t>Pursuant to Article 6 of Regulation S-X and ASC 946, the Company will generally not consolidate its investments in a company 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Investment risks:</w:t>
      </w:r>
      <w:r>
        <w:rPr>
          <w:rFonts w:ascii="Times New Roman" w:hAnsi="Times New Roman"/>
          <w:color w:val="000000"/>
          <w:sz w:val="20"/>
        </w:rPr>
        <w:t xml:space="preserve"> </w:t>
      </w:r>
      <w:r>
        <w:rPr>
          <w:rFonts w:ascii="Times New Roman" w:hAnsi="Times New Roman"/>
          <w:b w:val="false"/>
          <w:color w:val="000000"/>
          <w:sz w:val="20"/>
        </w:rPr>
        <w:t>The Company’s investments are subject to a variety of risks. These risks may include, but are not limited to the following:</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b w:val="false"/>
          <w:i/>
          <w:color w:val="000000"/>
          <w:sz w:val="20"/>
        </w:rPr>
        <w:t xml:space="preserve">Market risk - </w:t>
      </w:r>
      <w:r>
        <w:rPr>
          <w:rFonts w:ascii="Times New Roman" w:hAnsi="Times New Roman"/>
          <w:b w:val="false"/>
          <w:color w:val="000000"/>
          <w:sz w:val="20"/>
        </w:rPr>
        <w:t>In contrast to investment-grade bonds (the market prices of which change primarily as a reaction to 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Credit risk - </w:t>
      </w:r>
      <w:r>
        <w:rPr>
          <w:rFonts w:ascii="Times New Roman" w:hAnsi="Times New Roman"/>
          <w:b w:val="false"/>
          <w:color w:val="000000"/>
          <w:sz w:val="20"/>
        </w:rPr>
        <w:t xml:space="preserve">Credit risk represents the risk that the Company would incur if the counterparties failed to perform pursuant to the terms of their agreements with the Company. Issues of high-yield debt securities in which the Company invests are more likely to default on interest or principal than are issues of investment-grade securities.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Liquidity risk - </w:t>
      </w:r>
      <w:r>
        <w:rPr>
          <w:rFonts w:ascii="Times New Roman" w:hAnsi="Times New Roman"/>
          <w:b w:val="false"/>
          <w:color w:val="000000"/>
          <w:sz w:val="20"/>
        </w:rPr>
        <w:t xml:space="preserve">Liquidity risk represents the possibility that the Company may not be able to sell its investments quickly or at a reasonable price (given the lack of an established market).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Interest rate risk - </w:t>
      </w:r>
      <w:r>
        <w:rPr>
          <w:rFonts w:ascii="Times New Roman" w:hAnsi="Times New Roman"/>
          <w:b w:val="false"/>
          <w:color w:val="000000"/>
          <w:sz w:val="20"/>
        </w:rPr>
        <w:t xml:space="preserve">Interest rate risk represents the likelihood that a change in interest rates could have an adverse impact on the fair value of an interest-bearing financial instrument.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Prepayment risk - </w:t>
      </w:r>
      <w:r>
        <w:rPr>
          <w:rFonts w:ascii="Times New Roman" w:hAnsi="Times New Roman"/>
          <w:b w:val="false"/>
          <w:color w:val="000000"/>
          <w:sz w:val="20"/>
        </w:rPr>
        <w:t>Certain of the Company’s debt investments allow for prepayment of principal without penalty. 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Off-Balance sheet risk - </w:t>
      </w:r>
      <w:r>
        <w:rPr>
          <w:rFonts w:ascii="Times New Roman" w:hAnsi="Times New Roman"/>
          <w:b w:val="false"/>
          <w:color w:val="000000"/>
          <w:sz w:val="20"/>
        </w:rPr>
        <w:t>Some of the Company’s financial instruments contain off-balance sheet risk. Generally, these financial instruments represent future commitments to purchase other financial instruments at defined terms at defined future dates. See Note 7 for further details.</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Fair value of financial instruments:</w:t>
      </w:r>
      <w:r>
        <w:rPr>
          <w:rFonts w:ascii="Times New Roman" w:hAnsi="Times New Roman"/>
          <w:color w:val="000000"/>
          <w:sz w:val="20"/>
        </w:rPr>
        <w:t xml:space="preserve"> </w:t>
      </w:r>
      <w:r>
        <w:rPr>
          <w:rFonts w:ascii="Times New Roman" w:hAnsi="Times New Roman"/>
          <w:b w:val="false"/>
          <w:color w:val="000000"/>
          <w:sz w:val="20"/>
        </w:rPr>
        <w:t xml:space="preserve">The Company measures and discloses fair value with respect to substantially all of its financial instruments in accordance with ASC Topic 820 — </w:t>
      </w:r>
      <w:r>
        <w:rPr>
          <w:rFonts w:ascii="Times New Roman" w:hAnsi="Times New Roman"/>
          <w:b w:val="false"/>
          <w:i/>
          <w:color w:val="000000"/>
          <w:sz w:val="20"/>
        </w:rPr>
        <w:t>Fair Value Measurements and Disclosures</w:t>
      </w:r>
      <w:r>
        <w:rPr>
          <w:rFonts w:ascii="Times New Roman" w:hAnsi="Times New Roman"/>
          <w:color w:val="000000"/>
          <w:sz w:val="20"/>
        </w:rPr>
        <w:t xml:space="preserve"> </w:t>
      </w:r>
      <w:r>
        <w:rPr>
          <w:rFonts w:ascii="Times New Roman" w:hAnsi="Times New Roman"/>
          <w:b w:val="false"/>
          <w:color w:val="000000"/>
          <w:sz w:val="20"/>
        </w:rPr>
        <w:t>(“ASC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Investment classification:</w:t>
      </w:r>
      <w:r>
        <w:rPr>
          <w:rFonts w:ascii="Times New Roman" w:hAnsi="Times New Roman"/>
          <w:color w:val="000000"/>
          <w:sz w:val="20"/>
        </w:rPr>
        <w:t xml:space="preserve"> </w:t>
      </w:r>
      <w:r>
        <w:rPr>
          <w:rFonts w:ascii="Times New Roman" w:hAnsi="Times New Roman"/>
          <w:b w:val="false"/>
          <w:color w:val="000000"/>
          <w:sz w:val="20"/>
        </w:rPr>
        <w:t>The Company classifies its investments in accordance with the requirements of the 1940 Act. Under the 1940 Act, “Control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Segments:</w:t>
      </w:r>
      <w:r>
        <w:rPr>
          <w:rFonts w:ascii="Times New Roman" w:hAnsi="Times New Roman"/>
          <w:color w:val="000000"/>
          <w:sz w:val="20"/>
        </w:rPr>
        <w:t xml:space="preserve"> </w:t>
      </w:r>
      <w:r>
        <w:rPr>
          <w:rFonts w:ascii="Times New Roman" w:hAnsi="Times New Roman"/>
          <w:b w:val="false"/>
          <w:color w:val="000000"/>
          <w:sz w:val="20"/>
        </w:rPr>
        <w:t xml:space="preserve">In accordance with ASC Topic 280 — </w:t>
      </w:r>
      <w:r>
        <w:rPr>
          <w:rFonts w:ascii="Times New Roman" w:hAnsi="Times New Roman"/>
          <w:b w:val="false"/>
          <w:i/>
          <w:color w:val="000000"/>
          <w:sz w:val="20"/>
        </w:rPr>
        <w:t>Segment Reporting</w:t>
      </w:r>
      <w:r>
        <w:rPr>
          <w:rFonts w:ascii="Times New Roman" w:hAnsi="Times New Roman"/>
          <w:b w:val="false"/>
          <w:color w:val="000000"/>
          <w:sz w:val="20"/>
        </w:rPr>
        <w:t>, the Company has determined that it has a single</w:t>
      </w:r>
      <w:r>
        <w:rPr>
          <w:rFonts w:ascii="Times New Roman" w:hAnsi="Times New Roman"/>
          <w:color w:val="000000"/>
          <w:sz w:val="20"/>
        </w:rPr>
        <w:t xml:space="preserve"> </w:t>
      </w:r>
      <w:r>
        <w:rPr>
          <w:rFonts w:ascii="Times New Roman" w:hAnsi="Times New Roman"/>
          <w:b w:val="false"/>
          <w:color w:val="000000"/>
          <w:sz w:val="20"/>
        </w:rPr>
        <w:t>reporting segment and operating</w:t>
      </w:r>
      <w:r>
        <w:rPr>
          <w:rFonts w:ascii="Times New Roman" w:hAnsi="Times New Roman"/>
          <w:color w:val="000000"/>
          <w:sz w:val="20"/>
        </w:rPr>
        <w:t xml:space="preserve"> </w:t>
      </w:r>
      <w:r>
        <w:rPr>
          <w:rFonts w:ascii="Times New Roman" w:hAnsi="Times New Roman"/>
          <w:b w:val="false"/>
          <w:color w:val="000000"/>
          <w:sz w:val="20"/>
        </w:rPr>
        <w:t>unit structure.</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Cash and cash equivalents:</w:t>
      </w:r>
      <w:r>
        <w:rPr>
          <w:rFonts w:ascii="Times New Roman" w:hAnsi="Times New Roman"/>
          <w:color w:val="000000"/>
          <w:sz w:val="20"/>
        </w:rPr>
        <w:t xml:space="preserve"> </w:t>
      </w:r>
      <w:r>
        <w:rPr>
          <w:rFonts w:ascii="Times New Roman" w:hAnsi="Times New Roman"/>
          <w:b w:val="false"/>
          <w:color w:val="000000"/>
          <w:sz w:val="20"/>
        </w:rPr>
        <w:t>Cash and cash equivalents are highly liquid investments with an original maturity of three months or less at the date of acquisition. The Company places its cash in financial institutions and, at times, such balances may be in excess of the Federal Deposit Insurance Corporation insurance limits. The Company does not believe its cash balances are exposed to any significant credit risk.</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Deferred financing costs:</w:t>
      </w:r>
      <w:r>
        <w:rPr>
          <w:rFonts w:ascii="Times New Roman" w:hAnsi="Times New Roman"/>
          <w:color w:val="000000"/>
          <w:sz w:val="20"/>
        </w:rPr>
        <w:t xml:space="preserve"> </w:t>
      </w:r>
      <w:r>
        <w:rPr>
          <w:rFonts w:ascii="Times New Roman" w:hAnsi="Times New Roman"/>
          <w:b w:val="false"/>
          <w:color w:val="000000"/>
          <w:sz w:val="20"/>
        </w:rPr>
        <w:t>Deferred financing costs consist of fees and expenses paid in connection with the SBA debentures, the Credit Facility and 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Realized losses on extinguishment of debt:</w:t>
      </w:r>
      <w:r>
        <w:rPr>
          <w:rFonts w:ascii="Times New Roman" w:hAnsi="Times New Roman"/>
          <w:color w:val="000000"/>
          <w:sz w:val="20"/>
        </w:rPr>
        <w:t xml:space="preserve"> </w:t>
      </w:r>
      <w:r>
        <w:rPr>
          <w:rFonts w:ascii="Times New Roman" w:hAnsi="Times New Roman"/>
          <w:b w:val="false"/>
          <w:color w:val="000000"/>
          <w:sz w:val="20"/>
        </w:rPr>
        <w:t>Upon the repayment of debt obligations which are deemed to be extinguishments, the difference between the principal amount due at maturity, adjusted for any unamortized deferred financing costs, is recognized as a loss (i.e., the unamortized deferred financing costs are recognized as a loss upon extinguishment of the underlying debt obligation).</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Deferred offering costs:</w:t>
      </w:r>
      <w:r>
        <w:rPr>
          <w:rFonts w:ascii="Times New Roman" w:hAnsi="Times New Roman"/>
          <w:color w:val="000000"/>
          <w:sz w:val="20"/>
        </w:rPr>
        <w:t xml:space="preserve"> </w:t>
      </w:r>
      <w:r>
        <w:rPr>
          <w:rFonts w:ascii="Times New Roman" w:hAnsi="Times New Roman"/>
          <w:b w:val="false"/>
          <w:color w:val="000000"/>
          <w:sz w:val="20"/>
        </w:rPr>
        <w:t>Deferred offering costs include registration expenses related to the shelf registration statement filing pursuant to which the Company may 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Realized gains or losses and unrealized appreciation or depreciation on investments: </w:t>
      </w:r>
      <w:r>
        <w:rPr>
          <w:rFonts w:ascii="Times New Roman" w:hAnsi="Times New Roman"/>
          <w:b w:val="false"/>
          <w:color w:val="000000"/>
          <w:sz w:val="20"/>
        </w:rPr>
        <w:t>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Interest and dividend income:</w:t>
      </w:r>
      <w:r>
        <w:rPr>
          <w:rFonts w:ascii="Times New Roman" w:hAnsi="Times New Roman"/>
          <w:color w:val="000000"/>
          <w:sz w:val="20"/>
        </w:rPr>
        <w:t xml:space="preserve"> </w:t>
      </w:r>
      <w:r>
        <w:rPr>
          <w:rFonts w:ascii="Times New Roman" w:hAnsi="Times New Roman"/>
          <w:b w:val="false"/>
          <w:color w:val="000000"/>
          <w:sz w:val="20"/>
        </w:rPr>
        <w:t>Interest and dividend income are recorded on the accrual basis to the extent that the Company expects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PIK income: </w:t>
      </w:r>
      <w:r>
        <w:rPr>
          <w:rFonts w:ascii="Times New Roman" w:hAnsi="Times New Roman"/>
          <w:b w:val="false"/>
          <w:color w:val="000000"/>
          <w:sz w:val="20"/>
        </w:rPr>
        <w:t>Certain of the Company’s investments contain a payment-in-kind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Non-accrual: </w:t>
      </w:r>
      <w:r>
        <w:rPr>
          <w:rFonts w:ascii="Times New Roman" w:hAnsi="Times New Roman"/>
          <w:b w:val="false"/>
          <w:color w:val="000000"/>
          <w:sz w:val="20"/>
        </w:rPr>
        <w:t>Debt investments or preferred equity investments (for which the Company is accruing PIK dividends) are placed on non-accrual status when principal, interest or dividend payments become materially past due, or when there is reasonable doubt that principal, interest or dividends will be collected.</w:t>
      </w:r>
      <w:r>
        <w:rPr>
          <w:rFonts w:ascii="Times New Roman" w:hAnsi="Times New Roman"/>
          <w:color w:val="000000"/>
          <w:sz w:val="20"/>
        </w:rPr>
        <w:t xml:space="preserve"> </w:t>
      </w:r>
      <w:r>
        <w:rPr>
          <w:rFonts w:ascii="Times New Roman" w:hAnsi="Times New Roman"/>
          <w:b w:val="false"/>
          <w:color w:val="000000"/>
          <w:sz w:val="20"/>
        </w:rPr>
        <w:t>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Origination and closing fees: </w:t>
      </w:r>
      <w:r>
        <w:rPr>
          <w:rFonts w:ascii="Times New Roman" w:hAnsi="Times New Roman"/>
          <w:b w:val="false"/>
          <w:color w:val="000000"/>
          <w:sz w:val="20"/>
        </w:rPr>
        <w:t>The Company also typically receives debt investment origination or closing fees in connection with such 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Warrants</w:t>
      </w:r>
      <w:r>
        <w:rPr>
          <w:rFonts w:ascii="Times New Roman" w:hAnsi="Times New Roman"/>
          <w:b w:val="false"/>
          <w:color w:val="000000"/>
          <w:sz w:val="20"/>
        </w:rPr>
        <w:t>: In connection with the Company’s debt investments, the Company will sometimes receive warrants or other equity-related securities 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Fee income</w:t>
      </w:r>
      <w:r>
        <w:rPr>
          <w:rFonts w:ascii="Times New Roman" w:hAnsi="Times New Roman"/>
          <w:b w:val="false"/>
          <w:color w:val="000000"/>
          <w:sz w:val="20"/>
        </w:rPr>
        <w:t>: Transaction fees earned in connection with the Company’s investments are recognized as fee income and are generally non-recurring.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Partial loan and equity sales: </w:t>
      </w:r>
      <w:r>
        <w:rPr>
          <w:rFonts w:ascii="Times New Roman" w:hAnsi="Times New Roman"/>
          <w:b w:val="false"/>
          <w:color w:val="000000"/>
          <w:sz w:val="20"/>
        </w:rPr>
        <w:t xml:space="preserve">The Company follows the guidance in ASC 860, </w:t>
      </w:r>
      <w:r>
        <w:rPr>
          <w:rFonts w:ascii="Times New Roman" w:hAnsi="Times New Roman"/>
          <w:b w:val="false"/>
          <w:i/>
          <w:color w:val="000000"/>
          <w:sz w:val="20"/>
        </w:rPr>
        <w:t xml:space="preserve">Transfers and Servicing, </w:t>
      </w:r>
      <w:r>
        <w:rPr>
          <w:rFonts w:ascii="Times New Roman" w:hAnsi="Times New Roman"/>
          <w:b w:val="false"/>
          <w:color w:val="000000"/>
          <w:sz w:val="20"/>
        </w:rPr>
        <w:t>when accounting</w:t>
      </w:r>
      <w:r>
        <w:rPr>
          <w:rFonts w:ascii="Times New Roman" w:hAnsi="Times New Roman"/>
          <w:color w:val="000000"/>
          <w:sz w:val="20"/>
        </w:rPr>
        <w:t xml:space="preserve"> </w:t>
      </w:r>
      <w:r>
        <w:rPr>
          <w:rFonts w:ascii="Times New Roman" w:hAnsi="Times New Roman"/>
          <w:b w:val="false"/>
          <w:color w:val="000000"/>
          <w:sz w:val="20"/>
        </w:rPr>
        <w:t>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Income taxes:</w:t>
      </w:r>
      <w:r>
        <w:rPr>
          <w:rFonts w:ascii="Times New Roman" w:hAnsi="Times New Roman"/>
          <w:color w:val="000000"/>
          <w:sz w:val="20"/>
        </w:rPr>
        <w:t xml:space="preserve"> </w:t>
      </w:r>
      <w:r>
        <w:rPr>
          <w:rFonts w:ascii="Times New Roman" w:hAnsi="Times New Roman"/>
          <w:b w:val="false"/>
          <w:color w:val="000000"/>
          <w:sz w:val="20"/>
        </w:rPr>
        <w:t>The Company has elected, and intends to qualify annually, to be treated for U.S. federal income tax purposes as a RIC under Subchapter M of the Code, which will generally relieve the Company from U.S. federal income taxes with respect to all income distributed to stockholders. To maintain the tax treatment of a RIC, the Company generally is required to timely distribute to its stockholders at least 90%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 excise tax if it does not distribute at least 98% of the current year’s ordinary taxable income. Any such carryover taxable income must be distributed through a dividend declared prior to the later of the date on which the final tax return related to the year in which the Company generated such taxable income is filed or the 15th day of the 10th month following the close of such taxable year. In addition, the Company will be subject to U.S. federal excise tax if it does not distribute at least 98.2% of its net capital gains realized, computed for any one year period ending October 31.</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Company has certain wholly-owned subsidiaries (the “Taxable Subsidiaries”), each of which generally holds one or more of the Company’s portfolio investments listed on the consolidated schedules of investments, that have elected to be treated as corporations for U.S. federal income tax purposes and are thus subject to U.S. federal income tax at corporate rates.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U.S. federal income taxes. Temporary differences arise when certain items of income, expense, gain or loss are recognized at some time in the future.</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 xml:space="preserve">ASC Topic 740 — </w:t>
      </w:r>
      <w:r>
        <w:rPr>
          <w:rFonts w:ascii="Times New Roman" w:hAnsi="Times New Roman"/>
          <w:b w:val="false"/>
          <w:i/>
          <w:color w:val="000000"/>
          <w:sz w:val="20"/>
        </w:rPr>
        <w:t>Accounting for Uncertainty in Income Taxes</w:t>
      </w:r>
      <w:r>
        <w:rPr>
          <w:rFonts w:ascii="Times New Roman" w:hAnsi="Times New Roman"/>
          <w:color w:val="000000"/>
          <w:sz w:val="20"/>
        </w:rPr>
        <w:t xml:space="preserve"> </w:t>
      </w:r>
      <w:r>
        <w:rPr>
          <w:rFonts w:ascii="Times New Roman" w:hAnsi="Times New Roman"/>
          <w:b w:val="false"/>
          <w:color w:val="000000"/>
          <w:sz w:val="20"/>
        </w:rPr>
        <w:t>(“ASC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September 30, 2023 and December 31, 2022. The Company’s tax returns are generally subject to examination by U.S. federal and most state tax authorities for a period of three years from the date the respective returns are filed, and, accordingly, the Company’s 2020</w:t>
      </w:r>
      <w:r>
        <w:rPr>
          <w:rFonts w:ascii="Times New Roman" w:hAnsi="Times New Roman"/>
          <w:color w:val="000000"/>
          <w:sz w:val="20"/>
        </w:rPr>
        <w:t xml:space="preserve"> </w:t>
      </w:r>
      <w:r>
        <w:rPr>
          <w:rFonts w:ascii="Times New Roman" w:hAnsi="Times New Roman"/>
          <w:b w:val="false"/>
          <w:color w:val="000000"/>
          <w:sz w:val="20"/>
        </w:rPr>
        <w:t>through 2022 tax years remain subject to examination.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Dividends to stockholders:</w:t>
      </w:r>
      <w:r>
        <w:rPr>
          <w:rFonts w:ascii="Times New Roman" w:hAnsi="Times New Roman"/>
          <w:color w:val="000000"/>
          <w:sz w:val="20"/>
        </w:rPr>
        <w:t xml:space="preserve"> </w:t>
      </w:r>
      <w:r>
        <w:rPr>
          <w:rFonts w:ascii="Times New Roman" w:hAnsi="Times New Roman"/>
          <w:b w:val="false"/>
          <w:color w:val="000000"/>
          <w:sz w:val="20"/>
        </w:rPr>
        <w:t>Dividends to stockholders are recorded on the record date with respect to such distributions. The amount, if any, to be 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Earnings and net asset value per share:</w:t>
      </w:r>
      <w:r>
        <w:rPr>
          <w:rFonts w:ascii="Times New Roman" w:hAnsi="Times New Roman"/>
          <w:color w:val="000000"/>
          <w:sz w:val="20"/>
        </w:rPr>
        <w:t xml:space="preserve"> </w:t>
      </w:r>
      <w:r>
        <w:rPr>
          <w:rFonts w:ascii="Times New Roman" w:hAnsi="Times New Roman"/>
          <w:b w:val="false"/>
          <w:color w:val="000000"/>
          <w:sz w:val="20"/>
        </w:rPr>
        <w:t>The earnings per share calculations for the three and nine months ended September 30, 2023 and 2022</w:t>
      </w:r>
      <w:r>
        <w:rPr>
          <w:rFonts w:ascii="Times New Roman" w:hAnsi="Times New Roman"/>
          <w:color w:val="000000"/>
          <w:sz w:val="20"/>
        </w:rPr>
        <w:t xml:space="preserve"> </w:t>
      </w:r>
      <w:r>
        <w:rPr>
          <w:rFonts w:ascii="Times New Roman" w:hAnsi="Times New Roman"/>
          <w:b w:val="false"/>
          <w:color w:val="000000"/>
          <w:sz w:val="20"/>
        </w:rPr>
        <w:t>are computed utilizing the weighted average shares outstanding for the period. Net asset value per share is calculated using the number of shares outstanding as of the end of the period.</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Stock Repurchase Program:</w:t>
      </w:r>
      <w:r>
        <w:rPr>
          <w:rFonts w:ascii="Times New Roman" w:hAnsi="Times New Roman"/>
          <w:color w:val="000000"/>
          <w:sz w:val="20"/>
        </w:rPr>
        <w:t xml:space="preserve"> </w:t>
      </w:r>
      <w:r>
        <w:rPr>
          <w:rFonts w:ascii="Times New Roman" w:hAnsi="Times New Roman"/>
          <w:b w:val="false"/>
          <w:color w:val="000000"/>
          <w:sz w:val="20"/>
        </w:rPr>
        <w:t>The Company has an open market stock repurchase program (the “Stock Repurchase Program”) under which the Company may acquire up to $5,000</w:t>
      </w:r>
      <w:r>
        <w:rPr>
          <w:rFonts w:ascii="Times New Roman" w:hAnsi="Times New Roman"/>
          <w:color w:val="000000"/>
          <w:sz w:val="20"/>
        </w:rPr>
        <w:t xml:space="preserve"> </w:t>
      </w:r>
      <w:r>
        <w:rPr>
          <w:rFonts w:ascii="Times New Roman" w:hAnsi="Times New Roman"/>
          <w:b w:val="false"/>
          <w:color w:val="000000"/>
          <w:sz w:val="20"/>
        </w:rPr>
        <w:t>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Subsequent to fiscal quarter ended September 30, 2023, on October 30, 2023, the Board extended the Stock Repurchase Program through December 31, 2024,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and nine months ended September 30, 2023 and 2022. Refer to Note 8 for additional information concerning stock repurchases.</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Recent accounting pronouncement: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In June 2022, the Financial Accounting Standards Board (“FASB”) issued Accounting Standards Update (“ASU”) No. 2022-03, “Fair Value Measurement of Equity Securities Subject to Contractual Sale Restrictions (Topic 820),” which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In addition, ASU No. 2022-03 prohibits an entity from recognizing a contractual sale restriction as a separate unit of account. ASU No. 2022-03’s amendments are effective for fiscal years beginning after December 15, 2023, with early adoption permitted. The Company is currently evaluating the impact of the adoption of ASU No. 2022-03 on its consolidated financial statements.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3. Portfolio Company Investments</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w:t>
      </w:r>
      <w:r>
        <w:rPr>
          <w:rFonts w:ascii="Times New Roman" w:hAnsi="Times New Roman"/>
          <w:color w:val="000000"/>
          <w:sz w:val="20"/>
        </w:rPr>
        <w:t xml:space="preserve"> </w:t>
      </w:r>
      <w:r>
        <w:rPr>
          <w:rFonts w:ascii="Times New Roman" w:hAnsi="Times New Roman"/>
          <w:b w:val="false"/>
          <w:color w:val="000000"/>
          <w:sz w:val="20"/>
        </w:rPr>
        <w:t>and seven years</w:t>
      </w:r>
      <w:r>
        <w:rPr>
          <w:rFonts w:ascii="Times New Roman" w:hAnsi="Times New Roman"/>
          <w:color w:val="000000"/>
          <w:sz w:val="20"/>
        </w:rPr>
        <w:t xml:space="preserve"> </w:t>
      </w:r>
      <w:r>
        <w:rPr>
          <w:rFonts w:ascii="Times New Roman" w:hAnsi="Times New Roman"/>
          <w:b w:val="false"/>
          <w:color w:val="000000"/>
          <w:sz w:val="20"/>
        </w:rPr>
        <w:t>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makes equity investments in portfolio companies organized as LLCs or other forms of pass-through entities through Taxable Subsidiaries. In both situations, the investment is generally reported under the name of the operating company on the consolidated schedules of investments.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As of September 30, 2023, the Company had active investments in 80</w:t>
      </w:r>
      <w:r>
        <w:rPr>
          <w:rFonts w:ascii="Times New Roman" w:hAnsi="Times New Roman"/>
          <w:color w:val="000000"/>
          <w:sz w:val="20"/>
        </w:rPr>
        <w:t xml:space="preserve"> </w:t>
      </w:r>
      <w:r>
        <w:rPr>
          <w:rFonts w:ascii="Times New Roman" w:hAnsi="Times New Roman"/>
          <w:b w:val="false"/>
          <w:color w:val="000000"/>
          <w:sz w:val="20"/>
        </w:rPr>
        <w:t>portfolio companies and residual investments in two</w:t>
      </w:r>
      <w:r>
        <w:rPr>
          <w:rFonts w:ascii="Times New Roman" w:hAnsi="Times New Roman"/>
          <w:color w:val="000000"/>
          <w:sz w:val="20"/>
        </w:rPr>
        <w:t xml:space="preserve"> </w:t>
      </w:r>
      <w:r>
        <w:rPr>
          <w:rFonts w:ascii="Times New Roman" w:hAnsi="Times New Roman"/>
          <w:b w:val="false"/>
          <w:color w:val="000000"/>
          <w:sz w:val="20"/>
        </w:rPr>
        <w:t>portfolio companies that have sold their underlying operations. The aggregate fair value of the total portfolio was $926,859</w:t>
      </w:r>
      <w:r>
        <w:rPr>
          <w:rFonts w:ascii="Times New Roman" w:hAnsi="Times New Roman"/>
          <w:color w:val="000000"/>
          <w:sz w:val="20"/>
        </w:rPr>
        <w:t xml:space="preserve"> </w:t>
      </w:r>
      <w:r>
        <w:rPr>
          <w:rFonts w:ascii="Times New Roman" w:hAnsi="Times New Roman"/>
          <w:b w:val="false"/>
          <w:color w:val="000000"/>
          <w:sz w:val="20"/>
        </w:rPr>
        <w:t>and the weighted average effective yield on the Company’s debt investments was 14.6%</w:t>
      </w:r>
      <w:r>
        <w:rPr>
          <w:rFonts w:ascii="Times New Roman" w:hAnsi="Times New Roman"/>
          <w:color w:val="000000"/>
          <w:sz w:val="20"/>
        </w:rPr>
        <w:t xml:space="preserve"> </w:t>
      </w:r>
      <w:r>
        <w:rPr>
          <w:rFonts w:ascii="Times New Roman" w:hAnsi="Times New Roman"/>
          <w:b w:val="false"/>
          <w:color w:val="000000"/>
          <w:sz w:val="20"/>
        </w:rPr>
        <w:t>as of such date. As of September 30, 2023, the Company held equity investments in 76.8%</w:t>
      </w:r>
      <w:r>
        <w:rPr>
          <w:rFonts w:ascii="Times New Roman" w:hAnsi="Times New Roman"/>
          <w:color w:val="000000"/>
          <w:sz w:val="20"/>
        </w:rPr>
        <w:t xml:space="preserve"> </w:t>
      </w:r>
      <w:r>
        <w:rPr>
          <w:rFonts w:ascii="Times New Roman" w:hAnsi="Times New Roman"/>
          <w:b w:val="false"/>
          <w:color w:val="000000"/>
          <w:sz w:val="20"/>
        </w:rPr>
        <w:t>of its portfolio companies and the average fully diluted equity ownership in those portfolio companies was 3.2%.</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As of December 31, 2022, the Company had active investments in 76</w:t>
      </w:r>
      <w:r>
        <w:rPr>
          <w:rFonts w:ascii="Times New Roman" w:hAnsi="Times New Roman"/>
          <w:color w:val="000000"/>
          <w:sz w:val="20"/>
        </w:rPr>
        <w:t xml:space="preserve"> </w:t>
      </w:r>
      <w:r>
        <w:rPr>
          <w:rFonts w:ascii="Times New Roman" w:hAnsi="Times New Roman"/>
          <w:b w:val="false"/>
          <w:color w:val="000000"/>
          <w:sz w:val="20"/>
        </w:rPr>
        <w:t>portfolio companies and residual investments in two</w:t>
      </w:r>
      <w:r>
        <w:rPr>
          <w:rFonts w:ascii="Times New Roman" w:hAnsi="Times New Roman"/>
          <w:color w:val="000000"/>
          <w:sz w:val="20"/>
        </w:rPr>
        <w:t xml:space="preserve"> </w:t>
      </w:r>
      <w:r>
        <w:rPr>
          <w:rFonts w:ascii="Times New Roman" w:hAnsi="Times New Roman"/>
          <w:b w:val="false"/>
          <w:color w:val="000000"/>
          <w:sz w:val="20"/>
        </w:rPr>
        <w:t>portfolio companies that have sold their underlying operations. The aggregate fair value of the total</w:t>
      </w:r>
      <w:r>
        <w:rPr>
          <w:rFonts w:ascii="Times New Roman" w:hAnsi="Times New Roman"/>
          <w:color w:val="000000"/>
          <w:sz w:val="20"/>
        </w:rPr>
        <w:t xml:space="preserve"> </w:t>
      </w:r>
      <w:r>
        <w:rPr>
          <w:rFonts w:ascii="Times New Roman" w:hAnsi="Times New Roman"/>
          <w:b w:val="false"/>
          <w:color w:val="000000"/>
          <w:sz w:val="20"/>
        </w:rPr>
        <w:t>portfolio was $860,329</w:t>
      </w:r>
      <w:r>
        <w:rPr>
          <w:rFonts w:ascii="Times New Roman" w:hAnsi="Times New Roman"/>
          <w:color w:val="000000"/>
          <w:sz w:val="20"/>
        </w:rPr>
        <w:t xml:space="preserve"> </w:t>
      </w:r>
      <w:r>
        <w:rPr>
          <w:rFonts w:ascii="Times New Roman" w:hAnsi="Times New Roman"/>
          <w:b w:val="false"/>
          <w:color w:val="000000"/>
          <w:sz w:val="20"/>
        </w:rPr>
        <w:t>and the weighted average effective yield on the Company’s debt investments was 13.8%</w:t>
      </w:r>
      <w:r>
        <w:rPr>
          <w:rFonts w:ascii="Times New Roman" w:hAnsi="Times New Roman"/>
          <w:color w:val="000000"/>
          <w:sz w:val="20"/>
        </w:rPr>
        <w:t xml:space="preserve"> </w:t>
      </w:r>
      <w:r>
        <w:rPr>
          <w:rFonts w:ascii="Times New Roman" w:hAnsi="Times New Roman"/>
          <w:b w:val="false"/>
          <w:color w:val="000000"/>
          <w:sz w:val="20"/>
        </w:rPr>
        <w:t>as of such date. As of December 31, 2022, the Company held equity investments in 74.4%</w:t>
      </w:r>
      <w:r>
        <w:rPr>
          <w:rFonts w:ascii="Times New Roman" w:hAnsi="Times New Roman"/>
          <w:color w:val="000000"/>
          <w:sz w:val="20"/>
        </w:rPr>
        <w:t xml:space="preserve"> </w:t>
      </w:r>
      <w:r>
        <w:rPr>
          <w:rFonts w:ascii="Times New Roman" w:hAnsi="Times New Roman"/>
          <w:b w:val="false"/>
          <w:color w:val="000000"/>
          <w:sz w:val="20"/>
        </w:rPr>
        <w:t>of its portfolio companies and the average fully diluted equity ownership in those portfolio companies was 4.0%.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w:t>
      </w:r>
      <w:r>
        <w:rPr>
          <w:rFonts w:ascii="Times New Roman" w:hAnsi="Times New Roman"/>
          <w:color w:val="0070C0"/>
          <w:sz w:val="20"/>
        </w:rPr>
        <w:t xml:space="preserve"> </w:t>
      </w:r>
      <w:r>
        <w:rPr>
          <w:rFonts w:ascii="Times New Roman" w:hAnsi="Times New Roman"/>
          <w:b w:val="false"/>
          <w:color w:val="000000"/>
          <w:sz w:val="20"/>
        </w:rPr>
        <w:t>The weighted average yields were computed using the effective interest rates for debt investments at cost as of September 30, 2023 and December 31, 2022, including accretion of OID and debt investment origination fees, but excluding investments on non-accrual status and investments recorded as a secured borrowing, if any.</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Purchases of debt and equity investments for the nine months ended September 30, 2023 and 2022 totaled $204,049</w:t>
      </w:r>
      <w:r>
        <w:rPr>
          <w:rFonts w:ascii="Times New Roman" w:hAnsi="Times New Roman"/>
          <w:color w:val="000000"/>
          <w:sz w:val="20"/>
        </w:rPr>
        <w:t xml:space="preserve"> </w:t>
      </w:r>
      <w:r>
        <w:rPr>
          <w:rFonts w:ascii="Times New Roman" w:hAnsi="Times New Roman"/>
          <w:b w:val="false"/>
          <w:color w:val="000000"/>
          <w:sz w:val="20"/>
        </w:rPr>
        <w:t>and $267,950, respectively. Proceeds from sales and repayments, including principal, return of capital distributions and realized gains, of portfolio investments for the nine months ended September 30, 2023 and 2022 totaled $146,363</w:t>
      </w:r>
      <w:r>
        <w:rPr>
          <w:rFonts w:ascii="Times New Roman" w:hAnsi="Times New Roman"/>
          <w:color w:val="000000"/>
          <w:sz w:val="20"/>
        </w:rPr>
        <w:t xml:space="preserve"> </w:t>
      </w:r>
      <w:r>
        <w:rPr>
          <w:rFonts w:ascii="Times New Roman" w:hAnsi="Times New Roman"/>
          <w:b w:val="false"/>
          <w:color w:val="000000"/>
          <w:sz w:val="20"/>
        </w:rPr>
        <w:t>and $128,255, respectively.</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bookmarkStart w:id="10" w:name="fis_unidentified_table_8"/>
      <w:bookmarkEnd w:id="10"/>
      <w:r>
        <w:rPr>
          <w:rFonts w:ascii="Times New Roman" w:hAnsi="Times New Roman"/>
          <w:b w:val="false"/>
          <w:color w:val="000000"/>
          <w:sz w:val="20"/>
        </w:rPr>
        <w:t>Investments by type with corresponding percentage of total portfolio investments consisted of the following:</w:t>
      </w:r>
    </w:p>
    <w:tbl>
      <w:tblPr>
        <w:tblW w:w="10572" w:type="dxa"/>
        <w:jc w:val="left"/>
        <w:tblInd w:w="0" w:type="dxa"/>
        <w:tblLayout w:type="fixed"/>
        <w:tblCellMar>
          <w:top w:w="28" w:type="dxa"/>
          <w:left w:w="28" w:type="dxa"/>
          <w:bottom w:w="28" w:type="dxa"/>
          <w:right w:w="28" w:type="dxa"/>
        </w:tblCellMar>
      </w:tblPr>
      <w:tblGrid>
        <w:gridCol w:w="1051"/>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First Lien Debt</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522,289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56.3</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456,105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521,345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58.2</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54.7</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154,765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182,948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121,473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24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926,859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860,329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895,362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828,693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4"/>
        <w:gridCol w:w="9911"/>
      </w:tblGrid>
      <w:tr>
        <w:trPr/>
        <w:tc>
          <w:tcPr>
            <w:tcW w:w="294" w:type="dxa"/>
            <w:tcBorders/>
            <w:vAlign w:val="center"/>
          </w:tcPr>
          <w:p>
            <w:pPr>
              <w:pStyle w:val="TableContents"/>
              <w:bidi w:val="0"/>
              <w:spacing w:before="0" w:after="283"/>
              <w:jc w:val="left"/>
              <w:rPr>
                <w:sz w:val="4"/>
                <w:szCs w:val="4"/>
              </w:rPr>
            </w:pPr>
            <w:r>
              <w:rPr>
                <w:sz w:val="4"/>
                <w:szCs w:val="4"/>
              </w:rPr>
            </w:r>
          </w:p>
        </w:tc>
        <w:tc>
          <w:tcPr>
            <w:tcW w:w="9911" w:type="dxa"/>
            <w:tcBorders/>
            <w:vAlign w:val="center"/>
          </w:tcPr>
          <w:p>
            <w:pPr>
              <w:pStyle w:val="TableContents"/>
              <w:bidi w:val="0"/>
              <w:spacing w:before="0" w:after="283"/>
              <w:jc w:val="left"/>
              <w:rPr>
                <w:sz w:val="4"/>
                <w:szCs w:val="4"/>
              </w:rPr>
            </w:pPr>
            <w:r>
              <w:rPr>
                <w:sz w:val="4"/>
                <w:szCs w:val="4"/>
              </w:rPr>
            </w:r>
          </w:p>
        </w:tc>
      </w:tr>
      <w:tr>
        <w:trPr/>
        <w:tc>
          <w:tcPr>
            <w:tcW w:w="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w:t>
            </w:r>
          </w:p>
        </w:tc>
        <w:tc>
          <w:tcPr>
            <w:tcW w:w="9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Times New Roman" w:hAnsi="Times New Roman"/>
                <w:b w:val="false"/>
                <w:color w:val="000000"/>
                <w:sz w:val="16"/>
              </w:rPr>
              <w:t>Includes unitranche investments, which account for 41.0%</w:t>
            </w:r>
            <w:r>
              <w:rPr>
                <w:rFonts w:ascii="Times New Roman" w:hAnsi="Times New Roman"/>
                <w:color w:val="000000"/>
                <w:sz w:val="16"/>
              </w:rPr>
              <w:t> </w:t>
            </w:r>
            <w:r>
              <w:rPr>
                <w:rFonts w:ascii="Times New Roman" w:hAnsi="Times New Roman"/>
                <w:b w:val="false"/>
                <w:color w:val="000000"/>
                <w:sz w:val="16"/>
              </w:rPr>
              <w:t>and 42.4%</w:t>
            </w:r>
            <w:r>
              <w:rPr>
                <w:rFonts w:ascii="Times New Roman" w:hAnsi="Times New Roman"/>
                <w:color w:val="000000"/>
                <w:sz w:val="16"/>
              </w:rPr>
              <w:t> </w:t>
            </w:r>
            <w:r>
              <w:rPr>
                <w:rFonts w:ascii="Times New Roman" w:hAnsi="Times New Roman"/>
                <w:b w:val="false"/>
                <w:color w:val="000000"/>
                <w:sz w:val="16"/>
              </w:rPr>
              <w:t>of the Company's portfolio on a fair value and cost basis as of September 30, 2023, respectively. Includes unitranche investments, which account for 42.1%</w:t>
            </w:r>
            <w:r>
              <w:rPr>
                <w:rFonts w:ascii="Times New Roman" w:hAnsi="Times New Roman"/>
                <w:color w:val="000000"/>
                <w:sz w:val="16"/>
              </w:rPr>
              <w:t> </w:t>
            </w:r>
            <w:r>
              <w:rPr>
                <w:rFonts w:ascii="Times New Roman" w:hAnsi="Times New Roman"/>
                <w:b w:val="false"/>
                <w:color w:val="000000"/>
                <w:sz w:val="16"/>
              </w:rPr>
              <w:t>and 43.4%</w:t>
            </w:r>
            <w:r>
              <w:rPr>
                <w:rFonts w:ascii="Times New Roman" w:hAnsi="Times New Roman"/>
                <w:color w:val="000000"/>
                <w:sz w:val="16"/>
              </w:rPr>
              <w:t> </w:t>
            </w:r>
            <w:r>
              <w:rPr>
                <w:rFonts w:ascii="Times New Roman" w:hAnsi="Times New Roman"/>
                <w:b w:val="false"/>
                <w:color w:val="000000"/>
                <w:sz w:val="16"/>
              </w:rPr>
              <w:t>of the Company's portfolio on a fair value and cost basis as of December 31, 2022, respectively.</w:t>
            </w:r>
          </w:p>
        </w:tc>
      </w:tr>
    </w:tbl>
    <w:p>
      <w:pPr>
        <w:pStyle w:val="TextBody"/>
        <w:bidi w:val="0"/>
        <w:jc w:val="both"/>
        <w:rPr/>
      </w:pPr>
      <w:r>
        <w:rPr/>
        <w:t>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547" w:type="dxa"/>
        <w:jc w:val="left"/>
        <w:tblInd w:w="0" w:type="dxa"/>
        <w:tblLayout w:type="fixed"/>
        <w:tblCellMar>
          <w:top w:w="28" w:type="dxa"/>
          <w:left w:w="28" w:type="dxa"/>
          <w:bottom w:w="28" w:type="dxa"/>
          <w:right w:w="28" w:type="dxa"/>
        </w:tblCellMar>
      </w:tblPr>
      <w:tblGrid>
        <w:gridCol w:w="926"/>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291"/>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9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92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Midwest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15.9</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180,556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w:t>
            </w:r>
          </w:p>
        </w:tc>
        <w:tc>
          <w:tcPr>
            <w:tcW w:w="24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132,177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w:t>
            </w:r>
          </w:p>
        </w:tc>
        <w:tc>
          <w:tcPr>
            <w:tcW w:w="24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92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Southeast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294,840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265,902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281,638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31.1</w:t>
            </w:r>
          </w:p>
        </w:tc>
        <w:tc>
          <w:tcPr>
            <w:tcW w:w="24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92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Northeast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134,897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16.3</w:t>
            </w:r>
          </w:p>
        </w:tc>
        <w:tc>
          <w:tcPr>
            <w:tcW w:w="24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92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West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167,020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151,487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w:t>
            </w:r>
          </w:p>
        </w:tc>
        <w:tc>
          <w:tcPr>
            <w:tcW w:w="24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92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Southwest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122,519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159,936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w:t>
            </w:r>
          </w:p>
        </w:tc>
        <w:tc>
          <w:tcPr>
            <w:tcW w:w="24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9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Canada</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9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926,859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860,329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895,362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828,693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shows portfolio composition by type and by geographic region at fair value as a percentage of net assets.</w:t>
      </w:r>
    </w:p>
    <w:p>
      <w:pPr>
        <w:pStyle w:val="TextBody"/>
        <w:bidi w:val="0"/>
        <w:jc w:val="both"/>
        <w:rPr/>
      </w:pPr>
      <w:r>
        <w:rPr/>
        <w:t> </w:t>
      </w:r>
    </w:p>
    <w:tbl>
      <w:tblPr>
        <w:tblW w:w="9179" w:type="dxa"/>
        <w:jc w:val="left"/>
        <w:tblInd w:w="0" w:type="dxa"/>
        <w:tblLayout w:type="fixed"/>
        <w:tblCellMar>
          <w:top w:w="28" w:type="dxa"/>
          <w:left w:w="28" w:type="dxa"/>
          <w:bottom w:w="28" w:type="dxa"/>
          <w:right w:w="28" w:type="dxa"/>
        </w:tblCellMar>
      </w:tblPr>
      <w:tblGrid>
        <w:gridCol w:w="1426"/>
        <w:gridCol w:w="146"/>
        <w:gridCol w:w="252"/>
        <w:gridCol w:w="888"/>
        <w:gridCol w:w="241"/>
        <w:gridCol w:w="146"/>
        <w:gridCol w:w="146"/>
        <w:gridCol w:w="242"/>
        <w:gridCol w:w="853"/>
        <w:gridCol w:w="241"/>
        <w:gridCol w:w="146"/>
        <w:gridCol w:w="246"/>
        <w:gridCol w:w="1006"/>
        <w:gridCol w:w="146"/>
        <w:gridCol w:w="252"/>
        <w:gridCol w:w="888"/>
        <w:gridCol w:w="241"/>
        <w:gridCol w:w="146"/>
        <w:gridCol w:w="146"/>
        <w:gridCol w:w="242"/>
        <w:gridCol w:w="853"/>
        <w:gridCol w:w="28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34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Type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92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Geographic Region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86" w:type="dxa"/>
            <w:tcBorders/>
            <w:shd w:fill="FFFFFF" w:val="clear"/>
            <w:vAlign w:val="center"/>
          </w:tcPr>
          <w:p>
            <w:pPr>
              <w:pStyle w:val="TableContents"/>
              <w:bidi w:val="0"/>
              <w:spacing w:before="0" w:after="283"/>
              <w:jc w:val="center"/>
              <w:rPr/>
            </w:pPr>
            <w:r>
              <w:rPr/>
              <w:t> </w:t>
            </w:r>
          </w:p>
        </w:tc>
      </w:tr>
      <w:tr>
        <w:trPr/>
        <w:tc>
          <w:tcPr>
            <w:tcW w:w="1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95.2</w:t>
            </w:r>
          </w:p>
        </w:tc>
        <w:tc>
          <w:tcPr>
            <w:tcW w:w="24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95.0</w:t>
            </w:r>
          </w:p>
        </w:tc>
        <w:tc>
          <w:tcPr>
            <w:tcW w:w="24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United States</w:t>
            </w:r>
          </w:p>
        </w:tc>
        <w:tc>
          <w:tcPr>
            <w:tcW w:w="146" w:type="dxa"/>
            <w:tcBorders/>
            <w:shd w:fill="CCEEFF" w:val="clear"/>
            <w:vAlign w:val="center"/>
          </w:tcPr>
          <w:p>
            <w:pPr>
              <w:pStyle w:val="TableContents"/>
              <w:bidi w:val="0"/>
              <w:spacing w:before="0" w:after="283"/>
              <w:jc w:val="left"/>
              <w:rPr/>
            </w:pPr>
            <w:r>
              <w:rPr/>
              <w:t> </w:t>
            </w:r>
          </w:p>
        </w:tc>
        <w:tc>
          <w:tcPr>
            <w:tcW w:w="1140" w:type="dxa"/>
            <w:gridSpan w:val="2"/>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5" w:type="dxa"/>
            <w:gridSpan w:val="2"/>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00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Midwest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26.8</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37.6</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42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22.1</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21.1</w:t>
            </w:r>
          </w:p>
        </w:tc>
        <w:tc>
          <w:tcPr>
            <w:tcW w:w="241" w:type="dxa"/>
            <w:tcBorders/>
            <w:shd w:fill="CCEE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006" w:type="dxa"/>
            <w:tcBorders/>
            <w:shd w:fill="CCEE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Southeast</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53.7</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55.4</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00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Northeast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w:t>
            </w:r>
          </w:p>
        </w:tc>
        <w:tc>
          <w:tcPr>
            <w:tcW w:w="286" w:type="dxa"/>
            <w:tcBorders/>
            <w:shd w:fill="FFFFFF" w:val="clear"/>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Warrants</w:t>
            </w:r>
          </w:p>
        </w:tc>
        <w:tc>
          <w:tcPr>
            <w:tcW w:w="146" w:type="dxa"/>
            <w:tcBorders/>
            <w:shd w:fill="CCEEFF" w:val="clear"/>
            <w:vAlign w:val="center"/>
          </w:tcPr>
          <w:p>
            <w:pPr>
              <w:pStyle w:val="TableContents"/>
              <w:bidi w:val="0"/>
              <w:spacing w:before="0" w:after="283"/>
              <w:jc w:val="left"/>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0.7</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006" w:type="dxa"/>
            <w:tcBorders/>
            <w:shd w:fill="CCEE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West</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30.5</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31.5</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169.0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00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Southwest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w:t>
            </w:r>
          </w:p>
        </w:tc>
        <w:tc>
          <w:tcPr>
            <w:tcW w:w="286" w:type="dxa"/>
            <w:tcBorders/>
            <w:shd w:fill="FFFF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Canada</w:t>
            </w:r>
          </w:p>
        </w:tc>
        <w:tc>
          <w:tcPr>
            <w:tcW w:w="146" w:type="dxa"/>
            <w:tcBorders/>
            <w:shd w:fill="CCEEFF" w:val="clear"/>
            <w:vAlign w:val="center"/>
          </w:tcPr>
          <w:p>
            <w:pPr>
              <w:pStyle w:val="TableContents"/>
              <w:bidi w:val="0"/>
              <w:spacing w:before="0" w:after="283"/>
              <w:jc w:val="left"/>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169.0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b w:val="false"/>
          <w:color w:val="000000"/>
          <w:sz w:val="20"/>
        </w:rPr>
        <w:t>As of September 30, 2023 and December 31, 2022, the Company had no</w:t>
      </w:r>
      <w:r>
        <w:rPr>
          <w:rFonts w:ascii="Times New Roman" w:hAnsi="Times New Roman"/>
          <w:color w:val="000000"/>
          <w:sz w:val="20"/>
        </w:rPr>
        <w:t xml:space="preserve"> </w:t>
      </w:r>
      <w:r>
        <w:rPr>
          <w:rFonts w:ascii="Times New Roman" w:hAnsi="Times New Roman"/>
          <w:b w:val="false"/>
          <w:color w:val="000000"/>
          <w:sz w:val="20"/>
        </w:rPr>
        <w:t>portfolio company investments that represented more than 10% of the total investment portfolio on a fair value or cost basis. As of September 30, 2023, the Company had no</w:t>
      </w:r>
      <w:r>
        <w:rPr>
          <w:rFonts w:ascii="Times New Roman" w:hAnsi="Times New Roman"/>
          <w:color w:val="000000"/>
          <w:sz w:val="20"/>
        </w:rPr>
        <w:t xml:space="preserve"> </w:t>
      </w:r>
      <w:r>
        <w:rPr>
          <w:rFonts w:ascii="Times New Roman" w:hAnsi="Times New Roman"/>
          <w:b w:val="false"/>
          <w:color w:val="000000"/>
          <w:sz w:val="20"/>
        </w:rPr>
        <w:t>investments that exceeded 5% of total assets. As of December 31, 2022, the Company's investment in Pfanstiehl, Inc. totaled $51,992</w:t>
      </w:r>
      <w:r>
        <w:rPr>
          <w:rFonts w:ascii="Times New Roman" w:hAnsi="Times New Roman"/>
          <w:color w:val="000000"/>
          <w:sz w:val="20"/>
        </w:rPr>
        <w:t xml:space="preserve"> </w:t>
      </w:r>
      <w:r>
        <w:rPr>
          <w:rFonts w:ascii="Times New Roman" w:hAnsi="Times New Roman"/>
          <w:b w:val="false"/>
          <w:color w:val="000000"/>
          <w:sz w:val="20"/>
        </w:rPr>
        <w:t>or 5.6% of total assets on a fair value basis.</w:t>
      </w:r>
    </w:p>
    <w:p>
      <w:pPr>
        <w:pStyle w:val="TextBody"/>
        <w:bidi w:val="0"/>
        <w:jc w:val="both"/>
        <w:rPr>
          <w:rFonts w:ascii="Times New Roman" w:hAnsi="Times New Roman"/>
          <w:sz w:val="20"/>
        </w:rPr>
      </w:pPr>
      <w:r>
        <w:rPr>
          <w:rFonts w:ascii="Times New Roman" w:hAnsi="Times New Roman"/>
          <w:b w:val="false"/>
          <w:color w:val="000000"/>
          <w:sz w:val="20"/>
        </w:rPr>
        <w:t>As of September 30, 2023 and December 31, 2022,</w:t>
      </w:r>
      <w:r>
        <w:rPr>
          <w:rFonts w:ascii="Times New Roman" w:hAnsi="Times New Roman"/>
          <w:color w:val="000000"/>
          <w:sz w:val="20"/>
        </w:rPr>
        <w:t xml:space="preserve"> </w:t>
      </w:r>
      <w:r>
        <w:rPr>
          <w:rFonts w:ascii="Times New Roman" w:hAnsi="Times New Roman"/>
          <w:b w:val="false"/>
          <w:color w:val="000000"/>
          <w:sz w:val="20"/>
        </w:rPr>
        <w:t>the Company had debt investments in four</w:t>
      </w:r>
      <w:r>
        <w:rPr>
          <w:rFonts w:ascii="Times New Roman" w:hAnsi="Times New Roman"/>
          <w:color w:val="000000"/>
          <w:sz w:val="20"/>
        </w:rPr>
        <w:t xml:space="preserve"> </w:t>
      </w:r>
      <w:r>
        <w:rPr>
          <w:rFonts w:ascii="Times New Roman" w:hAnsi="Times New Roman"/>
          <w:b w:val="false"/>
          <w:color w:val="000000"/>
          <w:sz w:val="20"/>
        </w:rPr>
        <w:t>portfolio companies on non-accrual status.</w:t>
      </w:r>
    </w:p>
    <w:p>
      <w:pPr>
        <w:pStyle w:val="TextBody"/>
        <w:bidi w:val="0"/>
        <w:jc w:val="both"/>
        <w:rPr/>
      </w:pPr>
      <w:r>
        <w:rPr/>
        <w:t> </w:t>
      </w:r>
    </w:p>
    <w:tbl>
      <w:tblPr>
        <w:tblW w:w="8303" w:type="dxa"/>
        <w:jc w:val="left"/>
        <w:tblInd w:w="0" w:type="dxa"/>
        <w:tblLayout w:type="fixed"/>
        <w:tblCellMar>
          <w:top w:w="28" w:type="dxa"/>
          <w:left w:w="28" w:type="dxa"/>
          <w:bottom w:w="28" w:type="dxa"/>
          <w:right w:w="28" w:type="dxa"/>
        </w:tblCellMar>
      </w:tblPr>
      <w:tblGrid>
        <w:gridCol w:w="3916"/>
        <w:gridCol w:w="146"/>
        <w:gridCol w:w="181"/>
        <w:gridCol w:w="511"/>
        <w:gridCol w:w="146"/>
        <w:gridCol w:w="211"/>
        <w:gridCol w:w="181"/>
        <w:gridCol w:w="511"/>
        <w:gridCol w:w="146"/>
        <w:gridCol w:w="211"/>
        <w:gridCol w:w="181"/>
        <w:gridCol w:w="511"/>
        <w:gridCol w:w="146"/>
        <w:gridCol w:w="211"/>
        <w:gridCol w:w="181"/>
        <w:gridCol w:w="511"/>
        <w:gridCol w:w="146"/>
        <w:gridCol w:w="25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7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r>
      <w:tr>
        <w:trPr/>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r>
      <w:tr>
        <w:trPr/>
        <w:tc>
          <w:tcPr>
            <w:tcW w:w="3916"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EBL, LLC (EbLens)</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(2)</w:t>
            </w:r>
          </w:p>
        </w:tc>
        <w:tc>
          <w:tcPr>
            <w:tcW w:w="181"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(2)</w:t>
            </w:r>
          </w:p>
        </w:tc>
        <w:tc>
          <w:tcPr>
            <w:tcW w:w="181"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9,332</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US GreenFiber,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5,223</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r>
      <w:tr>
        <w:trPr/>
        <w:tc>
          <w:tcPr>
            <w:tcW w:w="3916"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K2 Merger Agreement Agent, LLC (fka K2 Industrial Services, Inc.)</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1,508</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2,368</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2,123</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2,368</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Allredi, LLC (fka Marco Group International OpCo,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(3)</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(3)</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8,144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10,281</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r>
      <w:tr>
        <w:trPr/>
        <w:tc>
          <w:tcPr>
            <w:tcW w:w="3916"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Suited Connector LLC</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5,025</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15,933</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(1)</w:t>
            </w:r>
          </w:p>
        </w:tc>
        <w:tc>
          <w:tcPr>
            <w:tcW w:w="181"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(1)</w:t>
            </w:r>
          </w:p>
        </w:tc>
      </w:tr>
      <w:tr>
        <w:trPr/>
        <w:tc>
          <w:tcPr>
            <w:tcW w:w="391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Virtex Enterprises, LP</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(1)</w:t>
            </w:r>
          </w:p>
        </w:tc>
      </w:tr>
      <w:tr>
        <w:trPr/>
        <w:tc>
          <w:tcPr>
            <w:tcW w:w="3916"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Total</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12,492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34,787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10,267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27,204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r>
    </w:tbl>
    <w:p>
      <w:pPr>
        <w:pStyle w:val="TextBody"/>
        <w:bidi w:val="0"/>
        <w:jc w:val="both"/>
        <w:rPr/>
      </w:pPr>
      <w:r>
        <w:rPr/>
        <w:t> </w:t>
      </w:r>
    </w:p>
    <w:tbl>
      <w:tblPr>
        <w:tblW w:w="7067" w:type="dxa"/>
        <w:jc w:val="left"/>
        <w:tblInd w:w="0" w:type="dxa"/>
        <w:tblLayout w:type="fixed"/>
        <w:tblCellMar>
          <w:top w:w="28" w:type="dxa"/>
          <w:left w:w="28" w:type="dxa"/>
          <w:bottom w:w="28" w:type="dxa"/>
          <w:right w:w="28" w:type="dxa"/>
        </w:tblCellMar>
      </w:tblPr>
      <w:tblGrid>
        <w:gridCol w:w="331"/>
        <w:gridCol w:w="6736"/>
      </w:tblGrid>
      <w:tr>
        <w:trPr/>
        <w:tc>
          <w:tcPr>
            <w:tcW w:w="331" w:type="dxa"/>
            <w:tcBorders/>
            <w:vAlign w:val="center"/>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jc w:val="left"/>
              <w:rPr>
                <w:rFonts w:ascii="Times New Roman" w:hAnsi="Times New Roman"/>
                <w:b w:val="false"/>
                <w:color w:val="000000"/>
                <w:sz w:val="16"/>
              </w:rPr>
            </w:pPr>
            <w:r>
              <w:rPr>
                <w:rFonts w:ascii="Times New Roman" w:hAnsi="Times New Roman"/>
                <w:b w:val="false"/>
                <w:color w:val="000000"/>
                <w:sz w:val="16"/>
              </w:rPr>
              <w:t>(1)</w:t>
            </w:r>
          </w:p>
          <w:p>
            <w:pPr>
              <w:pStyle w:val="TableContents"/>
              <w:bidi w:val="0"/>
              <w:jc w:val="left"/>
              <w:rPr>
                <w:rFonts w:ascii="Times New Roman" w:hAnsi="Times New Roman"/>
                <w:b w:val="false"/>
                <w:color w:val="000000"/>
                <w:sz w:val="16"/>
              </w:rPr>
            </w:pPr>
            <w:r>
              <w:rPr>
                <w:rFonts w:ascii="Times New Roman" w:hAnsi="Times New Roman"/>
                <w:b w:val="false"/>
                <w:color w:val="000000"/>
                <w:sz w:val="16"/>
              </w:rPr>
              <w:t>(2)</w:t>
            </w:r>
          </w:p>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w:t>
            </w:r>
          </w:p>
        </w:tc>
        <w:tc>
          <w:tcPr>
            <w:tcW w:w="6736" w:type="dxa"/>
            <w:tcBorders/>
            <w:tcMar>
              <w:top w:w="0" w:type="dxa"/>
              <w:left w:w="0" w:type="dxa"/>
              <w:bottom w:w="0" w:type="dxa"/>
              <w:right w:w="0" w:type="dxa"/>
            </w:tcMar>
            <w:vAlign w:val="center"/>
          </w:tcPr>
          <w:p>
            <w:pPr>
              <w:pStyle w:val="TableContents"/>
              <w:bidi w:val="0"/>
              <w:jc w:val="both"/>
              <w:rPr>
                <w:rFonts w:ascii="Times New Roman" w:hAnsi="Times New Roman"/>
                <w:b w:val="false"/>
                <w:color w:val="000000"/>
                <w:sz w:val="16"/>
              </w:rPr>
            </w:pPr>
            <w:r>
              <w:rPr>
                <w:rFonts w:ascii="Times New Roman" w:hAnsi="Times New Roman"/>
                <w:b w:val="false"/>
                <w:color w:val="000000"/>
                <w:sz w:val="16"/>
              </w:rPr>
              <w:t>Debt investment in portfolio company was not on non-accrual status as of December 31, 2022.</w:t>
            </w:r>
          </w:p>
          <w:p>
            <w:pPr>
              <w:pStyle w:val="TableContents"/>
              <w:bidi w:val="0"/>
              <w:jc w:val="both"/>
              <w:rPr>
                <w:rFonts w:ascii="Times New Roman" w:hAnsi="Times New Roman"/>
                <w:b w:val="false"/>
                <w:color w:val="000000"/>
                <w:sz w:val="16"/>
              </w:rPr>
            </w:pPr>
            <w:r>
              <w:rPr>
                <w:rFonts w:ascii="Times New Roman" w:hAnsi="Times New Roman"/>
                <w:b w:val="false"/>
                <w:color w:val="000000"/>
                <w:sz w:val="16"/>
              </w:rPr>
              <w:t>Portfolio company debt investment was not held as of September 30, 2023.</w:t>
            </w:r>
          </w:p>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Portfolio company debt investment was not on non-accrual status as of September 30, 2023.</w:t>
            </w:r>
          </w:p>
        </w:tc>
      </w:tr>
    </w:tbl>
    <w:p>
      <w:pPr>
        <w:pStyle w:val="TextBody"/>
        <w:bidi w:val="0"/>
        <w:spacing w:before="0" w:after="180"/>
        <w:jc w:val="both"/>
        <w:rPr/>
      </w:pPr>
      <w:r>
        <w:rPr/>
        <w:t> </w:t>
      </w:r>
    </w:p>
    <w:p>
      <w:pPr>
        <w:pStyle w:val="TextBody"/>
        <w:bidi w:val="0"/>
        <w:spacing w:before="0" w:after="180"/>
        <w:jc w:val="both"/>
        <w:rPr>
          <w:rFonts w:ascii="Times New Roman" w:hAnsi="Times New Roman"/>
          <w:b w:val="false"/>
          <w:i/>
          <w:color w:val="000000"/>
          <w:sz w:val="20"/>
        </w:rPr>
      </w:pPr>
      <w:r>
        <w:rPr>
          <w:rFonts w:ascii="Times New Roman" w:hAnsi="Times New Roman"/>
          <w:b w:val="false"/>
          <w:i/>
          <w:color w:val="000000"/>
          <w:sz w:val="20"/>
        </w:rPr>
        <w:t>Consolidated Schedule of Investments In and Advances To Affiliates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table below represents the fair value of control and affiliate investments as of December 31, 2022 and any additions and reductions made to such investments during the nine months ended September 30, 2023, the ending fair value as of September 30, 2023, and the total investment income earned on such investments during the period.</w:t>
      </w:r>
    </w:p>
    <w:tbl>
      <w:tblPr>
        <w:tblW w:w="10205" w:type="dxa"/>
        <w:jc w:val="left"/>
        <w:tblInd w:w="0" w:type="dxa"/>
        <w:tblLayout w:type="fixed"/>
        <w:tblCellMar>
          <w:top w:w="28" w:type="dxa"/>
          <w:left w:w="28" w:type="dxa"/>
          <w:bottom w:w="28" w:type="dxa"/>
          <w:right w:w="28" w:type="dxa"/>
        </w:tblCellMar>
      </w:tblPr>
      <w:tblGrid>
        <w:gridCol w:w="630"/>
        <w:gridCol w:w="146"/>
        <w:gridCol w:w="146"/>
        <w:gridCol w:w="166"/>
        <w:gridCol w:w="401"/>
        <w:gridCol w:w="146"/>
        <w:gridCol w:w="146"/>
        <w:gridCol w:w="151"/>
        <w:gridCol w:w="407"/>
        <w:gridCol w:w="146"/>
        <w:gridCol w:w="146"/>
        <w:gridCol w:w="151"/>
        <w:gridCol w:w="362"/>
        <w:gridCol w:w="146"/>
        <w:gridCol w:w="146"/>
        <w:gridCol w:w="151"/>
        <w:gridCol w:w="392"/>
        <w:gridCol w:w="146"/>
        <w:gridCol w:w="146"/>
        <w:gridCol w:w="156"/>
        <w:gridCol w:w="374"/>
        <w:gridCol w:w="146"/>
        <w:gridCol w:w="146"/>
        <w:gridCol w:w="152"/>
        <w:gridCol w:w="394"/>
        <w:gridCol w:w="146"/>
        <w:gridCol w:w="146"/>
        <w:gridCol w:w="193"/>
        <w:gridCol w:w="463"/>
        <w:gridCol w:w="146"/>
        <w:gridCol w:w="146"/>
        <w:gridCol w:w="151"/>
        <w:gridCol w:w="347"/>
        <w:gridCol w:w="146"/>
        <w:gridCol w:w="146"/>
        <w:gridCol w:w="229"/>
        <w:gridCol w:w="526"/>
        <w:gridCol w:w="146"/>
        <w:gridCol w:w="146"/>
        <w:gridCol w:w="151"/>
        <w:gridCol w:w="347"/>
        <w:gridCol w:w="146"/>
        <w:gridCol w:w="146"/>
        <w:gridCol w:w="151"/>
        <w:gridCol w:w="346"/>
        <w:gridCol w:w="202"/>
      </w:tblGrid>
      <w:tr>
        <w:trPr/>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3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1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Nine Months Ended September 30, 2023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9"/>
              </w:rPr>
            </w:pPr>
            <w:r>
              <w:rPr>
                <w:rFonts w:ascii="Times New Roman" w:hAnsi="Times New Roman"/>
                <w:b/>
                <w:color w:val="000000"/>
                <w:sz w:val="9"/>
              </w:rPr>
              <w:t xml:space="preserve">Portfolio Company </w:t>
            </w:r>
            <w:r>
              <w:rPr>
                <w:rFonts w:ascii="Times New Roman" w:hAnsi="Times New Roman"/>
                <w:b/>
                <w:color w:val="000000"/>
                <w:sz w:val="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September 30, 2023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December 31, 2022</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Gross Additions </w:t>
            </w:r>
            <w:r>
              <w:rPr>
                <w:rFonts w:ascii="Times New Roman" w:hAnsi="Times New Roman"/>
                <w:b/>
                <w:color w:val="000000"/>
                <w:sz w:val="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Gross Reductions </w:t>
            </w:r>
            <w:r>
              <w:rPr>
                <w:rFonts w:ascii="Times New Roman" w:hAnsi="Times New Roman"/>
                <w:b/>
                <w:color w:val="000000"/>
                <w:sz w:val="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September 30, 2023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Net Realized Gains (Losses) </w:t>
            </w:r>
            <w:r>
              <w:rPr>
                <w:rFonts w:ascii="Times New Roman" w:hAnsi="Times New Roman"/>
                <w:b/>
                <w:color w:val="000000"/>
                <w:sz w:val="6"/>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Fee Income</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 w:type="dxa"/>
            <w:tcBorders/>
            <w:shd w:fill="CCEEFF" w:val="cle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Control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67"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58"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13"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43"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30"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4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5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498"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755"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498"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497" w:type="dxa"/>
            <w:gridSpan w:val="2"/>
            <w:tcBorders/>
            <w:shd w:fill="CCEEFF" w:val="clear"/>
            <w:vAlign w:val="center"/>
          </w:tcPr>
          <w:p>
            <w:pPr>
              <w:pStyle w:val="TableContents"/>
              <w:bidi w:val="0"/>
              <w:spacing w:before="0" w:after="283"/>
              <w:jc w:val="center"/>
              <w:rPr/>
            </w:pPr>
            <w:r>
              <w:rPr/>
              <w:t> </w:t>
            </w:r>
          </w:p>
        </w:tc>
        <w:tc>
          <w:tcPr>
            <w:tcW w:w="202" w:type="dxa"/>
            <w:tcBorders/>
            <w:shd w:fill="CCEEFF" w:val="clear"/>
            <w:vAlign w:val="center"/>
          </w:tcPr>
          <w:p>
            <w:pPr>
              <w:pStyle w:val="TableContents"/>
              <w:bidi w:val="0"/>
              <w:spacing w:before="0" w:after="283"/>
              <w:jc w:val="center"/>
              <w:rPr/>
            </w:pPr>
            <w:r>
              <w:rPr/>
              <w:t> </w:t>
            </w:r>
          </w:p>
        </w:tc>
      </w:tr>
      <w:tr>
        <w:trPr/>
        <w:tc>
          <w:tcPr>
            <w:tcW w:w="630"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EBL, LLC (EbLens)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4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4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62"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11,458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92"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(11,458</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146" w:type="dxa"/>
            <w:tcBorders/>
            <w:shd w:fill="FFFFFF" w:val="cle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94"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(11,458</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146" w:type="dxa"/>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463"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11,083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left"/>
              <w:rPr/>
            </w:pPr>
            <w:r>
              <w:rPr/>
              <w:t> </w:t>
            </w:r>
          </w:p>
        </w:tc>
      </w:tr>
      <w:tr>
        <w:trPr/>
        <w:tc>
          <w:tcPr>
            <w:tcW w:w="630" w:type="dxa"/>
            <w:tcBorders/>
            <w:shd w:fill="CCEE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US GreenFiber, LLC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5,226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Total Control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5,226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11,458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(11,458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146" w:type="dxa"/>
            <w:tcBorders/>
            <w:shd w:fill="FFFFFF" w:val="clear"/>
            <w:vAlign w:val="center"/>
          </w:tcPr>
          <w:p>
            <w:pPr>
              <w:pStyle w:val="TableContents"/>
              <w:bidi w:val="0"/>
              <w:spacing w:before="0" w:after="283"/>
              <w:jc w:val="center"/>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(11,458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146" w:type="dxa"/>
            <w:tcBorders/>
            <w:shd w:fill="FFFFFF" w:val="clear"/>
            <w:vAlign w:val="center"/>
          </w:tcPr>
          <w:p>
            <w:pPr>
              <w:pStyle w:val="TableContents"/>
              <w:bidi w:val="0"/>
              <w:spacing w:before="0" w:after="283"/>
              <w:jc w:val="center"/>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11,083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 w:type="dxa"/>
            <w:tcBorders/>
            <w:shd w:fill="CCEEFF" w:val="cle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Affiliate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67"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58"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13"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43"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30"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4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5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498"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755"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498"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497" w:type="dxa"/>
            <w:gridSpan w:val="2"/>
            <w:tcBorders/>
            <w:shd w:fill="CCEEFF" w:val="clear"/>
            <w:vAlign w:val="center"/>
          </w:tcPr>
          <w:p>
            <w:pPr>
              <w:pStyle w:val="TableContents"/>
              <w:bidi w:val="0"/>
              <w:spacing w:before="0" w:after="283"/>
              <w:jc w:val="center"/>
              <w:rPr/>
            </w:pPr>
            <w:r>
              <w:rPr/>
              <w:t> </w:t>
            </w:r>
          </w:p>
        </w:tc>
        <w:tc>
          <w:tcPr>
            <w:tcW w:w="202" w:type="dxa"/>
            <w:tcBorders/>
            <w:shd w:fill="CCEEFF" w:val="clear"/>
            <w:vAlign w:val="center"/>
          </w:tcPr>
          <w:p>
            <w:pPr>
              <w:pStyle w:val="TableContents"/>
              <w:bidi w:val="0"/>
              <w:spacing w:before="0" w:after="283"/>
              <w:jc w:val="center"/>
              <w:rPr/>
            </w:pPr>
            <w:r>
              <w:rPr/>
              <w:t> </w:t>
            </w:r>
          </w:p>
        </w:tc>
      </w:tr>
      <w:tr>
        <w:trPr/>
        <w:tc>
          <w:tcPr>
            <w:tcW w:w="630"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Applegate Greenfiber Intermediate Inc. (fka US GreenFiber,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401"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9,602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407"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23,168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62"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642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74"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23,810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643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47"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728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left"/>
              <w:rPr/>
            </w:pPr>
            <w:r>
              <w:rPr/>
              <w:t> </w:t>
            </w:r>
          </w:p>
        </w:tc>
      </w:tr>
      <w:tr>
        <w:trPr/>
        <w:tc>
          <w:tcPr>
            <w:tcW w:w="630" w:type="dxa"/>
            <w:tcBorders/>
            <w:shd w:fill="CCEE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Medsurant Holdings, LLC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2,540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2,130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(73</w:t>
            </w:r>
          </w:p>
        </w:tc>
        <w:tc>
          <w:tcPr>
            <w:tcW w:w="146" w:type="dxa"/>
            <w:tcBorders/>
            <w:shd w:fill="CCEE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146" w:type="dxa"/>
            <w:tcBorders/>
            <w:shd w:fill="CCEEFF" w:val="clear"/>
            <w:vAlign w:val="center"/>
          </w:tcPr>
          <w:p>
            <w:pPr>
              <w:pStyle w:val="TableContents"/>
              <w:bidi w:val="0"/>
              <w:spacing w:before="0" w:after="283"/>
              <w:jc w:val="center"/>
              <w:rPr/>
            </w:pPr>
            <w:r>
              <w:rPr/>
              <w:t> </w:t>
            </w:r>
          </w:p>
        </w:tc>
        <w:tc>
          <w:tcPr>
            <w:tcW w:w="156"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4,597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2"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3"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2,130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29"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202" w:type="dxa"/>
            <w:tcBorders/>
            <w:shd w:fill="CCEE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Pfanstiehl, Inc.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51,992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(18,268</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146" w:type="dxa"/>
            <w:tcBorders/>
            <w:shd w:fill="FFFFFF" w:val="cle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33,770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(8,268</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left"/>
              <w:rPr/>
            </w:pPr>
            <w:r>
              <w:rPr/>
              <w:t> </w:t>
            </w:r>
          </w:p>
        </w:tc>
      </w:tr>
      <w:tr>
        <w:trPr/>
        <w:tc>
          <w:tcPr>
            <w:tcW w:w="630" w:type="dxa"/>
            <w:tcBorders/>
            <w:shd w:fill="CCEE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Spectra A&amp;D Acquisition, Inc. (fka FDS Avionics Corp.)</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19,118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2,203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(5,210</w:t>
            </w:r>
          </w:p>
        </w:tc>
        <w:tc>
          <w:tcPr>
            <w:tcW w:w="146" w:type="dxa"/>
            <w:tcBorders/>
            <w:shd w:fill="CCEE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146" w:type="dxa"/>
            <w:tcBorders/>
            <w:shd w:fill="CCEEFF" w:val="clear"/>
            <w:vAlign w:val="center"/>
          </w:tcPr>
          <w:p>
            <w:pPr>
              <w:pStyle w:val="TableContents"/>
              <w:bidi w:val="0"/>
              <w:spacing w:before="0" w:after="283"/>
              <w:jc w:val="center"/>
              <w:rPr/>
            </w:pPr>
            <w:r>
              <w:rPr/>
              <w:t> </w:t>
            </w:r>
          </w:p>
        </w:tc>
        <w:tc>
          <w:tcPr>
            <w:tcW w:w="156"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16,111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2"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3"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(3,711</w:t>
            </w:r>
          </w:p>
        </w:tc>
        <w:tc>
          <w:tcPr>
            <w:tcW w:w="146" w:type="dxa"/>
            <w:tcBorders/>
            <w:shd w:fill="CCEE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146" w:type="dxa"/>
            <w:tcBorders/>
            <w:shd w:fill="CCEEFF" w:val="clear"/>
            <w:vAlign w:val="center"/>
          </w:tcPr>
          <w:p>
            <w:pPr>
              <w:pStyle w:val="TableContents"/>
              <w:bidi w:val="0"/>
              <w:spacing w:before="0" w:after="283"/>
              <w:jc w:val="center"/>
              <w:rPr/>
            </w:pPr>
            <w:r>
              <w:rPr/>
              <w:t> </w:t>
            </w:r>
          </w:p>
        </w:tc>
        <w:tc>
          <w:tcPr>
            <w:tcW w:w="151"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1,767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29"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1"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60</w:t>
            </w:r>
          </w:p>
        </w:tc>
        <w:tc>
          <w:tcPr>
            <w:tcW w:w="202" w:type="dxa"/>
            <w:tcBorders/>
            <w:shd w:fill="CCEE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Steward Holding LLC (dba Steward Advanced Materials)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4,772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4,869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 w:type="dxa"/>
            <w:tcBorders/>
            <w:shd w:fill="CCEEFF" w:val="cle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Total Affiliate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4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24,602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4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101,590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5,118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9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(23,551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146"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83,157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4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(9,109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146"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3,168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5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519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9"/>
              </w:rPr>
            </w:pPr>
            <w:r>
              <w:rPr>
                <w:rFonts w:ascii="Times New Roman" w:hAnsi="Times New Roman"/>
                <w:b w:val="false"/>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9"/>
              </w:rPr>
            </w:pPr>
            <w:r>
              <w:rPr>
                <w:rFonts w:ascii="Times New Roman" w:hAnsi="Times New Roman"/>
                <w:b w:val="false"/>
                <w:color w:val="000000"/>
                <w:sz w:val="9"/>
              </w:rPr>
              <w:t>60</w:t>
            </w:r>
          </w:p>
        </w:tc>
        <w:tc>
          <w:tcPr>
            <w:tcW w:w="20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300"/>
        <w:gridCol w:w="9905"/>
      </w:tblGrid>
      <w:tr>
        <w:trPr/>
        <w:tc>
          <w:tcPr>
            <w:tcW w:w="300" w:type="dxa"/>
            <w:tcBorders/>
            <w:vAlign w:val="center"/>
          </w:tcPr>
          <w:p>
            <w:pPr>
              <w:pStyle w:val="TableContents"/>
              <w:bidi w:val="0"/>
              <w:spacing w:before="0" w:after="283"/>
              <w:jc w:val="left"/>
              <w:rPr>
                <w:sz w:val="4"/>
                <w:szCs w:val="4"/>
              </w:rPr>
            </w:pPr>
            <w:r>
              <w:rPr>
                <w:sz w:val="4"/>
                <w:szCs w:val="4"/>
              </w:rPr>
            </w:r>
          </w:p>
        </w:tc>
        <w:tc>
          <w:tcPr>
            <w:tcW w:w="9905" w:type="dxa"/>
            <w:tcBorders/>
            <w:vAlign w:val="center"/>
          </w:tcPr>
          <w:p>
            <w:pPr>
              <w:pStyle w:val="TableContents"/>
              <w:bidi w:val="0"/>
              <w:spacing w:before="0" w:after="283"/>
              <w:jc w:val="left"/>
              <w:rPr>
                <w:sz w:val="4"/>
                <w:szCs w:val="4"/>
              </w:rPr>
            </w:pPr>
            <w:r>
              <w:rPr>
                <w:sz w:val="4"/>
                <w:szCs w:val="4"/>
              </w:rPr>
            </w:r>
          </w:p>
        </w:tc>
      </w:tr>
      <w:tr>
        <w:trPr/>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w:t>
            </w:r>
          </w:p>
        </w:tc>
        <w:tc>
          <w:tcPr>
            <w:tcW w:w="9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The investment type, industry, ownership detail for equity investments, interest rate and maturity date for debt investments, and if the investment is income producing is disclosed in the consolidated schedule of investments.</w:t>
            </w:r>
          </w:p>
        </w:tc>
      </w:tr>
      <w:tr>
        <w:trPr/>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w:t>
            </w:r>
          </w:p>
        </w:tc>
        <w:tc>
          <w:tcPr>
            <w:tcW w:w="9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w:t>
            </w:r>
          </w:p>
        </w:tc>
        <w:tc>
          <w:tcPr>
            <w:tcW w:w="9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(4)</w:t>
            </w:r>
            <w:r>
              <w:rPr>
                <w:rFonts w:ascii="Times New Roman" w:hAnsi="Times New Roman"/>
                <w:color w:val="000000"/>
                <w:sz w:val="16"/>
              </w:rPr>
              <w:t xml:space="preserve"> </w:t>
            </w:r>
          </w:p>
        </w:tc>
        <w:tc>
          <w:tcPr>
            <w:tcW w:w="9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bl>
    <w:p>
      <w:pPr>
        <w:pStyle w:val="TextBody"/>
        <w:bidi w:val="0"/>
        <w:jc w:val="left"/>
        <w:rPr/>
      </w:pPr>
      <w:r>
        <w:rPr/>
        <w:t> </w:t>
      </w:r>
    </w:p>
    <w:p>
      <w:pPr>
        <w:pStyle w:val="TextBody"/>
        <w:bidi w:val="0"/>
        <w:spacing w:before="0" w:after="180"/>
        <w:jc w:val="both"/>
        <w:rPr>
          <w:rFonts w:ascii="Times New Roman" w:hAnsi="Times New Roman"/>
          <w:b w:val="false"/>
          <w:color w:val="000000"/>
          <w:sz w:val="20"/>
        </w:rPr>
      </w:pPr>
      <w:r>
        <w:rPr>
          <w:rFonts w:ascii="Times New Roman" w:hAnsi="Times New Roman"/>
          <w:b w:val="false"/>
          <w:color w:val="000000"/>
          <w:sz w:val="20"/>
        </w:rPr>
        <w:t>The table below represents the fair value of control and affiliate investments as of December 31, 2021 and any additions and reductions made to such investments during the year ended December 31, 2022, including the total investment income earned on such investments during the period.</w:t>
      </w:r>
    </w:p>
    <w:tbl>
      <w:tblPr>
        <w:tblW w:w="11177" w:type="dxa"/>
        <w:jc w:val="left"/>
        <w:tblInd w:w="0" w:type="dxa"/>
        <w:tblLayout w:type="fixed"/>
        <w:tblCellMar>
          <w:top w:w="28" w:type="dxa"/>
          <w:left w:w="28" w:type="dxa"/>
          <w:bottom w:w="28" w:type="dxa"/>
          <w:right w:w="28" w:type="dxa"/>
        </w:tblCellMar>
      </w:tblPr>
      <w:tblGrid>
        <w:gridCol w:w="721"/>
        <w:gridCol w:w="146"/>
        <w:gridCol w:w="146"/>
        <w:gridCol w:w="182"/>
        <w:gridCol w:w="479"/>
        <w:gridCol w:w="146"/>
        <w:gridCol w:w="146"/>
        <w:gridCol w:w="166"/>
        <w:gridCol w:w="496"/>
        <w:gridCol w:w="146"/>
        <w:gridCol w:w="146"/>
        <w:gridCol w:w="166"/>
        <w:gridCol w:w="436"/>
        <w:gridCol w:w="146"/>
        <w:gridCol w:w="146"/>
        <w:gridCol w:w="166"/>
        <w:gridCol w:w="526"/>
        <w:gridCol w:w="146"/>
        <w:gridCol w:w="146"/>
        <w:gridCol w:w="166"/>
        <w:gridCol w:w="496"/>
        <w:gridCol w:w="146"/>
        <w:gridCol w:w="146"/>
        <w:gridCol w:w="166"/>
        <w:gridCol w:w="436"/>
        <w:gridCol w:w="146"/>
        <w:gridCol w:w="146"/>
        <w:gridCol w:w="189"/>
        <w:gridCol w:w="532"/>
        <w:gridCol w:w="146"/>
        <w:gridCol w:w="146"/>
        <w:gridCol w:w="166"/>
        <w:gridCol w:w="376"/>
        <w:gridCol w:w="146"/>
        <w:gridCol w:w="146"/>
        <w:gridCol w:w="282"/>
        <w:gridCol w:w="589"/>
        <w:gridCol w:w="146"/>
        <w:gridCol w:w="146"/>
        <w:gridCol w:w="170"/>
        <w:gridCol w:w="356"/>
        <w:gridCol w:w="146"/>
        <w:gridCol w:w="146"/>
        <w:gridCol w:w="166"/>
        <w:gridCol w:w="346"/>
        <w:gridCol w:w="191"/>
      </w:tblGrid>
      <w:tr>
        <w:trPr/>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3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Year Ended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0"/>
              </w:rPr>
            </w:pPr>
            <w:r>
              <w:rPr>
                <w:rFonts w:ascii="Times New Roman" w:hAnsi="Times New Roman"/>
                <w:b/>
                <w:color w:val="000000"/>
                <w:sz w:val="10"/>
              </w:rPr>
              <w:t xml:space="preserve">Portfolio Company </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2022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2021</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Additions </w:t>
            </w:r>
            <w:r>
              <w:rPr>
                <w:rFonts w:ascii="Times New Roman" w:hAnsi="Times New Roman"/>
                <w:b/>
                <w:color w:val="000000"/>
                <w:sz w:val="7"/>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Reductions </w:t>
            </w:r>
            <w:r>
              <w:rPr>
                <w:rFonts w:ascii="Times New Roman" w:hAnsi="Times New Roman"/>
                <w:b/>
                <w:color w:val="000000"/>
                <w:sz w:val="7"/>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2022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Net Realized Gains (Losses) </w:t>
            </w:r>
            <w:r>
              <w:rPr>
                <w:rFonts w:ascii="Times New Roman" w:hAnsi="Times New Roman"/>
                <w:b/>
                <w:color w:val="000000"/>
                <w:sz w:val="7"/>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Fee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Control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6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9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6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72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4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87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2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512" w:type="dxa"/>
            <w:gridSpan w:val="2"/>
            <w:tcBorders/>
            <w:shd w:fill="CCEEFF" w:val="clear"/>
            <w:vAlign w:val="center"/>
          </w:tcPr>
          <w:p>
            <w:pPr>
              <w:pStyle w:val="TableContents"/>
              <w:bidi w:val="0"/>
              <w:spacing w:before="0" w:after="283"/>
              <w:jc w:val="center"/>
              <w:rPr/>
            </w:pPr>
            <w:r>
              <w:rPr/>
              <w:t> </w:t>
            </w:r>
          </w:p>
        </w:tc>
        <w:tc>
          <w:tcPr>
            <w:tcW w:w="191" w:type="dxa"/>
            <w:tcBorders/>
            <w:shd w:fill="CCEEFF" w:val="clear"/>
            <w:vAlign w:val="center"/>
          </w:tcPr>
          <w:p>
            <w:pPr>
              <w:pStyle w:val="TableContents"/>
              <w:bidi w:val="0"/>
              <w:spacing w:before="0" w:after="283"/>
              <w:jc w:val="center"/>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sz w:val="10"/>
              </w:rPr>
            </w:pPr>
            <w:r>
              <w:rPr>
                <w:rFonts w:ascii="Times New Roman" w:hAnsi="Times New Roman"/>
                <w:b w:val="false"/>
                <w:color w:val="000000"/>
                <w:sz w:val="10"/>
              </w:rPr>
              <w:t xml:space="preserve">EBL, LLC (EbLens) </w:t>
            </w:r>
            <w:r>
              <w:rPr>
                <w:rFonts w:ascii="Times New Roman" w:hAnsi="Times New Roman"/>
                <w:b w:val="false"/>
                <w:color w:val="000000"/>
                <w:sz w:val="7"/>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79"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19,628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(19,628</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(11,083</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Hilco Plastics Holdings, LLC (dba Hilco Technologies)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353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(353</w:t>
            </w:r>
          </w:p>
        </w:tc>
        <w:tc>
          <w:tcPr>
            <w:tcW w:w="146"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(352</w:t>
            </w:r>
          </w:p>
        </w:tc>
        <w:tc>
          <w:tcPr>
            <w:tcW w:w="146"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89"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Mesa Line Services,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(2,344</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(2,150</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US GreenFiber, LLC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5,226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20,174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(22,325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Affiliate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6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9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6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72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4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87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2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512" w:type="dxa"/>
            <w:gridSpan w:val="2"/>
            <w:tcBorders/>
            <w:shd w:fill="CCEEFF" w:val="clear"/>
            <w:vAlign w:val="center"/>
          </w:tcPr>
          <w:p>
            <w:pPr>
              <w:pStyle w:val="TableContents"/>
              <w:bidi w:val="0"/>
              <w:spacing w:before="0" w:after="283"/>
              <w:jc w:val="center"/>
              <w:rPr/>
            </w:pPr>
            <w:r>
              <w:rPr/>
              <w:t> </w:t>
            </w:r>
          </w:p>
        </w:tc>
        <w:tc>
          <w:tcPr>
            <w:tcW w:w="191" w:type="dxa"/>
            <w:tcBorders/>
            <w:shd w:fill="CCEEFF" w:val="clear"/>
            <w:vAlign w:val="center"/>
          </w:tcPr>
          <w:p>
            <w:pPr>
              <w:pStyle w:val="TableContents"/>
              <w:bidi w:val="0"/>
              <w:spacing w:before="0" w:after="283"/>
              <w:jc w:val="center"/>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Applegate Greenfiber Intermediate Inc. (fka US GreenFiber,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79"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22,405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(12,803</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23,168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FAR Research Inc.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(28</w:t>
            </w:r>
          </w:p>
        </w:tc>
        <w:tc>
          <w:tcPr>
            <w:tcW w:w="146"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89"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(28</w:t>
            </w:r>
          </w:p>
        </w:tc>
        <w:tc>
          <w:tcPr>
            <w:tcW w:w="146"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Medsurant Holdings,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3,662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(1,122</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(1,122</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Mirage Trailers LLC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10,675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355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(11,030</w:t>
            </w:r>
          </w:p>
        </w:tc>
        <w:tc>
          <w:tcPr>
            <w:tcW w:w="146"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324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89"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(1,694</w:t>
            </w:r>
          </w:p>
        </w:tc>
        <w:tc>
          <w:tcPr>
            <w:tcW w:w="146"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248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132</w:t>
            </w:r>
          </w:p>
        </w:tc>
        <w:tc>
          <w:tcPr>
            <w:tcW w:w="191" w:type="dxa"/>
            <w:tcBorders/>
            <w:shd w:fill="CCEEFF" w:val="clear"/>
            <w:vAlign w:val="center"/>
          </w:tcPr>
          <w:p>
            <w:pPr>
              <w:pStyle w:val="TableContents"/>
              <w:bidi w:val="0"/>
              <w:spacing w:before="0" w:after="283"/>
              <w:jc w:val="left"/>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Pfanstiehl, Inc.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57,639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34,335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(39,982</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51,992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24,330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(15,432</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150</w:t>
            </w:r>
          </w:p>
        </w:tc>
        <w:tc>
          <w:tcPr>
            <w:tcW w:w="191"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sz w:val="10"/>
              </w:rPr>
            </w:pPr>
            <w:r>
              <w:rPr>
                <w:rFonts w:ascii="Times New Roman" w:hAnsi="Times New Roman"/>
                <w:b w:val="false"/>
                <w:color w:val="000000"/>
                <w:sz w:val="10"/>
              </w:rPr>
              <w:t xml:space="preserve">Pinnergy, Ltd. </w:t>
            </w:r>
            <w:r>
              <w:rPr>
                <w:rFonts w:ascii="Times New Roman" w:hAnsi="Times New Roman"/>
                <w:b w:val="false"/>
                <w:color w:val="000000"/>
                <w:sz w:val="7"/>
              </w:rPr>
              <w:t>(6)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21,178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15,300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(36,478</w:t>
            </w:r>
          </w:p>
        </w:tc>
        <w:tc>
          <w:tcPr>
            <w:tcW w:w="146"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15,300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89"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(18,177</w:t>
            </w:r>
          </w:p>
        </w:tc>
        <w:tc>
          <w:tcPr>
            <w:tcW w:w="146"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656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Spectra A&amp;D Acquisition, Inc. (fka FDS Avionics Corp.)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5,487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(4,728</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19,118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(121</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(1,723</w:t>
            </w:r>
          </w:p>
        </w:tc>
        <w:tc>
          <w:tcPr>
            <w:tcW w:w="146" w:type="dxa"/>
            <w:tcBorders/>
            <w:shd w:fill="FFFF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1,822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175</w:t>
            </w:r>
          </w:p>
        </w:tc>
        <w:tc>
          <w:tcPr>
            <w:tcW w:w="191"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Steward Holding LLC (dba Steward Advanced Materials)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3,338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1,434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4,772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1,434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69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34,602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137,284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70,477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(106,171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101,590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39,833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(35,979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0"/>
              </w:rPr>
            </w:pPr>
            <w:r>
              <w:rPr>
                <w:rFonts w:ascii="Times New Roman" w:hAnsi="Times New Roman"/>
                <w:b w:val="false"/>
                <w:color w:val="000000"/>
                <w:sz w:val="1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0"/>
              </w:rPr>
            </w:pPr>
            <w:r>
              <w:rPr>
                <w:rFonts w:ascii="Times New Roman" w:hAnsi="Times New Roman"/>
                <w:b w:val="false"/>
                <w:color w:val="000000"/>
                <w:sz w:val="10"/>
              </w:rPr>
              <w:t>457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(1)</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The investment type, industry, ownership detail for equity investments, interest rate, maturity date, and if the investment is income producing is disclosed in the consolidated schedule of investments.</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(5)</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was transferred to Control investments from Non-control/Non-affiliate investments during the year ended December 31, 2022.</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(6)</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was transferred to Non-control/Non-affiliate investments from Affiliate investments during the year ended December 31, 2022.</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Investments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Level 1</w:t>
      </w:r>
      <w:r>
        <w:rPr>
          <w:rFonts w:ascii="Times New Roman" w:hAnsi="Times New Roman"/>
          <w:color w:val="000000"/>
          <w:sz w:val="20"/>
        </w:rPr>
        <w:t xml:space="preserve"> — </w:t>
      </w:r>
      <w:r>
        <w:rPr>
          <w:rFonts w:ascii="Times New Roman" w:hAnsi="Times New Roman"/>
          <w:b w:val="false"/>
          <w:color w:val="000000"/>
          <w:sz w:val="20"/>
        </w:rPr>
        <w:t>Inputs are unadjusted, quoted prices in active markets for identical assets as of the measurement date.</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Level 2</w:t>
      </w:r>
      <w:r>
        <w:rPr>
          <w:rFonts w:ascii="Times New Roman" w:hAnsi="Times New Roman"/>
          <w:color w:val="000000"/>
          <w:sz w:val="20"/>
        </w:rPr>
        <w:t xml:space="preserve"> — </w:t>
      </w:r>
      <w:r>
        <w:rPr>
          <w:rFonts w:ascii="Times New Roman" w:hAnsi="Times New Roman"/>
          <w:b w:val="false"/>
          <w:color w:val="000000"/>
          <w:sz w:val="20"/>
        </w:rPr>
        <w:t>Inputs include quoted prices for similar assets in active markets, or that are quoted prices for identical or similar assets in markets that are not active and inputs that are observable, either directly or indirectly, for substantially the full term, if applicable, of the investment.</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Level 3</w:t>
      </w:r>
      <w:r>
        <w:rPr>
          <w:rFonts w:ascii="Times New Roman" w:hAnsi="Times New Roman"/>
          <w:color w:val="000000"/>
          <w:sz w:val="20"/>
        </w:rPr>
        <w:t xml:space="preserve"> — </w:t>
      </w:r>
      <w:r>
        <w:rPr>
          <w:rFonts w:ascii="Times New Roman" w:hAnsi="Times New Roman"/>
          <w:b w:val="false"/>
          <w:color w:val="000000"/>
          <w:sz w:val="20"/>
        </w:rPr>
        <w:t>Inputs include those that are both unobservable and significant to the overall fair value measurement.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and one portfolio company, which are valued using Level 1 inputs as of September 30, 2023. Therefore, the Company values such portfolio investments at fair value, as determined in good faith by the Board, using Level 3 inputs, with the exception of money market funds and one portfolio company that was valued using Level 1 inputs as of September 30, 2023.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With respect to investments for which market quotations are not readily available, the Board undertakes a multi-step valuation process each quarter, as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quarterly valuation process begins with each portfolio company or investment being initially evaluated and rated by the investment professionals of the Investment Advisor responsible for the portfolio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preliminary valuation conclusions are then documented and discussed with the investment committee of the Investment Advisor;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audit committee of the Board reviews the preliminary valuations of the Investment Advisor and of the independent valuation firm(s) and responds and supplements the valuation recommendations to reflect any comments;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Board discusses these valuations and determines the fair value of each investment in our portfolio in good faith, based on the input of the Investment Advisor, the independent valuation firm(s) and the audit committee.</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The Board consulted with the independent third-party valuation firm(s) in arriving at our determination of fair value for 17 and 14 of our portfolio company investments representing 27.6%</w:t>
      </w:r>
      <w:r>
        <w:rPr>
          <w:rFonts w:ascii="Times New Roman" w:hAnsi="Times New Roman"/>
          <w:color w:val="000000"/>
          <w:sz w:val="20"/>
        </w:rPr>
        <w:t xml:space="preserve"> </w:t>
      </w:r>
      <w:r>
        <w:rPr>
          <w:rFonts w:ascii="Times New Roman" w:hAnsi="Times New Roman"/>
          <w:b w:val="false"/>
          <w:color w:val="000000"/>
          <w:sz w:val="20"/>
        </w:rPr>
        <w:t>and 29.5%</w:t>
      </w:r>
      <w:r>
        <w:rPr>
          <w:rFonts w:ascii="Times New Roman" w:hAnsi="Times New Roman"/>
          <w:color w:val="000000"/>
          <w:sz w:val="20"/>
        </w:rPr>
        <w:t xml:space="preserve"> </w:t>
      </w:r>
      <w:r>
        <w:rPr>
          <w:rFonts w:ascii="Times New Roman" w:hAnsi="Times New Roman"/>
          <w:b w:val="false"/>
          <w:color w:val="000000"/>
          <w:sz w:val="20"/>
        </w:rPr>
        <w:t>of the total portfolio investments at fair value (exclusive of new portfolio company investments made during the nine months ended September 30, 2023 and 2022, respectively) as of nine months ended September 30, 2023 and 2022, respectively.</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40"/>
        <w:jc w:val="both"/>
        <w:rPr>
          <w:rFonts w:ascii="Times New Roman" w:hAnsi="Times New Roman"/>
          <w:b w:val="false"/>
          <w:color w:val="000000"/>
          <w:sz w:val="20"/>
        </w:rPr>
      </w:pPr>
      <w:r>
        <w:rPr>
          <w:rFonts w:ascii="Times New Roman" w:hAnsi="Times New Roman"/>
          <w:b w:val="false"/>
          <w:color w:val="000000"/>
          <w:sz w:val="20"/>
        </w:rPr>
        <w:t>The following tables present fair value measurements of investments by major class according to the fair value hierarchy:</w:t>
      </w:r>
    </w:p>
    <w:tbl>
      <w:tblPr>
        <w:tblW w:w="6295"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691"/>
        <w:gridCol w:w="146"/>
        <w:gridCol w:w="196"/>
        <w:gridCol w:w="146"/>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First Lien Debt</w:t>
            </w:r>
          </w:p>
        </w:tc>
        <w:tc>
          <w:tcPr>
            <w:tcW w:w="1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522,289</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522,289</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Second Lien Debt</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154,765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154,765</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Subordinated Debt</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120,981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120,981</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Equity</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124,981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125,248</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Warrants</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3,576</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3,576</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Money Market Funds</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78,578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78,845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926,592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1,005,437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16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691"/>
        <w:gridCol w:w="146"/>
        <w:gridCol w:w="196"/>
        <w:gridCol w:w="146"/>
        <w:gridCol w:w="69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0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First Lien Debt</w:t>
            </w:r>
          </w:p>
        </w:tc>
        <w:tc>
          <w:tcPr>
            <w:tcW w:w="1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456,105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456,105</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Second Lien Debt</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182,948</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182,948</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Subordinated Debt</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101,456</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101,456</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Equity</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117,431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117,741</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Warrants</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2,079</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2,079</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Money Market Funds</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61,076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860,019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921,405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Times New Roman" w:hAnsi="Times New Roman"/>
          <w:b w:val="false"/>
          <w:color w:val="000000"/>
          <w:sz w:val="20"/>
        </w:rPr>
        <w:t>The Company reviews the fair value hierarchy classifications on a quarterly basis. Reclassifications impacting Level 3 of the fair value hierarchy are reported as transfers in or out of the Level 3 category as of the beginning of the quarter in which the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reclassifications occur. There were no</w:t>
      </w:r>
      <w:r>
        <w:rPr>
          <w:rFonts w:ascii="Times New Roman" w:hAnsi="Times New Roman"/>
          <w:color w:val="000000"/>
          <w:sz w:val="20"/>
        </w:rPr>
        <w:t xml:space="preserve"> </w:t>
      </w:r>
      <w:r>
        <w:rPr>
          <w:rFonts w:ascii="Times New Roman" w:hAnsi="Times New Roman"/>
          <w:b w:val="false"/>
          <w:color w:val="000000"/>
          <w:sz w:val="20"/>
        </w:rPr>
        <w:t>transfers among Levels 1, 2, and 3 during the nine months ended September 30, 2023 and 2022.</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following tables present a reconciliation of the beginning and ending balances for fair valued investments measured using significant unobservable inputs (Level 3) for the nine months ended September 30, 2023 and 2022:</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07"/>
        <w:gridCol w:w="146"/>
        <w:gridCol w:w="181"/>
        <w:gridCol w:w="586"/>
        <w:gridCol w:w="151"/>
        <w:gridCol w:w="146"/>
        <w:gridCol w:w="192"/>
        <w:gridCol w:w="624"/>
        <w:gridCol w:w="151"/>
        <w:gridCol w:w="146"/>
        <w:gridCol w:w="216"/>
        <w:gridCol w:w="700"/>
        <w:gridCol w:w="151"/>
        <w:gridCol w:w="146"/>
        <w:gridCol w:w="181"/>
        <w:gridCol w:w="586"/>
        <w:gridCol w:w="151"/>
        <w:gridCol w:w="146"/>
        <w:gridCol w:w="202"/>
        <w:gridCol w:w="489"/>
        <w:gridCol w:w="151"/>
        <w:gridCol w:w="146"/>
        <w:gridCol w:w="181"/>
        <w:gridCol w:w="631"/>
        <w:gridCol w:w="198"/>
      </w:tblGrid>
      <w:tr>
        <w:trPr/>
        <w:tc>
          <w:tcPr>
            <w:tcW w:w="3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6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First Lien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Second Lien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Subordinated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r>
      <w:tr>
        <w:trPr/>
        <w:tc>
          <w:tcPr>
            <w:tcW w:w="3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Warrants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2021</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354,922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2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158,815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0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36,064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165,762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8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718,767</w:t>
            </w:r>
          </w:p>
        </w:tc>
        <w:tc>
          <w:tcPr>
            <w:tcW w:w="198" w:type="dxa"/>
            <w:tcBorders/>
            <w:shd w:fill="CFF0FC" w:val="clear"/>
            <w:vAlign w:val="center"/>
          </w:tcPr>
          <w:p>
            <w:pPr>
              <w:pStyle w:val="TableContents"/>
              <w:bidi w:val="0"/>
              <w:spacing w:before="0" w:after="283"/>
              <w:jc w:val="left"/>
              <w:rPr/>
            </w:pPr>
            <w:r>
              <w:rPr/>
              <w:t> </w:t>
            </w:r>
          </w:p>
        </w:tc>
      </w:tr>
      <w:tr>
        <w:trPr/>
        <w:tc>
          <w:tcPr>
            <w:tcW w:w="360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realized gains (losses) on investments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65,220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65,220</w:t>
            </w:r>
          </w:p>
        </w:tc>
        <w:tc>
          <w:tcPr>
            <w:tcW w:w="198" w:type="dxa"/>
            <w:tcBorders/>
            <w:shd w:fill="FFFFFF" w:val="clear"/>
            <w:vAlign w:val="center"/>
          </w:tcPr>
          <w:p>
            <w:pPr>
              <w:pStyle w:val="TableContents"/>
              <w:bidi w:val="0"/>
              <w:spacing w:before="0" w:after="283"/>
              <w:jc w:val="left"/>
              <w:rPr/>
            </w:pPr>
            <w:r>
              <w:rPr/>
              <w:t> </w:t>
            </w:r>
          </w:p>
        </w:tc>
      </w:tr>
      <w:tr>
        <w:trPr/>
        <w:tc>
          <w:tcPr>
            <w:tcW w:w="360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(13,048</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(54,102</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(556</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(67,774</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360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Purchase of investments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166,279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49,498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44,469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7,704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267,950</w:t>
            </w:r>
          </w:p>
        </w:tc>
        <w:tc>
          <w:tcPr>
            <w:tcW w:w="198" w:type="dxa"/>
            <w:tcBorders/>
            <w:shd w:fill="FFFFFF" w:val="clear"/>
            <w:vAlign w:val="center"/>
          </w:tcPr>
          <w:p>
            <w:pPr>
              <w:pStyle w:val="TableContents"/>
              <w:bidi w:val="0"/>
              <w:spacing w:before="0" w:after="283"/>
              <w:jc w:val="left"/>
              <w:rPr/>
            </w:pPr>
            <w:r>
              <w:rPr/>
              <w:t> </w:t>
            </w:r>
          </w:p>
        </w:tc>
      </w:tr>
      <w:tr>
        <w:trPr/>
        <w:tc>
          <w:tcPr>
            <w:tcW w:w="360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Proceeds from sales and repayments of investments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(31,574</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(18,731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(77,950</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(128,255</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360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Interest and dividend income paid-in-kind</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573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1,327</w:t>
            </w:r>
          </w:p>
        </w:tc>
        <w:tc>
          <w:tcPr>
            <w:tcW w:w="198" w:type="dxa"/>
            <w:tcBorders/>
            <w:shd w:fill="FFFFFF" w:val="clear"/>
            <w:vAlign w:val="center"/>
          </w:tcPr>
          <w:p>
            <w:pPr>
              <w:pStyle w:val="TableContents"/>
              <w:bidi w:val="0"/>
              <w:spacing w:before="0" w:after="283"/>
              <w:jc w:val="left"/>
              <w:rPr/>
            </w:pPr>
            <w:r>
              <w:rPr/>
              <w:t> </w:t>
            </w:r>
          </w:p>
        </w:tc>
      </w:tr>
      <w:tr>
        <w:trPr/>
        <w:tc>
          <w:tcPr>
            <w:tcW w:w="360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Proceeds from loan origination fees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(1,454</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(115</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(1,869</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360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Accretion of loan origination fees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1,094</w:t>
            </w:r>
          </w:p>
        </w:tc>
        <w:tc>
          <w:tcPr>
            <w:tcW w:w="198" w:type="dxa"/>
            <w:tcBorders/>
            <w:shd w:fill="FFFFFF" w:val="clear"/>
            <w:vAlign w:val="center"/>
          </w:tcPr>
          <w:p>
            <w:pPr>
              <w:pStyle w:val="TableContents"/>
              <w:bidi w:val="0"/>
              <w:spacing w:before="0" w:after="283"/>
              <w:jc w:val="left"/>
              <w:rPr/>
            </w:pPr>
            <w:r>
              <w:rPr/>
              <w:t> </w:t>
            </w:r>
          </w:p>
        </w:tc>
      </w:tr>
      <w:tr>
        <w:trPr/>
        <w:tc>
          <w:tcPr>
            <w:tcW w:w="360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September 30, 2022</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488,334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177,222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81,759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106,634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856,597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2022</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456,105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2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182,948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0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101,456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117,431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8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860,019</w:t>
            </w:r>
          </w:p>
        </w:tc>
        <w:tc>
          <w:tcPr>
            <w:tcW w:w="198" w:type="dxa"/>
            <w:tcBorders/>
            <w:shd w:fill="CFF0FC" w:val="clear"/>
            <w:vAlign w:val="center"/>
          </w:tcPr>
          <w:p>
            <w:pPr>
              <w:pStyle w:val="TableContents"/>
              <w:bidi w:val="0"/>
              <w:spacing w:before="0" w:after="283"/>
              <w:jc w:val="left"/>
              <w:rPr/>
            </w:pPr>
            <w:r>
              <w:rPr/>
              <w:t> </w:t>
            </w:r>
          </w:p>
        </w:tc>
      </w:tr>
      <w:tr>
        <w:trPr/>
        <w:tc>
          <w:tcPr>
            <w:tcW w:w="360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realized gains (losses) on investments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(9,333</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13,600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4,267</w:t>
            </w:r>
          </w:p>
        </w:tc>
        <w:tc>
          <w:tcPr>
            <w:tcW w:w="198" w:type="dxa"/>
            <w:tcBorders/>
            <w:shd w:fill="FFFFFF" w:val="clear"/>
            <w:vAlign w:val="center"/>
          </w:tcPr>
          <w:p>
            <w:pPr>
              <w:pStyle w:val="TableContents"/>
              <w:bidi w:val="0"/>
              <w:spacing w:before="0" w:after="283"/>
              <w:jc w:val="left"/>
              <w:rPr/>
            </w:pPr>
            <w:r>
              <w:rPr/>
              <w:t> </w:t>
            </w:r>
          </w:p>
        </w:tc>
      </w:tr>
      <w:tr>
        <w:trPr/>
        <w:tc>
          <w:tcPr>
            <w:tcW w:w="360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(1,576</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(1,314</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(1,976</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(143</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360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Purchase of investments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135,283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29,041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14,725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204,049</w:t>
            </w:r>
          </w:p>
        </w:tc>
        <w:tc>
          <w:tcPr>
            <w:tcW w:w="198" w:type="dxa"/>
            <w:tcBorders/>
            <w:shd w:fill="FFFFFF" w:val="clear"/>
            <w:vAlign w:val="center"/>
          </w:tcPr>
          <w:p>
            <w:pPr>
              <w:pStyle w:val="TableContents"/>
              <w:bidi w:val="0"/>
              <w:spacing w:before="0" w:after="283"/>
              <w:jc w:val="left"/>
              <w:rPr/>
            </w:pPr>
            <w:r>
              <w:rPr/>
              <w:t> </w:t>
            </w:r>
          </w:p>
        </w:tc>
      </w:tr>
      <w:tr>
        <w:trPr/>
        <w:tc>
          <w:tcPr>
            <w:tcW w:w="360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Proceeds from sales and repayments of investments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(68,761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(48,607</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(10,149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(18,799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(146,316</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360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Interest and dividend income paid-in-kind</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1,468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2,343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4,661</w:t>
            </w:r>
          </w:p>
        </w:tc>
        <w:tc>
          <w:tcPr>
            <w:tcW w:w="198" w:type="dxa"/>
            <w:tcBorders/>
            <w:shd w:fill="FFFFFF" w:val="clear"/>
            <w:vAlign w:val="center"/>
          </w:tcPr>
          <w:p>
            <w:pPr>
              <w:pStyle w:val="TableContents"/>
              <w:bidi w:val="0"/>
              <w:spacing w:before="0" w:after="283"/>
              <w:jc w:val="left"/>
              <w:rPr/>
            </w:pPr>
            <w:r>
              <w:rPr/>
              <w:t> </w:t>
            </w:r>
          </w:p>
        </w:tc>
      </w:tr>
      <w:tr>
        <w:trPr/>
        <w:tc>
          <w:tcPr>
            <w:tcW w:w="360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Proceeds from loan origination fees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(1,226</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(2,098</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360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Accretion of loan origination fees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1,809</w:t>
            </w:r>
          </w:p>
        </w:tc>
        <w:tc>
          <w:tcPr>
            <w:tcW w:w="198" w:type="dxa"/>
            <w:tcBorders/>
            <w:shd w:fill="FFFFFF" w:val="clear"/>
            <w:vAlign w:val="center"/>
          </w:tcPr>
          <w:p>
            <w:pPr>
              <w:pStyle w:val="TableContents"/>
              <w:bidi w:val="0"/>
              <w:spacing w:before="0" w:after="283"/>
              <w:jc w:val="left"/>
              <w:rPr/>
            </w:pPr>
            <w:r>
              <w:rPr/>
              <w:t> </w:t>
            </w:r>
          </w:p>
        </w:tc>
      </w:tr>
      <w:tr>
        <w:trPr/>
        <w:tc>
          <w:tcPr>
            <w:tcW w:w="360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September 30, 2023</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522,289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154,765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120,981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124,981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3,576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926,592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Net change in unrealized appreciation/(depreciation) of $1,593</w:t>
      </w:r>
      <w:r>
        <w:rPr>
          <w:rFonts w:ascii="Times New Roman" w:hAnsi="Times New Roman"/>
          <w:color w:val="000000"/>
          <w:sz w:val="20"/>
        </w:rPr>
        <w:t xml:space="preserve"> </w:t>
      </w:r>
      <w:r>
        <w:rPr>
          <w:rFonts w:ascii="Times New Roman" w:hAnsi="Times New Roman"/>
          <w:b w:val="false"/>
          <w:color w:val="000000"/>
          <w:sz w:val="20"/>
        </w:rPr>
        <w:t>and $(4,505)</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2023, respectively, was attributable to Level 3 investments held at September 30, 2023. Net change in unrealized appreciation/(depreciation) of $(36,403)</w:t>
      </w:r>
      <w:r>
        <w:rPr>
          <w:rFonts w:ascii="Times New Roman" w:hAnsi="Times New Roman"/>
          <w:color w:val="000000"/>
          <w:sz w:val="20"/>
        </w:rPr>
        <w:t xml:space="preserve"> </w:t>
      </w:r>
      <w:r>
        <w:rPr>
          <w:rFonts w:ascii="Times New Roman" w:hAnsi="Times New Roman"/>
          <w:b w:val="false"/>
          <w:color w:val="000000"/>
          <w:sz w:val="20"/>
        </w:rPr>
        <w:t>and $(42,882)</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2022, respectively, was attributable to Level 3 investments held at September 30, 2022.</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following tables summarize the significant unobservable inputs by valuation technique used to determine the fair value of the Company’s Level 3 debt and equity investments as of September 30, 2023 and December 31, 2022. The tables are not intended to be all-inclusive, but instead capture the significant unobservable inputs relevant to the Company’s determination of fair values.</w:t>
      </w:r>
    </w:p>
    <w:p>
      <w:pPr>
        <w:pStyle w:val="TextBody"/>
        <w:bidi w:val="0"/>
        <w:jc w:val="both"/>
        <w:rPr/>
      </w:pPr>
      <w:r>
        <w:rPr/>
        <w:t> </w:t>
      </w:r>
    </w:p>
    <w:tbl>
      <w:tblPr>
        <w:tblW w:w="10154" w:type="dxa"/>
        <w:jc w:val="left"/>
        <w:tblInd w:w="0" w:type="dxa"/>
        <w:tblLayout w:type="fixed"/>
        <w:tblCellMar>
          <w:top w:w="28" w:type="dxa"/>
          <w:left w:w="28" w:type="dxa"/>
          <w:bottom w:w="28" w:type="dxa"/>
          <w:right w:w="28" w:type="dxa"/>
        </w:tblCellMar>
      </w:tblPr>
      <w:tblGrid>
        <w:gridCol w:w="1666"/>
        <w:gridCol w:w="146"/>
        <w:gridCol w:w="354"/>
        <w:gridCol w:w="1251"/>
        <w:gridCol w:w="146"/>
        <w:gridCol w:w="146"/>
        <w:gridCol w:w="1846"/>
        <w:gridCol w:w="146"/>
        <w:gridCol w:w="244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vAlign w:val="center"/>
          </w:tcPr>
          <w:p>
            <w:pPr>
              <w:pStyle w:val="TableContents"/>
              <w:bidi w:val="0"/>
              <w:spacing w:before="0" w:after="283"/>
              <w:jc w:val="center"/>
              <w:rPr/>
            </w:pPr>
            <w:r>
              <w:rPr/>
              <w:t> </w:t>
            </w:r>
          </w:p>
        </w:tc>
        <w:tc>
          <w:tcPr>
            <w:tcW w:w="244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vAlign w:val="center"/>
          </w:tcPr>
          <w:p>
            <w:pPr>
              <w:pStyle w:val="TableContents"/>
              <w:bidi w:val="0"/>
              <w:spacing w:before="0" w:after="283"/>
              <w:jc w:val="center"/>
              <w:rPr/>
            </w:pPr>
            <w:r>
              <w:rPr/>
              <w:t> </w:t>
            </w:r>
          </w:p>
        </w:tc>
        <w:tc>
          <w:tcPr>
            <w:tcW w:w="186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First Lien Debt</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507,098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Discounted cash flow</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Weighted average cost of capital</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9.4% - 22.7% (16.0%)</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Asset Coverage</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1.1x - 1.1x (1.1x)</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EBITDA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4.3x - 4.3x (4.3x)</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Second Lien Debt</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153,257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 xml:space="preserve">Discounted cash flow </w:t>
            </w:r>
            <w:r>
              <w:rPr>
                <w:rFonts w:ascii="Times New Roman" w:hAnsi="Times New Roman"/>
                <w:b w:val="false"/>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Weighted average cost of capital</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12.0% - 30.0% (15.7%)</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Asset Coverage</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0.6x - 0.6x (0.6x)</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pPr>
            <w:r>
              <w:rPr/>
              <w:t> </w:t>
            </w:r>
          </w:p>
        </w:tc>
      </w:tr>
      <w:tr>
        <w:trPr/>
        <w:tc>
          <w:tcPr>
            <w:tcW w:w="16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Subordinated Debt</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Discounted cash flow</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Weighted average cost of capital</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10.2% - 20.0% (13.3%)</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EBITDA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6.0x - 6.0x (6.0x)</w:t>
            </w:r>
          </w:p>
        </w:tc>
      </w:tr>
      <w:tr>
        <w:trPr/>
        <w:tc>
          <w:tcPr>
            <w:tcW w:w="16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pPr>
            <w:r>
              <w:rPr/>
              <w:t> </w:t>
            </w:r>
          </w:p>
        </w:tc>
      </w:tr>
      <w:tr>
        <w:trPr/>
        <w:tc>
          <w:tcPr>
            <w:tcW w:w="16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Equity</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EBITDA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4.0x - 28.0x (9.2x)</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Revenue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0.8x - 7.5x (6.2x)</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Warrants</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EBITDA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6.0x - 6.0x (6.0x)</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Revenue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4.0x - 4.0x (4.0x)</w:t>
            </w:r>
          </w:p>
        </w:tc>
      </w:tr>
    </w:tbl>
    <w:p>
      <w:pPr>
        <w:pStyle w:val="TextBody"/>
        <w:bidi w:val="0"/>
        <w:spacing w:before="180" w:after="283"/>
        <w:jc w:val="both"/>
        <w:rPr>
          <w:rFonts w:ascii="Times New Roman" w:hAnsi="Times New Roman"/>
          <w:b w:val="false"/>
          <w:color w:val="000000"/>
          <w:sz w:val="16"/>
        </w:rPr>
      </w:pPr>
      <w:r>
        <w:rPr>
          <w:rFonts w:ascii="Times New Roman" w:hAnsi="Times New Roman"/>
          <w:b w:val="false"/>
          <w:color w:val="000000"/>
          <w:sz w:val="16"/>
        </w:rPr>
        <w:t>(1) Unobservable inputs were weighted by the relative fair value of the instruments.</w:t>
      </w:r>
    </w:p>
    <w:p>
      <w:pPr>
        <w:pStyle w:val="TextBody"/>
        <w:bidi w:val="0"/>
        <w:jc w:val="both"/>
        <w:rPr>
          <w:rFonts w:ascii="Times New Roman" w:hAnsi="Times New Roman"/>
          <w:sz w:val="20"/>
        </w:rPr>
      </w:pPr>
      <w:r>
        <w:rPr>
          <w:rFonts w:ascii="Times New Roman" w:hAnsi="Times New Roman"/>
          <w:b w:val="false"/>
          <w:color w:val="000000"/>
          <w:sz w:val="16"/>
        </w:rPr>
        <w:t>(2) Includes $52.2</w:t>
      </w:r>
      <w:r>
        <w:rPr>
          <w:rFonts w:ascii="Times New Roman" w:hAnsi="Times New Roman"/>
          <w:color w:val="000000"/>
          <w:sz w:val="20"/>
        </w:rPr>
        <w:t xml:space="preserve"> </w:t>
      </w:r>
      <w:r>
        <w:rPr>
          <w:rFonts w:ascii="Times New Roman" w:hAnsi="Times New Roman"/>
          <w:b w:val="false"/>
          <w:color w:val="000000"/>
          <w:sz w:val="16"/>
        </w:rPr>
        <w:t>million of debt investments which were valued using a trading discount to par.</w:t>
      </w:r>
    </w:p>
    <w:p>
      <w:pPr>
        <w:pStyle w:val="TextBody"/>
        <w:bidi w:val="0"/>
        <w:spacing w:before="180" w:after="283"/>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094" w:type="dxa"/>
        <w:jc w:val="left"/>
        <w:tblInd w:w="0" w:type="dxa"/>
        <w:tblLayout w:type="fixed"/>
        <w:tblCellMar>
          <w:top w:w="28" w:type="dxa"/>
          <w:left w:w="28" w:type="dxa"/>
          <w:bottom w:w="28" w:type="dxa"/>
          <w:right w:w="28" w:type="dxa"/>
        </w:tblCellMar>
      </w:tblPr>
      <w:tblGrid>
        <w:gridCol w:w="1666"/>
        <w:gridCol w:w="146"/>
        <w:gridCol w:w="341"/>
        <w:gridCol w:w="1204"/>
        <w:gridCol w:w="146"/>
        <w:gridCol w:w="146"/>
        <w:gridCol w:w="1846"/>
        <w:gridCol w:w="146"/>
        <w:gridCol w:w="244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vAlign w:val="center"/>
          </w:tcPr>
          <w:p>
            <w:pPr>
              <w:pStyle w:val="TableContents"/>
              <w:bidi w:val="0"/>
              <w:spacing w:before="0" w:after="283"/>
              <w:jc w:val="center"/>
              <w:rPr/>
            </w:pPr>
            <w:r>
              <w:rPr/>
              <w:t> </w:t>
            </w:r>
          </w:p>
        </w:tc>
        <w:tc>
          <w:tcPr>
            <w:tcW w:w="244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vAlign w:val="center"/>
          </w:tcPr>
          <w:p>
            <w:pPr>
              <w:pStyle w:val="TableContents"/>
              <w:bidi w:val="0"/>
              <w:spacing w:before="0" w:after="283"/>
              <w:jc w:val="center"/>
              <w:rPr/>
            </w:pPr>
            <w:r>
              <w:rPr/>
              <w:t> </w:t>
            </w:r>
          </w:p>
        </w:tc>
        <w:tc>
          <w:tcPr>
            <w:tcW w:w="186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First Lien Debt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441,830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Discounted cash flow</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Weighted average cost of capital</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8.9% - 21.9% (15.5%)</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Asset Coverage</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1.1x - 1.1x (1.1x)</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Revenue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4.3x - 4.3x (4.3x)</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Second Lien Debt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 xml:space="preserve">Discounted cash flow </w:t>
            </w:r>
            <w:r>
              <w:rPr>
                <w:rFonts w:ascii="Times New Roman" w:hAnsi="Times New Roman"/>
                <w:b w:val="false"/>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Weighted average cost of capital</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11.7% - 25.0% (14.5%)</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EBITDA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5.0x - 5.0x (5.0x)</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Asset Coverage</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0.8x - 0.8x (0.8x)</w:t>
            </w:r>
          </w:p>
        </w:tc>
      </w:tr>
      <w:tr>
        <w:trPr/>
        <w:tc>
          <w:tcPr>
            <w:tcW w:w="1666"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Subordinated Debt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97,706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Discounted cash flow</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Weighted average cost of capital</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10.0% - 15.2% (12.5%)</w:t>
            </w:r>
          </w:p>
        </w:tc>
      </w:tr>
      <w:tr>
        <w:trPr/>
        <w:tc>
          <w:tcPr>
            <w:tcW w:w="16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EBITDA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8.5x - 8.5x (8.5x)</w:t>
            </w:r>
          </w:p>
        </w:tc>
      </w:tr>
      <w:tr>
        <w:trPr/>
        <w:tc>
          <w:tcPr>
            <w:tcW w:w="166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Equity</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111,808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EBITDA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4.0x - 16.8x (8.1x)</w:t>
            </w:r>
          </w:p>
        </w:tc>
      </w:tr>
      <w:tr>
        <w:trPr/>
        <w:tc>
          <w:tcPr>
            <w:tcW w:w="1666"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Revenue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0.9x - 7.8x (6.4x)</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pPr>
            <w:r>
              <w:rPr/>
              <w:t> </w:t>
            </w:r>
          </w:p>
        </w:tc>
      </w:tr>
      <w:tr>
        <w:trPr/>
        <w:tc>
          <w:tcPr>
            <w:tcW w:w="16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Warrants</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EBITDA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6.0x - 6.0x (6.0x)</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4.5x - 4.5x (4.5x)</w:t>
            </w:r>
          </w:p>
        </w:tc>
      </w:tr>
    </w:tbl>
    <w:p>
      <w:pPr>
        <w:pStyle w:val="TextBody"/>
        <w:bidi w:val="0"/>
        <w:spacing w:before="180" w:after="283"/>
        <w:jc w:val="both"/>
        <w:rPr>
          <w:rFonts w:ascii="Times New Roman" w:hAnsi="Times New Roman"/>
          <w:b w:val="false"/>
          <w:color w:val="000000"/>
          <w:sz w:val="16"/>
        </w:rPr>
      </w:pPr>
      <w:r>
        <w:rPr>
          <w:rFonts w:ascii="Times New Roman" w:hAnsi="Times New Roman"/>
          <w:b w:val="false"/>
          <w:color w:val="000000"/>
          <w:sz w:val="16"/>
        </w:rPr>
        <w:t>(1) Unobservable inputs were weighted by the relative fair value of the instruments.</w:t>
      </w:r>
    </w:p>
    <w:p>
      <w:pPr>
        <w:pStyle w:val="TextBody"/>
        <w:bidi w:val="0"/>
        <w:jc w:val="both"/>
        <w:rPr>
          <w:rFonts w:ascii="Times New Roman" w:hAnsi="Times New Roman"/>
          <w:sz w:val="20"/>
        </w:rPr>
      </w:pPr>
      <w:r>
        <w:rPr>
          <w:rFonts w:ascii="Times New Roman" w:hAnsi="Times New Roman"/>
          <w:b w:val="false"/>
          <w:color w:val="000000"/>
          <w:sz w:val="16"/>
        </w:rPr>
        <w:t>(2) Includes $18.0</w:t>
      </w:r>
      <w:r>
        <w:rPr>
          <w:rFonts w:ascii="Times New Roman" w:hAnsi="Times New Roman"/>
          <w:color w:val="000000"/>
          <w:sz w:val="20"/>
        </w:rPr>
        <w:t xml:space="preserve"> </w:t>
      </w:r>
      <w:r>
        <w:rPr>
          <w:rFonts w:ascii="Times New Roman" w:hAnsi="Times New Roman"/>
          <w:b w:val="false"/>
          <w:color w:val="000000"/>
          <w:sz w:val="16"/>
        </w:rPr>
        <w:t>million of debt investments which were valued using a trading discount to par.</w:t>
      </w:r>
    </w:p>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pStyle w:val="TextBody"/>
        <w:bidi w:val="0"/>
        <w:spacing w:before="0" w:after="180"/>
        <w:jc w:val="both"/>
        <w:rPr>
          <w:rFonts w:ascii="Times New Roman" w:hAnsi="Times New Roman"/>
          <w:b w:val="false"/>
          <w:color w:val="000000"/>
          <w:sz w:val="20"/>
        </w:rPr>
      </w:pPr>
      <w:r>
        <w:rPr>
          <w:rFonts w:ascii="Times New Roman" w:hAnsi="Times New Roman"/>
          <w:b w:val="false"/>
          <w:color w:val="000000"/>
          <w:sz w:val="20"/>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pStyle w:val="TextBody"/>
        <w:bidi w:val="0"/>
        <w:spacing w:before="0" w:after="180"/>
        <w:jc w:val="both"/>
        <w:rPr>
          <w:rFonts w:ascii="Times New Roman" w:hAnsi="Times New Roman"/>
          <w:b w:val="false"/>
          <w:i/>
          <w:color w:val="000000"/>
          <w:sz w:val="20"/>
        </w:rPr>
      </w:pPr>
      <w:r>
        <w:rPr>
          <w:rFonts w:ascii="Times New Roman" w:hAnsi="Times New Roman"/>
          <w:b w:val="false"/>
          <w:i/>
          <w:color w:val="000000"/>
          <w:sz w:val="20"/>
        </w:rPr>
        <w:t>Other Financial Assets and Liabilities</w:t>
      </w:r>
    </w:p>
    <w:p>
      <w:pPr>
        <w:pStyle w:val="TextBody"/>
        <w:bidi w:val="0"/>
        <w:spacing w:before="0" w:after="180"/>
        <w:jc w:val="both"/>
        <w:rPr>
          <w:rFonts w:ascii="Times New Roman" w:hAnsi="Times New Roman"/>
          <w:sz w:val="20"/>
        </w:rPr>
      </w:pPr>
      <w:r>
        <w:rPr>
          <w:rFonts w:ascii="Times New Roman" w:hAnsi="Times New Roman"/>
          <w:b w:val="false"/>
          <w:color w:val="000000"/>
          <w:sz w:val="20"/>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the SBA debentures, and the Notes (as defined in Note 6) are recorded at their respective carrying values.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The following tables summarize the carrying value and fair value of the Company’s debt obligations as of September 30, 2023 and December 31, 2022.</w:t>
      </w:r>
      <w:r>
        <w:rPr>
          <w:rFonts w:ascii="Times New Roman" w:hAnsi="Times New Roman"/>
          <w:color w:val="000000"/>
          <w:sz w:val="20"/>
        </w:rPr>
        <w:t xml:space="preserve"> </w:t>
      </w:r>
    </w:p>
    <w:p>
      <w:pPr>
        <w:pStyle w:val="TextBody"/>
        <w:bidi w:val="0"/>
        <w:jc w:val="both"/>
        <w:rPr/>
      </w:pPr>
      <w:r>
        <w:rPr/>
        <w:t> </w:t>
      </w:r>
    </w:p>
    <w:tbl>
      <w:tblPr>
        <w:tblW w:w="9029" w:type="dxa"/>
        <w:jc w:val="left"/>
        <w:tblInd w:w="0" w:type="dxa"/>
        <w:tblLayout w:type="fixed"/>
        <w:tblCellMar>
          <w:top w:w="28" w:type="dxa"/>
          <w:left w:w="28" w:type="dxa"/>
          <w:bottom w:w="28" w:type="dxa"/>
          <w:right w:w="28" w:type="dxa"/>
        </w:tblCellMar>
      </w:tblPr>
      <w:tblGrid>
        <w:gridCol w:w="2476"/>
        <w:gridCol w:w="146"/>
        <w:gridCol w:w="351"/>
        <w:gridCol w:w="1299"/>
        <w:gridCol w:w="146"/>
        <w:gridCol w:w="146"/>
        <w:gridCol w:w="217"/>
        <w:gridCol w:w="803"/>
        <w:gridCol w:w="146"/>
        <w:gridCol w:w="146"/>
        <w:gridCol w:w="351"/>
        <w:gridCol w:w="1299"/>
        <w:gridCol w:w="146"/>
        <w:gridCol w:w="146"/>
        <w:gridCol w:w="217"/>
        <w:gridCol w:w="803"/>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September 30, 2023</w:t>
            </w:r>
            <w:r>
              <w:rPr>
                <w:rFonts w:ascii="Times New Roman" w:hAnsi="Times New Roman"/>
                <w:b/>
                <w:color w:val="000000"/>
                <w:sz w:val="13"/>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December 31, 2022</w:t>
            </w:r>
            <w:r>
              <w:rPr>
                <w:rFonts w:ascii="Times New Roman" w:hAnsi="Times New Roman"/>
                <w:b/>
                <w:color w:val="000000"/>
                <w:sz w:val="13"/>
              </w:rPr>
              <w:t>(5)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SBA debentures </w:t>
            </w:r>
            <w:r>
              <w:rPr>
                <w:rFonts w:ascii="Times New Roman" w:hAnsi="Times New Roman"/>
                <w:b w:val="false"/>
                <w:color w:val="000000"/>
                <w:sz w:val="13"/>
              </w:rPr>
              <w:t>(2)</w:t>
            </w:r>
          </w:p>
        </w:tc>
        <w:tc>
          <w:tcPr>
            <w:tcW w:w="146"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9"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9"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153,000</w:t>
            </w:r>
          </w:p>
        </w:tc>
        <w:tc>
          <w:tcPr>
            <w:tcW w:w="191" w:type="dxa"/>
            <w:tcBorders/>
            <w:shd w:fill="CCEEFF"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Credit Facility borrowings </w:t>
            </w:r>
            <w:r>
              <w:rPr>
                <w:rFonts w:ascii="Times New Roman" w:hAnsi="Times New Roman"/>
                <w:b w:val="false"/>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4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January 2026 Notes </w:t>
            </w:r>
            <w:r>
              <w:rPr>
                <w:rFonts w:ascii="Times New Roman" w:hAnsi="Times New Roman"/>
                <w:b w:val="false"/>
                <w:color w:val="000000"/>
                <w:sz w:val="13"/>
              </w:rPr>
              <w:t>(4)</w:t>
            </w:r>
          </w:p>
        </w:tc>
        <w:tc>
          <w:tcPr>
            <w:tcW w:w="146"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112,417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111,854</w:t>
            </w:r>
          </w:p>
        </w:tc>
        <w:tc>
          <w:tcPr>
            <w:tcW w:w="191" w:type="dxa"/>
            <w:tcBorders/>
            <w:shd w:fill="CCEEFF"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November 2026 Notes </w:t>
            </w:r>
            <w:r>
              <w:rPr>
                <w:rFonts w:ascii="Times New Roman" w:hAnsi="Times New Roman"/>
                <w:b w:val="false"/>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3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405,036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368,817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Carrying value represents the outstanding principal balance of the debt obligation.</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(3)</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The fair value of borrowings under the Credit Facility, if valued under ASC Topic 820, are based on a market yield approach and current interest rates, which are Level 3 inputs to the market yield model.</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(4)</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The fair value of the January 2026 Notes (as defined in Note 6) and the November 2026 Notes (as defined in Note 6) are estimated by discounting the remaining payments using current market rates for similar instruments and considering such factors as the legal maturity date, which are Level 3 inputs under ASC Topic 820.</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(5)</w:t>
      </w:r>
    </w:p>
    <w:p>
      <w:pPr>
        <w:pStyle w:val="TextBody"/>
        <w:bidi w:val="0"/>
        <w:jc w:val="both"/>
        <w:rPr>
          <w:rFonts w:ascii="Times New Roman" w:hAnsi="Times New Roman"/>
          <w:sz w:val="20"/>
        </w:rPr>
      </w:pPr>
      <w:r>
        <w:rPr>
          <w:rFonts w:ascii="Times New Roman" w:hAnsi="Times New Roman"/>
          <w:b w:val="false"/>
          <w:color w:val="000000"/>
          <w:sz w:val="16"/>
        </w:rPr>
        <w:t>Totals exclude $16,319</w:t>
      </w:r>
      <w:r>
        <w:rPr>
          <w:rFonts w:ascii="Times New Roman" w:hAnsi="Times New Roman"/>
          <w:color w:val="000000"/>
          <w:sz w:val="20"/>
        </w:rPr>
        <w:t xml:space="preserve"> </w:t>
      </w:r>
      <w:r>
        <w:rPr>
          <w:rFonts w:ascii="Times New Roman" w:hAnsi="Times New Roman"/>
          <w:b w:val="false"/>
          <w:color w:val="000000"/>
          <w:sz w:val="16"/>
        </w:rPr>
        <w:t>and $16,880</w:t>
      </w:r>
      <w:r>
        <w:rPr>
          <w:rFonts w:ascii="Times New Roman" w:hAnsi="Times New Roman"/>
          <w:color w:val="000000"/>
          <w:sz w:val="20"/>
        </w:rPr>
        <w:t xml:space="preserve"> </w:t>
      </w:r>
      <w:r>
        <w:rPr>
          <w:rFonts w:ascii="Times New Roman" w:hAnsi="Times New Roman"/>
          <w:b w:val="false"/>
          <w:color w:val="000000"/>
          <w:sz w:val="16"/>
        </w:rPr>
        <w:t>of Secured Borrowings as of September 30, 2023 and December 31, 2022, respectively.</w:t>
      </w:r>
    </w:p>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summarizes the inputs used to value the Company’s debt obligations if measured at fair value as of September 30, 2023 and December 31, 2022.</w:t>
      </w:r>
    </w:p>
    <w:p>
      <w:pPr>
        <w:pStyle w:val="TextBody"/>
        <w:bidi w:val="0"/>
        <w:jc w:val="both"/>
        <w:rPr/>
      </w:pPr>
      <w:r>
        <w:rPr/>
        <w:t> </w:t>
      </w:r>
    </w:p>
    <w:tbl>
      <w:tblPr>
        <w:tblW w:w="4725" w:type="dxa"/>
        <w:jc w:val="left"/>
        <w:tblInd w:w="0" w:type="dxa"/>
        <w:tblLayout w:type="fixed"/>
        <w:tblCellMar>
          <w:top w:w="28" w:type="dxa"/>
          <w:left w:w="28" w:type="dxa"/>
          <w:bottom w:w="28" w:type="dxa"/>
          <w:right w:w="28" w:type="dxa"/>
        </w:tblCellMar>
      </w:tblPr>
      <w:tblGrid>
        <w:gridCol w:w="1531"/>
        <w:gridCol w:w="146"/>
        <w:gridCol w:w="276"/>
        <w:gridCol w:w="1029"/>
        <w:gridCol w:w="146"/>
        <w:gridCol w:w="146"/>
        <w:gridCol w:w="268"/>
        <w:gridCol w:w="992"/>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Level 3</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368,817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368,817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5. Related Party Transactions</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Investment Advisory Agreement:</w:t>
      </w:r>
      <w:r>
        <w:rPr>
          <w:rFonts w:ascii="Times New Roman" w:hAnsi="Times New Roman"/>
          <w:color w:val="000000"/>
          <w:sz w:val="20"/>
        </w:rPr>
        <w:t xml:space="preserve"> </w:t>
      </w:r>
      <w:r>
        <w:rPr>
          <w:rFonts w:ascii="Times New Roman" w:hAnsi="Times New Roman"/>
          <w:b w:val="false"/>
          <w:color w:val="000000"/>
          <w:sz w:val="20"/>
        </w:rPr>
        <w:t>The Company has entered into an Investment Advisory Agreement with the Investment Advisor. On June 8, 2023, the Board approved the renewal of the Investment Advisory Agreement for the period from June 20, 2023 through June 20, 2024.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The base management fee is calculated at an annual rate of 1.75% based on the average value of total assets (other than cash or cash equivalents but including assets purchased with borrowed amounts) at the end of the two most recently completed calendar quarters. The Board accepted a voluntary, non-contractual, and unconditional waiver from the Investment Advisor to exclude any investments recorded as secured borrowings as defined under GAAP from the base management fee payable effective April 1, 2021. The base management fee is payable quarterly in arrears. The base management fee under the Investment Advisory Agreement for the three and nine months ended September 30, 2023 was $4,161</w:t>
      </w:r>
      <w:r>
        <w:rPr>
          <w:rFonts w:ascii="Times New Roman" w:hAnsi="Times New Roman"/>
          <w:color w:val="000000"/>
          <w:sz w:val="20"/>
        </w:rPr>
        <w:t xml:space="preserve"> </w:t>
      </w:r>
      <w:r>
        <w:rPr>
          <w:rFonts w:ascii="Times New Roman" w:hAnsi="Times New Roman"/>
          <w:b w:val="false"/>
          <w:color w:val="000000"/>
          <w:sz w:val="20"/>
        </w:rPr>
        <w:t>and $12,066, respectively, and $3,763</w:t>
      </w:r>
      <w:r>
        <w:rPr>
          <w:rFonts w:ascii="Times New Roman" w:hAnsi="Times New Roman"/>
          <w:color w:val="000000"/>
          <w:sz w:val="20"/>
        </w:rPr>
        <w:t xml:space="preserve"> </w:t>
      </w:r>
      <w:r>
        <w:rPr>
          <w:rFonts w:ascii="Times New Roman" w:hAnsi="Times New Roman"/>
          <w:b w:val="false"/>
          <w:color w:val="000000"/>
          <w:sz w:val="20"/>
        </w:rPr>
        <w:t>and $10,724</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2022, respectively. The base management fee waiver for the three and nine months ended September 30, 2023 was $72</w:t>
      </w:r>
      <w:r>
        <w:rPr>
          <w:rFonts w:ascii="Times New Roman" w:hAnsi="Times New Roman"/>
          <w:color w:val="000000"/>
          <w:sz w:val="20"/>
        </w:rPr>
        <w:t xml:space="preserve"> </w:t>
      </w:r>
      <w:r>
        <w:rPr>
          <w:rFonts w:ascii="Times New Roman" w:hAnsi="Times New Roman"/>
          <w:b w:val="false"/>
          <w:color w:val="000000"/>
          <w:sz w:val="20"/>
        </w:rPr>
        <w:t>and $216, respectively, and $76</w:t>
      </w:r>
      <w:r>
        <w:rPr>
          <w:rFonts w:ascii="Times New Roman" w:hAnsi="Times New Roman"/>
          <w:color w:val="000000"/>
          <w:sz w:val="20"/>
        </w:rPr>
        <w:t xml:space="preserve"> </w:t>
      </w:r>
      <w:r>
        <w:rPr>
          <w:rFonts w:ascii="Times New Roman" w:hAnsi="Times New Roman"/>
          <w:b w:val="false"/>
          <w:color w:val="000000"/>
          <w:sz w:val="20"/>
        </w:rPr>
        <w:t>and $228</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2022, respectively. As of September 30, 2023 and December 31, 2022, the base management fee payable (net of the base management fee waiver) was $4,089</w:t>
      </w:r>
      <w:r>
        <w:rPr>
          <w:rFonts w:ascii="Times New Roman" w:hAnsi="Times New Roman"/>
          <w:color w:val="000000"/>
          <w:sz w:val="20"/>
        </w:rPr>
        <w:t xml:space="preserve"> </w:t>
      </w:r>
      <w:r>
        <w:rPr>
          <w:rFonts w:ascii="Times New Roman" w:hAnsi="Times New Roman"/>
          <w:b w:val="false"/>
          <w:color w:val="000000"/>
          <w:sz w:val="20"/>
        </w:rPr>
        <w:t>and $3,769, respectively.</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Under conditions such as the current rising interest rate environment,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r>
        <w:rPr>
          <w:rFonts w:ascii="Times New Roman" w:hAnsi="Times New Roman"/>
          <w:color w:val="000000"/>
          <w:sz w:val="20"/>
        </w:rPr>
        <w:t xml:space="preserve"> </w:t>
      </w:r>
    </w:p>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The Company pays the Investment Advisor an incentive fee with respect to pre-incentive fee net investment income in each calendar quarter as follows: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no</w:t>
      </w:r>
      <w:r>
        <w:rPr>
          <w:rFonts w:ascii="Times New Roman" w:hAnsi="Times New Roman"/>
          <w:color w:val="000000"/>
          <w:sz w:val="20"/>
        </w:rPr>
        <w:t xml:space="preserve"> </w:t>
      </w:r>
      <w:r>
        <w:rPr>
          <w:rFonts w:ascii="Times New Roman" w:hAnsi="Times New Roman"/>
          <w:b w:val="false"/>
          <w:color w:val="000000"/>
          <w:sz w:val="20"/>
        </w:rPr>
        <w:t>incentive fee in any calendar quarter in which the pre-incentive fee net investment income does not exceed the hurdle rate of 2.0%;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20.0% of the amount of the Company’s pre-incentive fee net investment income, if any, that exceeds 2.5% in any calendar quarter.</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The sum of the calculations above equals the income incentive fee. The income incentive fee is appropriately prorated for any period of less than three months and adjusted for any share issuances or repurchases during the calendar quarter. The income incentive fee for the three and nine months ended September 30, 2023 was $4,478</w:t>
      </w:r>
      <w:r>
        <w:rPr>
          <w:rFonts w:ascii="Times New Roman" w:hAnsi="Times New Roman"/>
          <w:color w:val="000000"/>
          <w:sz w:val="20"/>
        </w:rPr>
        <w:t xml:space="preserve"> </w:t>
      </w:r>
      <w:r>
        <w:rPr>
          <w:rFonts w:ascii="Times New Roman" w:hAnsi="Times New Roman"/>
          <w:b w:val="false"/>
          <w:color w:val="000000"/>
          <w:sz w:val="20"/>
        </w:rPr>
        <w:t>and $11,959, respectively, and $3,047</w:t>
      </w:r>
      <w:r>
        <w:rPr>
          <w:rFonts w:ascii="Times New Roman" w:hAnsi="Times New Roman"/>
          <w:color w:val="000000"/>
          <w:sz w:val="20"/>
        </w:rPr>
        <w:t xml:space="preserve"> </w:t>
      </w:r>
      <w:r>
        <w:rPr>
          <w:rFonts w:ascii="Times New Roman" w:hAnsi="Times New Roman"/>
          <w:b w:val="false"/>
          <w:color w:val="000000"/>
          <w:sz w:val="20"/>
        </w:rPr>
        <w:t>and $5,283</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2022, respectively. As of September 30, 2023 and December 31, 2022, the income incentive fee payable was $4,479</w:t>
      </w:r>
      <w:r>
        <w:rPr>
          <w:rFonts w:ascii="Times New Roman" w:hAnsi="Times New Roman"/>
          <w:color w:val="000000"/>
          <w:sz w:val="20"/>
        </w:rPr>
        <w:t xml:space="preserve"> </w:t>
      </w:r>
      <w:r>
        <w:rPr>
          <w:rFonts w:ascii="Times New Roman" w:hAnsi="Times New Roman"/>
          <w:b w:val="false"/>
          <w:color w:val="000000"/>
          <w:sz w:val="20"/>
        </w:rPr>
        <w:t>and $3,035, respectively.</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September 30, 2023 and December 31, 2022, the capital gains incentive fee payable in cash was $238</w:t>
      </w:r>
      <w:r>
        <w:rPr>
          <w:rFonts w:ascii="Times New Roman" w:hAnsi="Times New Roman"/>
          <w:color w:val="000000"/>
          <w:sz w:val="20"/>
        </w:rPr>
        <w:t xml:space="preserve"> </w:t>
      </w:r>
      <w:r>
        <w:rPr>
          <w:rFonts w:ascii="Times New Roman" w:hAnsi="Times New Roman"/>
          <w:b w:val="false"/>
          <w:color w:val="000000"/>
          <w:sz w:val="20"/>
        </w:rPr>
        <w:t>and $7,556, respectively (as cumulative aggregate realized capital gains and losses on investments exceeded aggregate unrealized capital depreciation on investments plus realized losses on extinguishment of debt as of December 31, 2022). The aggregate amount of capital gains incentive fees paid from the IPO through September 30, 2023 was $14,040.</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plus (ii) net unrealized appreciation/(depreciation) on investments plus (iii) realized losses on extinguishment of debt. The capital gains incentive fee accrued (reversed) during the three and nine months ended September 30, 2023 was $1,528</w:t>
      </w:r>
      <w:r>
        <w:rPr>
          <w:rFonts w:ascii="Times New Roman" w:hAnsi="Times New Roman"/>
          <w:color w:val="000000"/>
          <w:sz w:val="20"/>
        </w:rPr>
        <w:t xml:space="preserve"> </w:t>
      </w:r>
      <w:r>
        <w:rPr>
          <w:rFonts w:ascii="Times New Roman" w:hAnsi="Times New Roman"/>
          <w:b w:val="false"/>
          <w:color w:val="000000"/>
          <w:sz w:val="20"/>
        </w:rPr>
        <w:t>and $507, respectively, and $(258)</w:t>
      </w:r>
      <w:r>
        <w:rPr>
          <w:rFonts w:ascii="Times New Roman" w:hAnsi="Times New Roman"/>
          <w:color w:val="000000"/>
          <w:sz w:val="20"/>
        </w:rPr>
        <w:t xml:space="preserve"> </w:t>
      </w:r>
      <w:r>
        <w:rPr>
          <w:rFonts w:ascii="Times New Roman" w:hAnsi="Times New Roman"/>
          <w:b w:val="false"/>
          <w:color w:val="000000"/>
          <w:sz w:val="20"/>
        </w:rPr>
        <w:t>and $(593)</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2022, respectively. As of September 30, 2023 and December 31, 2022, the accrued capital gains incentive fee payable was $15,611</w:t>
      </w:r>
      <w:r>
        <w:rPr>
          <w:rFonts w:ascii="Times New Roman" w:hAnsi="Times New Roman"/>
          <w:color w:val="000000"/>
          <w:sz w:val="20"/>
        </w:rPr>
        <w:t xml:space="preserve"> </w:t>
      </w:r>
      <w:r>
        <w:rPr>
          <w:rFonts w:ascii="Times New Roman" w:hAnsi="Times New Roman"/>
          <w:b w:val="false"/>
          <w:color w:val="000000"/>
          <w:sz w:val="20"/>
        </w:rPr>
        <w:t>and $22,659, respectively.</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w:t>
      </w:r>
      <w:r>
        <w:rPr>
          <w:rFonts w:ascii="Times New Roman" w:hAnsi="Times New Roman"/>
          <w:color w:val="000000"/>
          <w:sz w:val="20"/>
        </w:rPr>
        <w:t xml:space="preserve"> </w:t>
      </w:r>
      <w:r>
        <w:rPr>
          <w:rFonts w:ascii="Times New Roman" w:hAnsi="Times New Roman"/>
          <w:b w:val="false"/>
          <w:color w:val="000000"/>
          <w:sz w:val="20"/>
        </w:rPr>
        <w:t>days’ written notice to the other. The holders of a majority of the Company’s outstanding voting securities may also terminate the Investment Advisory Agreement without penalty.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Administration Agreement: </w:t>
      </w:r>
      <w:r>
        <w:rPr>
          <w:rFonts w:ascii="Times New Roman" w:hAnsi="Times New Roman"/>
          <w:b w:val="false"/>
          <w:color w:val="000000"/>
          <w:sz w:val="20"/>
        </w:rPr>
        <w:t>The Company also entered into an administration agreement (the “Administration Agreement”) with the Investment Advisor. On June 8, 2023, the Board approved the renewal of the Administration Agreement for the period from June 20, 2023 through June 20, 2024.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hAnsi="Times New Roman"/>
          <w:b w:val="false"/>
          <w:i/>
          <w:color w:val="000000"/>
          <w:sz w:val="20"/>
        </w:rPr>
        <w:t>.</w:t>
      </w:r>
      <w:r>
        <w:rPr>
          <w:rFonts w:ascii="Times New Roman" w:hAnsi="Times New Roman"/>
          <w:color w:val="000000"/>
          <w:sz w:val="20"/>
        </w:rPr>
        <w:t xml:space="preserve"> </w:t>
      </w:r>
      <w:r>
        <w:rPr>
          <w:rFonts w:ascii="Times New Roman" w:hAnsi="Times New Roman"/>
          <w:b w:val="false"/>
          <w:color w:val="000000"/>
          <w:sz w:val="20"/>
        </w:rPr>
        <w:t>Under the Administration Agreement, administrative service expenses for the three and nine months ended September 30, 2023 was $581</w:t>
      </w:r>
      <w:r>
        <w:rPr>
          <w:rFonts w:ascii="Times New Roman" w:hAnsi="Times New Roman"/>
          <w:color w:val="000000"/>
          <w:sz w:val="20"/>
        </w:rPr>
        <w:t xml:space="preserve"> </w:t>
      </w:r>
      <w:r>
        <w:rPr>
          <w:rFonts w:ascii="Times New Roman" w:hAnsi="Times New Roman"/>
          <w:b w:val="false"/>
          <w:color w:val="000000"/>
          <w:sz w:val="20"/>
        </w:rPr>
        <w:t>and $1,672, respectively, and $480</w:t>
      </w:r>
      <w:r>
        <w:rPr>
          <w:rFonts w:ascii="Times New Roman" w:hAnsi="Times New Roman"/>
          <w:color w:val="000000"/>
          <w:sz w:val="20"/>
        </w:rPr>
        <w:t xml:space="preserve"> </w:t>
      </w:r>
      <w:r>
        <w:rPr>
          <w:rFonts w:ascii="Times New Roman" w:hAnsi="Times New Roman"/>
          <w:b w:val="false"/>
          <w:color w:val="000000"/>
          <w:sz w:val="20"/>
        </w:rPr>
        <w:t>and $1,412</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2022, respectively. As of September 30, 2023 and December 31, 2022, the accrued administrative service expense payable was $584</w:t>
      </w:r>
      <w:r>
        <w:rPr>
          <w:rFonts w:ascii="Times New Roman" w:hAnsi="Times New Roman"/>
          <w:color w:val="000000"/>
          <w:sz w:val="20"/>
        </w:rPr>
        <w:t xml:space="preserve"> </w:t>
      </w:r>
      <w:r>
        <w:rPr>
          <w:rFonts w:ascii="Times New Roman" w:hAnsi="Times New Roman"/>
          <w:b w:val="false"/>
          <w:color w:val="000000"/>
          <w:sz w:val="20"/>
        </w:rPr>
        <w:t>and $700, respectively.</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Revolving Credit Facility</w:t>
      </w:r>
      <w:r>
        <w:rPr>
          <w:rFonts w:ascii="Times New Roman" w:hAnsi="Times New Roman"/>
          <w:b w:val="false"/>
          <w:color w:val="000000"/>
          <w:sz w:val="20"/>
        </w:rPr>
        <w:t>: On June 16, 2014, FIC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as administrative agent. On June 26, 2020, the Company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w:t>
      </w:r>
      <w:r>
        <w:rPr>
          <w:rFonts w:ascii="Times New Roman" w:hAnsi="Times New Roman"/>
          <w:color w:val="000000"/>
          <w:sz w:val="20"/>
        </w:rPr>
        <w:t xml:space="preserve"> </w:t>
      </w:r>
      <w:r>
        <w:rPr>
          <w:rFonts w:ascii="Times New Roman" w:hAnsi="Times New Roman"/>
          <w:b w:val="false"/>
          <w:color w:val="000000"/>
          <w:sz w:val="20"/>
        </w:rPr>
        <w:t>from April 24, 2023; and (v) amended certain financial covenants, including (a) amending the asset coverage ratio to no less than 1.50</w:t>
      </w:r>
      <w:r>
        <w:rPr>
          <w:rFonts w:ascii="Times New Roman" w:hAnsi="Times New Roman"/>
          <w:color w:val="000000"/>
          <w:sz w:val="20"/>
        </w:rPr>
        <w:t xml:space="preserve"> </w:t>
      </w:r>
      <w:r>
        <w:rPr>
          <w:rFonts w:ascii="Times New Roman" w:hAnsi="Times New Roman"/>
          <w:b w:val="false"/>
          <w:color w:val="000000"/>
          <w:sz w:val="20"/>
        </w:rPr>
        <w:t>to 1.00 from no less than 2.00</w:t>
      </w:r>
      <w:r>
        <w:rPr>
          <w:rFonts w:ascii="Times New Roman" w:hAnsi="Times New Roman"/>
          <w:color w:val="000000"/>
          <w:sz w:val="20"/>
        </w:rPr>
        <w:t xml:space="preserve"> </w:t>
      </w:r>
      <w:r>
        <w:rPr>
          <w:rFonts w:ascii="Times New Roman" w:hAnsi="Times New Roman"/>
          <w:b w:val="false"/>
          <w:color w:val="000000"/>
          <w:sz w:val="20"/>
        </w:rPr>
        <w:t>to 1.00 (on a regulatory basis); and (b) requiring the Company to maintain a senior asset coverage ratio of no less than 2.00</w:t>
      </w:r>
      <w:r>
        <w:rPr>
          <w:rFonts w:ascii="Times New Roman" w:hAnsi="Times New Roman"/>
          <w:color w:val="000000"/>
          <w:sz w:val="20"/>
        </w:rPr>
        <w:t xml:space="preserve"> </w:t>
      </w:r>
      <w:r>
        <w:rPr>
          <w:rFonts w:ascii="Times New Roman" w:hAnsi="Times New Roman"/>
          <w:b w:val="false"/>
          <w:color w:val="000000"/>
          <w:sz w:val="20"/>
        </w:rPr>
        <w:t>to 1.00.</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Company pays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September 30, 2023 and December 31, 2022, the Company was in compliance in all material respects with the terms of the Credit Agreement.</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SBA debentures:</w:t>
      </w:r>
      <w:r>
        <w:rPr>
          <w:rFonts w:ascii="Times New Roman" w:hAnsi="Times New Roman"/>
          <w:color w:val="000000"/>
          <w:sz w:val="20"/>
        </w:rPr>
        <w:t xml:space="preserve"> </w:t>
      </w:r>
      <w:r>
        <w:rPr>
          <w:rFonts w:ascii="Times New Roman" w:hAnsi="Times New Roman"/>
          <w:b w:val="false"/>
          <w:color w:val="000000"/>
          <w:sz w:val="20"/>
        </w:rPr>
        <w:t>The Company uses debenture leverage provided through the SBA to fund a portion of its investment purchases.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September 30, 2023 and December 31, 2022, approved and unused SBA debenture commitments were $22,000</w:t>
      </w:r>
      <w:r>
        <w:rPr>
          <w:rFonts w:ascii="Times New Roman" w:hAnsi="Times New Roman"/>
          <w:color w:val="000000"/>
          <w:sz w:val="20"/>
        </w:rPr>
        <w:t xml:space="preserve"> </w:t>
      </w:r>
      <w:r>
        <w:rPr>
          <w:rFonts w:ascii="Times New Roman" w:hAnsi="Times New Roman"/>
          <w:b w:val="false"/>
          <w:color w:val="000000"/>
          <w:sz w:val="20"/>
        </w:rPr>
        <w:t>and $37,000, respectively. The SBA may limit the amount that may be drawn each year under these commitments, and each issuance of leverage is conditioned on the Company’s full compliance, as determined by the SBA, with the terms and conditions under SBA regulations.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As of September 30, 2023 and December 31, 2022, the Company’s issued and outstanding SBA debentures mature as follows:</w:t>
      </w:r>
    </w:p>
    <w:p>
      <w:pPr>
        <w:pStyle w:val="TextBody"/>
        <w:bidi w:val="0"/>
        <w:jc w:val="both"/>
        <w:rPr/>
      </w:pPr>
      <w:r>
        <w:rPr/>
        <w:t> </w:t>
      </w:r>
    </w:p>
    <w:tbl>
      <w:tblPr>
        <w:tblW w:w="8799" w:type="dxa"/>
        <w:jc w:val="left"/>
        <w:tblInd w:w="0" w:type="dxa"/>
        <w:tblLayout w:type="fixed"/>
        <w:tblCellMar>
          <w:top w:w="28" w:type="dxa"/>
          <w:left w:w="28" w:type="dxa"/>
          <w:bottom w:w="28" w:type="dxa"/>
          <w:right w:w="28" w:type="dxa"/>
        </w:tblCellMar>
      </w:tblPr>
      <w:tblGrid>
        <w:gridCol w:w="2926"/>
        <w:gridCol w:w="146"/>
        <w:gridCol w:w="871"/>
        <w:gridCol w:w="146"/>
        <w:gridCol w:w="240"/>
        <w:gridCol w:w="945"/>
        <w:gridCol w:w="146"/>
        <w:gridCol w:w="331"/>
        <w:gridCol w:w="276"/>
        <w:gridCol w:w="1029"/>
        <w:gridCol w:w="146"/>
        <w:gridCol w:w="146"/>
        <w:gridCol w:w="268"/>
        <w:gridCol w:w="992"/>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Pooling</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Fixed</w:t>
            </w:r>
          </w:p>
        </w:tc>
        <w:tc>
          <w:tcPr>
            <w:tcW w:w="146" w:type="dxa"/>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Date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3/25/2015</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3/1/2025</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3.277</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3/23/2016</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3/1/2026</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3.267</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3/23/2016</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3/1/2026</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3.249</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9/21/2016</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9/1/2026</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2.793</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9/20/2017</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9/1/2027</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3.260</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9/20/2017</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9/1/2027</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3.190</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9/25/2019</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9/1/2029</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2.377</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3/25/2020</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3/1/2030</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2.172</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9/22/2021</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9/1/2031</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3/23/2022</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3/1/2032</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3.209</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9/21/2022</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9/1/2032</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4.533</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5.439</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5.341</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5.439</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5.439</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5.341</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9/20/2023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9/20/2023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5.861</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9/20/2023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9/20/2023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5.861</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9/20/2023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5.735</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outstanding SBA debentures</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2"/>
        <w:gridCol w:w="9893"/>
      </w:tblGrid>
      <w:tr>
        <w:trPr/>
        <w:tc>
          <w:tcPr>
            <w:tcW w:w="312" w:type="dxa"/>
            <w:tcBorders/>
            <w:vAlign w:val="center"/>
          </w:tcPr>
          <w:p>
            <w:pPr>
              <w:pStyle w:val="TableContents"/>
              <w:bidi w:val="0"/>
              <w:spacing w:before="0" w:after="283"/>
              <w:jc w:val="left"/>
              <w:rPr>
                <w:sz w:val="4"/>
                <w:szCs w:val="4"/>
              </w:rPr>
            </w:pPr>
            <w:r>
              <w:rPr>
                <w:sz w:val="4"/>
                <w:szCs w:val="4"/>
              </w:rPr>
            </w:r>
          </w:p>
        </w:tc>
        <w:tc>
          <w:tcPr>
            <w:tcW w:w="9893" w:type="dxa"/>
            <w:tcBorders/>
            <w:vAlign w:val="center"/>
          </w:tcPr>
          <w:p>
            <w:pPr>
              <w:pStyle w:val="TableContents"/>
              <w:bidi w:val="0"/>
              <w:spacing w:before="0" w:after="283"/>
              <w:jc w:val="left"/>
              <w:rPr>
                <w:sz w:val="4"/>
                <w:szCs w:val="4"/>
              </w:rPr>
            </w:pPr>
            <w:r>
              <w:rPr>
                <w:sz w:val="4"/>
                <w:szCs w:val="4"/>
              </w:rPr>
            </w:r>
          </w:p>
        </w:tc>
      </w:tr>
      <w:tr>
        <w:trPr/>
        <w:tc>
          <w:tcPr>
            <w:tcW w:w="3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w:t>
            </w:r>
          </w:p>
        </w:tc>
        <w:tc>
          <w:tcPr>
            <w:tcW w:w="98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The SBA has two scheduled pooling dates for debentures (in March and in September). Certain debentures funded during the reporting periods may not be pooled until the subsequent pooling date.</w:t>
            </w:r>
          </w:p>
        </w:tc>
      </w:tr>
    </w:tbl>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Notes: </w:t>
      </w:r>
      <w:r>
        <w:rPr>
          <w:rFonts w:ascii="Times New Roman" w:hAnsi="Times New Roman"/>
          <w:b w:val="false"/>
          <w:color w:val="000000"/>
          <w:sz w:val="20"/>
        </w:rPr>
        <w:t>On December 23, 2020, the Company closed the offering of $125,000</w:t>
      </w:r>
      <w:r>
        <w:rPr>
          <w:rFonts w:ascii="Times New Roman" w:hAnsi="Times New Roman"/>
          <w:color w:val="000000"/>
          <w:sz w:val="20"/>
        </w:rPr>
        <w:t xml:space="preserve"> </w:t>
      </w:r>
      <w:r>
        <w:rPr>
          <w:rFonts w:ascii="Times New Roman" w:hAnsi="Times New Roman"/>
          <w:b w:val="false"/>
          <w:color w:val="000000"/>
          <w:sz w:val="20"/>
        </w:rPr>
        <w:t>in aggregate principal amount of its 4.75% notes due 2026, or the “January 2026 Notes”. The total net proceeds to the Company from the January 2026 Notes, based on a public offering price of 100.00% of par, after deducting underwriting discounts of $2,500</w:t>
      </w:r>
      <w:r>
        <w:rPr>
          <w:rFonts w:ascii="Times New Roman" w:hAnsi="Times New Roman"/>
          <w:color w:val="000000"/>
          <w:sz w:val="20"/>
        </w:rPr>
        <w:t xml:space="preserve"> </w:t>
      </w:r>
      <w:r>
        <w:rPr>
          <w:rFonts w:ascii="Times New Roman" w:hAnsi="Times New Roman"/>
          <w:b w:val="false"/>
          <w:color w:val="000000"/>
          <w:sz w:val="20"/>
        </w:rPr>
        <w:t>and offering expenses of $366, were approximately $122,134. The January 2026 Notes will mature on January 31, 2026</w:t>
      </w:r>
      <w:r>
        <w:rPr>
          <w:rFonts w:ascii="Times New Roman" w:hAnsi="Times New Roman"/>
          <w:color w:val="000000"/>
          <w:sz w:val="20"/>
        </w:rPr>
        <w:t xml:space="preserve"> </w:t>
      </w:r>
      <w:r>
        <w:rPr>
          <w:rFonts w:ascii="Times New Roman" w:hAnsi="Times New Roman"/>
          <w:b w:val="false"/>
          <w:color w:val="000000"/>
          <w:sz w:val="20"/>
        </w:rPr>
        <w:t>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The Company does not intend to list the January 2026 Notes on any securities exchange or automated dealer quotation system.</w:t>
        <w:br/>
      </w:r>
      <w:r>
        <w:rPr>
          <w:rFonts w:ascii="Times New Roman" w:hAnsi="Times New Roman"/>
          <w:color w:val="000000"/>
          <w:sz w:val="20"/>
        </w:rPr>
        <w:t>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On October 8, 2021, the Company closed the offering of $125,000</w:t>
      </w:r>
      <w:r>
        <w:rPr>
          <w:rFonts w:ascii="Times New Roman" w:hAnsi="Times New Roman"/>
          <w:color w:val="000000"/>
          <w:sz w:val="20"/>
        </w:rPr>
        <w:t xml:space="preserve"> </w:t>
      </w:r>
      <w:r>
        <w:rPr>
          <w:rFonts w:ascii="Times New Roman" w:hAnsi="Times New Roman"/>
          <w:b w:val="false"/>
          <w:color w:val="000000"/>
          <w:sz w:val="20"/>
        </w:rPr>
        <w:t>in aggregate principal amount of its 3.50% notes due 2026, or the “November 2026 Notes” (collectively with the January 2026 Notes, the “Notes”). The total net proceeds to the Company from the November 2026 Notes, based on a public offering price of 99.996% of par, after deducting underwriting discounts of $2,500</w:t>
      </w:r>
      <w:r>
        <w:rPr>
          <w:rFonts w:ascii="Times New Roman" w:hAnsi="Times New Roman"/>
          <w:color w:val="000000"/>
          <w:sz w:val="20"/>
        </w:rPr>
        <w:t xml:space="preserve"> </w:t>
      </w:r>
      <w:r>
        <w:rPr>
          <w:rFonts w:ascii="Times New Roman" w:hAnsi="Times New Roman"/>
          <w:b w:val="false"/>
          <w:color w:val="000000"/>
          <w:sz w:val="20"/>
        </w:rPr>
        <w:t>and offering expenses of $318, were approximately $122,177. The November 2026 Notes will mature on November 15, 2026</w:t>
      </w:r>
      <w:r>
        <w:rPr>
          <w:rFonts w:ascii="Times New Roman" w:hAnsi="Times New Roman"/>
          <w:color w:val="000000"/>
          <w:sz w:val="20"/>
        </w:rPr>
        <w:t xml:space="preserve"> </w:t>
      </w:r>
      <w:r>
        <w:rPr>
          <w:rFonts w:ascii="Times New Roman" w:hAnsi="Times New Roman"/>
          <w:b w:val="false"/>
          <w:color w:val="000000"/>
          <w:sz w:val="20"/>
        </w:rPr>
        <w:t>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The Company does not intend to list the November 2026 Notes on any securities exchange or automated dealer quotation system.</w:t>
        <w:br/>
      </w:r>
      <w:r>
        <w:rPr>
          <w:rFonts w:ascii="Times New Roman" w:hAnsi="Times New Roman"/>
          <w:color w:val="000000"/>
          <w:sz w:val="20"/>
        </w:rPr>
        <w:t>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 including the Credit Facility.</w:t>
      </w:r>
      <w:r>
        <w:rPr>
          <w:rFonts w:ascii="Times New Roman" w:hAnsi="Times New Roman"/>
          <w:b w:val="false"/>
          <w:i/>
          <w:color w:val="000000"/>
          <w:sz w:val="20"/>
        </w:rPr>
        <w:br/>
      </w:r>
      <w:r>
        <w:rPr>
          <w:rFonts w:ascii="Times New Roman" w:hAnsi="Times New Roman"/>
          <w:color w:val="000000"/>
          <w:sz w:val="20"/>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Secured Borrowing</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As of September 30, 2023 and December 31, 2022, the carrying value of secured borrowings totaled $16,319</w:t>
      </w:r>
      <w:r>
        <w:rPr>
          <w:rFonts w:ascii="Times New Roman" w:hAnsi="Times New Roman"/>
          <w:color w:val="000000"/>
          <w:sz w:val="20"/>
        </w:rPr>
        <w:t xml:space="preserve"> </w:t>
      </w:r>
      <w:r>
        <w:rPr>
          <w:rFonts w:ascii="Times New Roman" w:hAnsi="Times New Roman"/>
          <w:b w:val="false"/>
          <w:color w:val="000000"/>
          <w:sz w:val="20"/>
        </w:rPr>
        <w:t>and $16,880, respectively, and the fair value of the associated loans included in investments was $16,241</w:t>
      </w:r>
      <w:r>
        <w:rPr>
          <w:rFonts w:ascii="Times New Roman" w:hAnsi="Times New Roman"/>
          <w:color w:val="000000"/>
          <w:sz w:val="20"/>
        </w:rPr>
        <w:t xml:space="preserve"> </w:t>
      </w:r>
      <w:r>
        <w:rPr>
          <w:rFonts w:ascii="Times New Roman" w:hAnsi="Times New Roman"/>
          <w:b w:val="false"/>
          <w:color w:val="000000"/>
          <w:sz w:val="20"/>
        </w:rPr>
        <w:t>and $16,875, respectively.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9.3%</w:t>
      </w:r>
      <w:r>
        <w:rPr>
          <w:rFonts w:ascii="Times New Roman" w:hAnsi="Times New Roman"/>
          <w:color w:val="000000"/>
          <w:sz w:val="20"/>
        </w:rPr>
        <w:t xml:space="preserve"> </w:t>
      </w:r>
      <w:r>
        <w:rPr>
          <w:rFonts w:ascii="Times New Roman" w:hAnsi="Times New Roman"/>
          <w:b w:val="false"/>
          <w:color w:val="000000"/>
          <w:sz w:val="20"/>
        </w:rPr>
        <w:t>and 7.8%</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Senior Securities</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As of September 30, 2023, and December 31, 2022, the aggregate amount outstanding of the senior securities (including secured borrowings) issued by the Company was $266,319</w:t>
      </w:r>
      <w:r>
        <w:rPr>
          <w:rFonts w:ascii="Times New Roman" w:hAnsi="Times New Roman"/>
          <w:color w:val="000000"/>
          <w:sz w:val="20"/>
        </w:rPr>
        <w:t xml:space="preserve"> </w:t>
      </w:r>
      <w:r>
        <w:rPr>
          <w:rFonts w:ascii="Times New Roman" w:hAnsi="Times New Roman"/>
          <w:b w:val="false"/>
          <w:color w:val="000000"/>
          <w:sz w:val="20"/>
        </w:rPr>
        <w:t>and $266,880, respectively, for which our asset coverage was 306.0%</w:t>
      </w:r>
      <w:r>
        <w:rPr>
          <w:rFonts w:ascii="Times New Roman" w:hAnsi="Times New Roman"/>
          <w:color w:val="000000"/>
          <w:sz w:val="20"/>
        </w:rPr>
        <w:t xml:space="preserve"> </w:t>
      </w:r>
      <w:r>
        <w:rPr>
          <w:rFonts w:ascii="Times New Roman" w:hAnsi="Times New Roman"/>
          <w:b w:val="false"/>
          <w:color w:val="000000"/>
          <w:sz w:val="20"/>
        </w:rPr>
        <w:t>and 280.0%, respectively. The SBA debentures are excluded from the definition “senior securities” in the asset coverage requirement applicable to the Company under the 1940 Act pursuant to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Interest and Financing Expenses</w:t>
      </w:r>
    </w:p>
    <w:p>
      <w:pPr>
        <w:pStyle w:val="TextBody"/>
        <w:bidi w:val="0"/>
        <w:spacing w:before="180" w:after="120"/>
        <w:jc w:val="both"/>
        <w:rPr>
          <w:rFonts w:ascii="Times New Roman" w:hAnsi="Times New Roman"/>
          <w:b w:val="false"/>
          <w:color w:val="000000"/>
          <w:sz w:val="20"/>
        </w:rPr>
      </w:pPr>
      <w:r>
        <w:rPr>
          <w:rFonts w:ascii="Times New Roman" w:hAnsi="Times New Roman"/>
          <w:b w:val="false"/>
          <w:color w:val="000000"/>
          <w:sz w:val="20"/>
        </w:rPr>
        <w:t>Interest and fees related to the Company’s debt for the three and nine months ended September 30, 2023 and 2022 which are included in interest and financing expenses on the consolidated statements of operations, were as follows:</w:t>
      </w:r>
    </w:p>
    <w:tbl>
      <w:tblPr>
        <w:tblW w:w="10205" w:type="dxa"/>
        <w:jc w:val="left"/>
        <w:tblInd w:w="0" w:type="dxa"/>
        <w:tblLayout w:type="fixed"/>
        <w:tblCellMar>
          <w:top w:w="28" w:type="dxa"/>
          <w:left w:w="28" w:type="dxa"/>
          <w:bottom w:w="28" w:type="dxa"/>
          <w:right w:w="28" w:type="dxa"/>
        </w:tblCellMar>
      </w:tblPr>
      <w:tblGrid>
        <w:gridCol w:w="1316"/>
        <w:gridCol w:w="146"/>
        <w:gridCol w:w="207"/>
        <w:gridCol w:w="469"/>
        <w:gridCol w:w="146"/>
        <w:gridCol w:w="146"/>
        <w:gridCol w:w="182"/>
        <w:gridCol w:w="314"/>
        <w:gridCol w:w="146"/>
        <w:gridCol w:w="146"/>
        <w:gridCol w:w="259"/>
        <w:gridCol w:w="447"/>
        <w:gridCol w:w="146"/>
        <w:gridCol w:w="146"/>
        <w:gridCol w:w="166"/>
        <w:gridCol w:w="376"/>
        <w:gridCol w:w="146"/>
        <w:gridCol w:w="146"/>
        <w:gridCol w:w="166"/>
        <w:gridCol w:w="376"/>
        <w:gridCol w:w="146"/>
        <w:gridCol w:w="146"/>
        <w:gridCol w:w="207"/>
        <w:gridCol w:w="469"/>
        <w:gridCol w:w="146"/>
        <w:gridCol w:w="146"/>
        <w:gridCol w:w="182"/>
        <w:gridCol w:w="314"/>
        <w:gridCol w:w="146"/>
        <w:gridCol w:w="146"/>
        <w:gridCol w:w="259"/>
        <w:gridCol w:w="447"/>
        <w:gridCol w:w="146"/>
        <w:gridCol w:w="146"/>
        <w:gridCol w:w="166"/>
        <w:gridCol w:w="376"/>
        <w:gridCol w:w="146"/>
        <w:gridCol w:w="146"/>
        <w:gridCol w:w="166"/>
        <w:gridCol w:w="376"/>
        <w:gridCol w:w="191"/>
      </w:tblGrid>
      <w:tr>
        <w:trPr/>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Three Months Ended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3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Three Months Ended 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67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SBA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Credit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Secured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SBA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Credit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Secured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debentures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debentures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6" w:type="dxa"/>
            <w:tcBorders/>
            <w:shd w:fill="CCEEFF" w:val="clear"/>
            <w:vAlign w:val="center"/>
          </w:tcPr>
          <w:p>
            <w:pPr>
              <w:pStyle w:val="TableContents"/>
              <w:bidi w:val="0"/>
              <w:spacing w:before="0" w:after="283"/>
              <w:jc w:val="both"/>
              <w:rPr>
                <w:rFonts w:ascii="Times New Roman" w:hAnsi="Times New Roman"/>
                <w:b w:val="false"/>
                <w:color w:val="000000"/>
                <w:sz w:val="12"/>
              </w:rPr>
            </w:pPr>
            <w:r>
              <w:rPr>
                <w:rFonts w:ascii="Times New Roman" w:hAnsi="Times New Roman"/>
                <w:b w:val="false"/>
                <w:color w:val="000000"/>
                <w:sz w:val="12"/>
              </w:rPr>
              <w:t>Stated interest expense</w:t>
            </w:r>
          </w:p>
        </w:tc>
        <w:tc>
          <w:tcPr>
            <w:tcW w:w="146" w:type="dxa"/>
            <w:tcBorders/>
            <w:shd w:fill="CCEEFF" w:val="clear"/>
            <w:vAlign w:val="center"/>
          </w:tcPr>
          <w:p>
            <w:pPr>
              <w:pStyle w:val="TableContents"/>
              <w:bidi w:val="0"/>
              <w:spacing w:before="0" w:after="283"/>
              <w:jc w:val="both"/>
              <w:rPr/>
            </w:pPr>
            <w:r>
              <w:rPr/>
              <w:t> </w:t>
            </w:r>
          </w:p>
        </w:tc>
        <w:tc>
          <w:tcPr>
            <w:tcW w:w="207" w:type="dxa"/>
            <w:tcBorders/>
            <w:shd w:fill="CCEE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1,899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14"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47"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2,578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5,437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14"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47"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2,578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4,156</w:t>
            </w:r>
          </w:p>
        </w:tc>
        <w:tc>
          <w:tcPr>
            <w:tcW w:w="191" w:type="dxa"/>
            <w:tcBorders/>
            <w:shd w:fill="CCEEFF" w:val="clear"/>
            <w:vAlign w:val="center"/>
          </w:tcPr>
          <w:p>
            <w:pPr>
              <w:pStyle w:val="TableContents"/>
              <w:bidi w:val="0"/>
              <w:spacing w:before="0" w:after="283"/>
              <w:jc w:val="left"/>
              <w:rPr/>
            </w:pPr>
            <w:r>
              <w:rPr/>
              <w:t> </w:t>
            </w:r>
          </w:p>
        </w:tc>
      </w:tr>
      <w:tr>
        <w:trPr/>
        <w:tc>
          <w:tcPr>
            <w:tcW w:w="1316" w:type="dxa"/>
            <w:tcBorders/>
            <w:shd w:fill="FFFFFF" w:val="clear"/>
            <w:vAlign w:val="center"/>
          </w:tcPr>
          <w:p>
            <w:pPr>
              <w:pStyle w:val="TableContents"/>
              <w:bidi w:val="0"/>
              <w:spacing w:before="0" w:after="283"/>
              <w:jc w:val="both"/>
              <w:rPr>
                <w:rFonts w:ascii="Times New Roman" w:hAnsi="Times New Roman"/>
                <w:b w:val="false"/>
                <w:color w:val="000000"/>
                <w:sz w:val="12"/>
              </w:rPr>
            </w:pPr>
            <w:r>
              <w:rPr>
                <w:rFonts w:ascii="Times New Roman" w:hAnsi="Times New Roman"/>
                <w:b w:val="false"/>
                <w:color w:val="000000"/>
                <w:sz w:val="12"/>
              </w:rPr>
              <w:t>Amortization of deferred financing costs</w:t>
            </w:r>
          </w:p>
        </w:tc>
        <w:tc>
          <w:tcPr>
            <w:tcW w:w="146" w:type="dxa"/>
            <w:tcBorders/>
            <w:shd w:fill="FFFFFF" w:val="clear"/>
            <w:vAlign w:val="center"/>
          </w:tcPr>
          <w:p>
            <w:pPr>
              <w:pStyle w:val="TableContents"/>
              <w:bidi w:val="0"/>
              <w:spacing w:before="0" w:after="283"/>
              <w:jc w:val="both"/>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both"/>
              <w:rPr>
                <w:rFonts w:ascii="Times New Roman" w:hAnsi="Times New Roman"/>
                <w:b w:val="false"/>
                <w:color w:val="000000"/>
                <w:sz w:val="12"/>
              </w:rPr>
            </w:pPr>
            <w:r>
              <w:rPr>
                <w:rFonts w:ascii="Times New Roman" w:hAnsi="Times New Roman"/>
                <w:b w:val="false"/>
                <w:color w:val="000000"/>
                <w:sz w:val="12"/>
              </w:rPr>
              <w:t>Total interest and financing expenses</w:t>
            </w:r>
          </w:p>
        </w:tc>
        <w:tc>
          <w:tcPr>
            <w:tcW w:w="146" w:type="dxa"/>
            <w:tcBorders/>
            <w:shd w:fill="CCEEFF" w:val="clear"/>
            <w:vAlign w:val="center"/>
          </w:tcPr>
          <w:p>
            <w:pPr>
              <w:pStyle w:val="TableContents"/>
              <w:bidi w:val="0"/>
              <w:spacing w:before="0" w:after="283"/>
              <w:jc w:val="both"/>
              <w:rPr/>
            </w:pPr>
            <w:r>
              <w:rPr/>
              <w:t> </w:t>
            </w:r>
          </w:p>
        </w:tc>
        <w:tc>
          <w:tcPr>
            <w:tcW w:w="2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2,090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2,860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5,985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1,089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2,858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4,686</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663" w:type="dxa"/>
        <w:jc w:val="left"/>
        <w:tblInd w:w="0" w:type="dxa"/>
        <w:tblLayout w:type="fixed"/>
        <w:tblCellMar>
          <w:top w:w="28" w:type="dxa"/>
          <w:left w:w="28" w:type="dxa"/>
          <w:bottom w:w="28" w:type="dxa"/>
          <w:right w:w="28" w:type="dxa"/>
        </w:tblCellMar>
      </w:tblPr>
      <w:tblGrid>
        <w:gridCol w:w="766"/>
        <w:gridCol w:w="146"/>
        <w:gridCol w:w="207"/>
        <w:gridCol w:w="469"/>
        <w:gridCol w:w="211"/>
        <w:gridCol w:w="146"/>
        <w:gridCol w:w="166"/>
        <w:gridCol w:w="376"/>
        <w:gridCol w:w="211"/>
        <w:gridCol w:w="146"/>
        <w:gridCol w:w="216"/>
        <w:gridCol w:w="490"/>
        <w:gridCol w:w="211"/>
        <w:gridCol w:w="146"/>
        <w:gridCol w:w="166"/>
        <w:gridCol w:w="376"/>
        <w:gridCol w:w="211"/>
        <w:gridCol w:w="146"/>
        <w:gridCol w:w="166"/>
        <w:gridCol w:w="436"/>
        <w:gridCol w:w="211"/>
        <w:gridCol w:w="146"/>
        <w:gridCol w:w="207"/>
        <w:gridCol w:w="469"/>
        <w:gridCol w:w="211"/>
        <w:gridCol w:w="146"/>
        <w:gridCol w:w="166"/>
        <w:gridCol w:w="376"/>
        <w:gridCol w:w="211"/>
        <w:gridCol w:w="146"/>
        <w:gridCol w:w="216"/>
        <w:gridCol w:w="490"/>
        <w:gridCol w:w="211"/>
        <w:gridCol w:w="146"/>
        <w:gridCol w:w="166"/>
        <w:gridCol w:w="376"/>
        <w:gridCol w:w="211"/>
        <w:gridCol w:w="146"/>
        <w:gridCol w:w="166"/>
        <w:gridCol w:w="436"/>
        <w:gridCol w:w="211"/>
        <w:gridCol w:w="191"/>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449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Nine Months Ended September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9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Nine Months Ended September 30,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SBA debentures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Credit Facility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Secured Borrowings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SBA debentures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Credit Facility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Secured Borrowings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766" w:type="dxa"/>
            <w:tcBorders/>
            <w:shd w:fill="CFF0FC" w:val="clear"/>
            <w:vAlign w:val="center"/>
          </w:tcPr>
          <w:p>
            <w:pPr>
              <w:pStyle w:val="TableContents"/>
              <w:bidi w:val="0"/>
              <w:spacing w:before="0" w:after="283"/>
              <w:jc w:val="both"/>
              <w:rPr>
                <w:rFonts w:ascii="Times New Roman" w:hAnsi="Times New Roman"/>
                <w:b w:val="false"/>
                <w:color w:val="000000"/>
                <w:sz w:val="12"/>
              </w:rPr>
            </w:pPr>
            <w:r>
              <w:rPr>
                <w:rFonts w:ascii="Times New Roman" w:hAnsi="Times New Roman"/>
                <w:b w:val="false"/>
                <w:color w:val="000000"/>
                <w:sz w:val="12"/>
              </w:rPr>
              <w:t>Stated interest expense</w:t>
            </w:r>
          </w:p>
        </w:tc>
        <w:tc>
          <w:tcPr>
            <w:tcW w:w="146" w:type="dxa"/>
            <w:tcBorders/>
            <w:shd w:fill="CFF0FC" w:val="clear"/>
            <w:vAlign w:val="center"/>
          </w:tcPr>
          <w:p>
            <w:pPr>
              <w:pStyle w:val="TableContents"/>
              <w:bidi w:val="0"/>
              <w:spacing w:before="0" w:after="283"/>
              <w:jc w:val="both"/>
              <w:rPr/>
            </w:pPr>
            <w:r>
              <w:rPr/>
              <w:t> </w:t>
            </w:r>
          </w:p>
        </w:tc>
        <w:tc>
          <w:tcPr>
            <w:tcW w:w="20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4,818</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1,396</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0"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1,220</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7,734</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15,168</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2,583</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1,106</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0"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726</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7,734</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12,149</w:t>
            </w:r>
          </w:p>
        </w:tc>
        <w:tc>
          <w:tcPr>
            <w:tcW w:w="21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7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Amortization of deferred financing costs</w:t>
            </w:r>
          </w:p>
        </w:tc>
        <w:tc>
          <w:tcPr>
            <w:tcW w:w="146" w:type="dxa"/>
            <w:tcBorders/>
            <w:shd w:fill="FFFFFF" w:val="clear"/>
            <w:vAlign w:val="center"/>
          </w:tcPr>
          <w:p>
            <w:pPr>
              <w:pStyle w:val="TableContents"/>
              <w:bidi w:val="0"/>
              <w:spacing w:before="0" w:after="283"/>
              <w:jc w:val="both"/>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7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Total interest and financing expenses</w:t>
            </w:r>
          </w:p>
        </w:tc>
        <w:tc>
          <w:tcPr>
            <w:tcW w:w="146" w:type="dxa"/>
            <w:tcBorders/>
            <w:shd w:fill="CFF0FC" w:val="clear"/>
            <w:vAlign w:val="center"/>
          </w:tcPr>
          <w:p>
            <w:pPr>
              <w:pStyle w:val="TableContents"/>
              <w:bidi w:val="0"/>
              <w:spacing w:before="0" w:after="283"/>
              <w:jc w:val="both"/>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8,569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16,761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8,565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13,737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7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Weighted average stated interest rate, period end</w:t>
            </w:r>
          </w:p>
        </w:tc>
        <w:tc>
          <w:tcPr>
            <w:tcW w:w="146" w:type="dxa"/>
            <w:tcBorders/>
            <w:shd w:fill="FFFFFF" w:val="clear"/>
            <w:vAlign w:val="center"/>
          </w:tcPr>
          <w:p>
            <w:pPr>
              <w:pStyle w:val="TableContents"/>
              <w:bidi w:val="0"/>
              <w:spacing w:before="0" w:after="283"/>
              <w:jc w:val="both"/>
              <w:rPr/>
            </w:pPr>
            <w:r>
              <w:rPr/>
              <w:t> </w:t>
            </w:r>
          </w:p>
        </w:tc>
        <w:tc>
          <w:tcPr>
            <w:tcW w:w="20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4.016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N/A</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9.291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4.125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4.265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3.214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N/A</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6.446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4.125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3.921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91" w:type="dxa"/>
            <w:tcBorders/>
            <w:shd w:fill="FFFFFF" w:val="clear"/>
            <w:vAlign w:val="center"/>
          </w:tcPr>
          <w:p>
            <w:pPr>
              <w:pStyle w:val="TableContents"/>
              <w:bidi w:val="0"/>
              <w:spacing w:before="0" w:after="283"/>
              <w:jc w:val="left"/>
              <w:rPr/>
            </w:pPr>
            <w:r>
              <w:rPr/>
              <w:t> </w:t>
            </w:r>
          </w:p>
        </w:tc>
      </w:tr>
      <w:tr>
        <w:trPr/>
        <w:tc>
          <w:tcPr>
            <w:tcW w:w="7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Unused commitment fee rate, period end</w:t>
            </w:r>
          </w:p>
        </w:tc>
        <w:tc>
          <w:tcPr>
            <w:tcW w:w="146" w:type="dxa"/>
            <w:tcBorders/>
            <w:shd w:fill="CFF0FC" w:val="clear"/>
            <w:vAlign w:val="center"/>
          </w:tcPr>
          <w:p>
            <w:pPr>
              <w:pStyle w:val="TableContents"/>
              <w:bidi w:val="0"/>
              <w:spacing w:before="0" w:after="283"/>
              <w:jc w:val="both"/>
              <w:rPr/>
            </w:pPr>
            <w:r>
              <w:rPr/>
              <w:t> </w:t>
            </w:r>
          </w:p>
        </w:tc>
        <w:tc>
          <w:tcPr>
            <w:tcW w:w="676" w:type="dxa"/>
            <w:gridSpan w:val="2"/>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N/A</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N/A</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42" w:type="dxa"/>
            <w:gridSpan w:val="2"/>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N/A</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N/A</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N/A</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42" w:type="dxa"/>
            <w:gridSpan w:val="2"/>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N/A</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Realized Losses on Extinguishment of Debt</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During the nine months ended September 30, 2023 and 2022, the Company prepaid $5,000</w:t>
      </w:r>
      <w:r>
        <w:rPr>
          <w:rFonts w:ascii="Times New Roman" w:hAnsi="Times New Roman"/>
          <w:color w:val="000000"/>
          <w:sz w:val="20"/>
        </w:rPr>
        <w:t xml:space="preserve"> </w:t>
      </w:r>
      <w:r>
        <w:rPr>
          <w:rFonts w:ascii="Times New Roman" w:hAnsi="Times New Roman"/>
          <w:b w:val="false"/>
          <w:color w:val="000000"/>
          <w:sz w:val="20"/>
        </w:rPr>
        <w:t>and $30,000</w:t>
      </w:r>
      <w:r>
        <w:rPr>
          <w:rFonts w:ascii="Times New Roman" w:hAnsi="Times New Roman"/>
          <w:color w:val="000000"/>
          <w:sz w:val="20"/>
        </w:rPr>
        <w:t xml:space="preserve"> </w:t>
      </w:r>
      <w:r>
        <w:rPr>
          <w:rFonts w:ascii="Times New Roman" w:hAnsi="Times New Roman"/>
          <w:b w:val="false"/>
          <w:color w:val="000000"/>
          <w:sz w:val="20"/>
        </w:rPr>
        <w:t>of SBA debentures, respectively, which were scheduled to mature on dates ranging from 2025</w:t>
      </w:r>
      <w:r>
        <w:rPr>
          <w:rFonts w:ascii="Times New Roman" w:hAnsi="Times New Roman"/>
          <w:color w:val="000000"/>
          <w:sz w:val="20"/>
        </w:rPr>
        <w:t xml:space="preserve"> </w:t>
      </w:r>
      <w:r>
        <w:rPr>
          <w:rFonts w:ascii="Times New Roman" w:hAnsi="Times New Roman"/>
          <w:b w:val="false"/>
          <w:color w:val="000000"/>
          <w:sz w:val="20"/>
        </w:rPr>
        <w:t>to 2026</w:t>
      </w:r>
      <w:r>
        <w:rPr>
          <w:rFonts w:ascii="Times New Roman" w:hAnsi="Times New Roman"/>
          <w:color w:val="000000"/>
          <w:sz w:val="20"/>
        </w:rPr>
        <w:t xml:space="preserve"> </w:t>
      </w:r>
      <w:r>
        <w:rPr>
          <w:rFonts w:ascii="Times New Roman" w:hAnsi="Times New Roman"/>
          <w:b w:val="false"/>
          <w:color w:val="000000"/>
          <w:sz w:val="20"/>
        </w:rPr>
        <w:t>and 2025</w:t>
      </w:r>
      <w:r>
        <w:rPr>
          <w:rFonts w:ascii="Times New Roman" w:hAnsi="Times New Roman"/>
          <w:color w:val="000000"/>
          <w:sz w:val="20"/>
        </w:rPr>
        <w:t xml:space="preserve"> </w:t>
      </w:r>
      <w:r>
        <w:rPr>
          <w:rFonts w:ascii="Times New Roman" w:hAnsi="Times New Roman"/>
          <w:b w:val="false"/>
          <w:color w:val="000000"/>
          <w:sz w:val="20"/>
        </w:rPr>
        <w:t>to 2028, respectively. As a result of the prepayments, the Company recognized realized losses on extinguishment of debt of $23</w:t>
      </w:r>
      <w:r>
        <w:rPr>
          <w:rFonts w:ascii="Times New Roman" w:hAnsi="Times New Roman"/>
          <w:color w:val="000000"/>
          <w:sz w:val="20"/>
        </w:rPr>
        <w:t xml:space="preserve"> </w:t>
      </w:r>
      <w:r>
        <w:rPr>
          <w:rFonts w:ascii="Times New Roman" w:hAnsi="Times New Roman"/>
          <w:b w:val="false"/>
          <w:color w:val="000000"/>
          <w:sz w:val="20"/>
        </w:rPr>
        <w:t>and $251, respectively, equal to the write-off of the related unamortized deferred financing costs, during the nine months ended September 30, 2023 and 2022.</w:t>
      </w:r>
    </w:p>
    <w:p>
      <w:pPr>
        <w:pStyle w:val="TextBody"/>
        <w:bidi w:val="0"/>
        <w:spacing w:before="180" w:after="180"/>
        <w:jc w:val="both"/>
        <w:rPr>
          <w:rFonts w:ascii="Times New Roman" w:hAnsi="Times New Roman"/>
          <w:b w:val="false"/>
          <w:i/>
          <w:color w:val="000000"/>
          <w:sz w:val="20"/>
        </w:rPr>
      </w:pPr>
      <w:r>
        <w:rPr>
          <w:rFonts w:ascii="Times New Roman" w:hAnsi="Times New Roman"/>
          <w:b w:val="false"/>
          <w:i/>
          <w:color w:val="000000"/>
          <w:sz w:val="20"/>
        </w:rPr>
        <w:t>Deferred Financing Costs</w:t>
      </w:r>
    </w:p>
    <w:p>
      <w:pPr>
        <w:pStyle w:val="TextBody"/>
        <w:bidi w:val="0"/>
        <w:jc w:val="both"/>
        <w:rPr>
          <w:rFonts w:ascii="Times New Roman" w:hAnsi="Times New Roman"/>
          <w:b w:val="false"/>
          <w:color w:val="000000"/>
          <w:sz w:val="20"/>
        </w:rPr>
      </w:pPr>
      <w:bookmarkStart w:id="11" w:name="fis_unidentified_table_13"/>
      <w:bookmarkEnd w:id="11"/>
      <w:r>
        <w:rPr>
          <w:rFonts w:ascii="Times New Roman" w:hAnsi="Times New Roman"/>
          <w:b w:val="false"/>
          <w:color w:val="000000"/>
          <w:sz w:val="20"/>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September 30, 2023 and December 31, 2022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146"/>
        <w:gridCol w:w="217"/>
        <w:gridCol w:w="669"/>
        <w:gridCol w:w="166"/>
        <w:gridCol w:w="146"/>
        <w:gridCol w:w="196"/>
        <w:gridCol w:w="571"/>
        <w:gridCol w:w="166"/>
        <w:gridCol w:w="146"/>
        <w:gridCol w:w="196"/>
        <w:gridCol w:w="571"/>
        <w:gridCol w:w="166"/>
        <w:gridCol w:w="146"/>
        <w:gridCol w:w="196"/>
        <w:gridCol w:w="661"/>
        <w:gridCol w:w="166"/>
        <w:gridCol w:w="146"/>
        <w:gridCol w:w="226"/>
        <w:gridCol w:w="660"/>
        <w:gridCol w:w="166"/>
        <w:gridCol w:w="146"/>
        <w:gridCol w:w="196"/>
        <w:gridCol w:w="571"/>
        <w:gridCol w:w="166"/>
        <w:gridCol w:w="146"/>
        <w:gridCol w:w="196"/>
        <w:gridCol w:w="571"/>
        <w:gridCol w:w="166"/>
        <w:gridCol w:w="146"/>
        <w:gridCol w:w="196"/>
        <w:gridCol w:w="601"/>
        <w:gridCol w:w="211"/>
      </w:tblGrid>
      <w:tr>
        <w:trPr/>
        <w:tc>
          <w:tcPr>
            <w:tcW w:w="1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0"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42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5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0"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70"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0"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SBA debenture commitment fees</w:t>
            </w:r>
          </w:p>
        </w:tc>
        <w:tc>
          <w:tcPr>
            <w:tcW w:w="146" w:type="dxa"/>
            <w:tcBorders/>
            <w:shd w:fill="CCEEFF" w:val="clear"/>
            <w:vAlign w:val="center"/>
          </w:tcPr>
          <w:p>
            <w:pPr>
              <w:pStyle w:val="TableContents"/>
              <w:bidi w:val="0"/>
              <w:spacing w:before="0" w:after="283"/>
              <w:jc w:val="both"/>
              <w:rPr/>
            </w:pPr>
            <w:r>
              <w:rPr/>
              <w:t> </w:t>
            </w:r>
          </w:p>
        </w:tc>
        <w:tc>
          <w:tcPr>
            <w:tcW w:w="217"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9"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0"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3,000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3,000</w:t>
            </w:r>
          </w:p>
        </w:tc>
        <w:tc>
          <w:tcPr>
            <w:tcW w:w="211" w:type="dxa"/>
            <w:tcBorders/>
            <w:shd w:fill="CCEEFF" w:val="clear"/>
            <w:vAlign w:val="center"/>
          </w:tcPr>
          <w:p>
            <w:pPr>
              <w:pStyle w:val="TableContents"/>
              <w:bidi w:val="0"/>
              <w:spacing w:before="0" w:after="283"/>
              <w:jc w:val="left"/>
              <w:rPr/>
            </w:pPr>
            <w:r>
              <w:rPr/>
              <w:t> </w:t>
            </w:r>
          </w:p>
        </w:tc>
      </w:tr>
      <w:tr>
        <w:trPr/>
        <w:tc>
          <w:tcPr>
            <w:tcW w:w="11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SBA debenture leverage fees</w:t>
            </w:r>
          </w:p>
        </w:tc>
        <w:tc>
          <w:tcPr>
            <w:tcW w:w="146"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6,389</w:t>
            </w:r>
          </w:p>
        </w:tc>
        <w:tc>
          <w:tcPr>
            <w:tcW w:w="211" w:type="dxa"/>
            <w:tcBorders/>
            <w:shd w:fill="FFFFFF" w:val="clear"/>
            <w:vAlign w:val="center"/>
          </w:tcPr>
          <w:p>
            <w:pPr>
              <w:pStyle w:val="TableContents"/>
              <w:bidi w:val="0"/>
              <w:spacing w:before="0" w:after="283"/>
              <w:jc w:val="left"/>
              <w:rPr/>
            </w:pPr>
            <w:r>
              <w:rPr/>
              <w:t> </w:t>
            </w:r>
          </w:p>
        </w:tc>
      </w:tr>
      <w:tr>
        <w:trPr/>
        <w:tc>
          <w:tcPr>
            <w:tcW w:w="1170"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Credit Facility upfront fees</w:t>
            </w:r>
          </w:p>
        </w:tc>
        <w:tc>
          <w:tcPr>
            <w:tcW w:w="146" w:type="dxa"/>
            <w:tcBorders/>
            <w:shd w:fill="CCEEFF" w:val="clear"/>
            <w:vAlign w:val="center"/>
          </w:tcPr>
          <w:p>
            <w:pPr>
              <w:pStyle w:val="TableContents"/>
              <w:bidi w:val="0"/>
              <w:spacing w:before="0" w:after="283"/>
              <w:jc w:val="both"/>
              <w:rPr/>
            </w:pPr>
            <w:r>
              <w:rPr/>
              <w:t> </w:t>
            </w:r>
          </w:p>
        </w:tc>
        <w:tc>
          <w:tcPr>
            <w:tcW w:w="217"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4,417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4,417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4,417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4,417</w:t>
            </w:r>
          </w:p>
        </w:tc>
        <w:tc>
          <w:tcPr>
            <w:tcW w:w="211" w:type="dxa"/>
            <w:tcBorders/>
            <w:shd w:fill="CCEEFF" w:val="clear"/>
            <w:vAlign w:val="center"/>
          </w:tcPr>
          <w:p>
            <w:pPr>
              <w:pStyle w:val="TableContents"/>
              <w:bidi w:val="0"/>
              <w:spacing w:before="0" w:after="283"/>
              <w:jc w:val="left"/>
              <w:rPr/>
            </w:pPr>
            <w:r>
              <w:rPr/>
              <w:t> </w:t>
            </w:r>
          </w:p>
        </w:tc>
      </w:tr>
      <w:tr>
        <w:trPr/>
        <w:tc>
          <w:tcPr>
            <w:tcW w:w="11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Notes underwriting discounts</w:t>
            </w:r>
          </w:p>
        </w:tc>
        <w:tc>
          <w:tcPr>
            <w:tcW w:w="146"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5,005</w:t>
            </w:r>
          </w:p>
        </w:tc>
        <w:tc>
          <w:tcPr>
            <w:tcW w:w="211" w:type="dxa"/>
            <w:tcBorders/>
            <w:shd w:fill="FFFFFF" w:val="clear"/>
            <w:vAlign w:val="center"/>
          </w:tcPr>
          <w:p>
            <w:pPr>
              <w:pStyle w:val="TableContents"/>
              <w:bidi w:val="0"/>
              <w:spacing w:before="0" w:after="283"/>
              <w:jc w:val="left"/>
              <w:rPr/>
            </w:pPr>
            <w:r>
              <w:rPr/>
              <w:t> </w:t>
            </w:r>
          </w:p>
        </w:tc>
      </w:tr>
      <w:tr>
        <w:trPr/>
        <w:tc>
          <w:tcPr>
            <w:tcW w:w="1170"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Notes debt issue costs</w:t>
            </w:r>
          </w:p>
        </w:tc>
        <w:tc>
          <w:tcPr>
            <w:tcW w:w="146" w:type="dxa"/>
            <w:tcBorders/>
            <w:shd w:fill="CCEEFF" w:val="clear"/>
            <w:vAlign w:val="center"/>
          </w:tcPr>
          <w:p>
            <w:pPr>
              <w:pStyle w:val="TableContents"/>
              <w:bidi w:val="0"/>
              <w:spacing w:before="0" w:after="283"/>
              <w:jc w:val="both"/>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685</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1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deferred financing costs</w:t>
            </w:r>
          </w:p>
        </w:tc>
        <w:tc>
          <w:tcPr>
            <w:tcW w:w="146"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20,720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19,496</w:t>
            </w:r>
          </w:p>
        </w:tc>
        <w:tc>
          <w:tcPr>
            <w:tcW w:w="211" w:type="dxa"/>
            <w:tcBorders/>
            <w:shd w:fill="FFFFFF" w:val="clear"/>
            <w:vAlign w:val="center"/>
          </w:tcPr>
          <w:p>
            <w:pPr>
              <w:pStyle w:val="TableContents"/>
              <w:bidi w:val="0"/>
              <w:spacing w:before="0" w:after="283"/>
              <w:jc w:val="left"/>
              <w:rPr/>
            </w:pPr>
            <w:r>
              <w:rPr/>
              <w:t> </w:t>
            </w:r>
          </w:p>
        </w:tc>
      </w:tr>
      <w:tr>
        <w:trPr/>
        <w:tc>
          <w:tcPr>
            <w:tcW w:w="1170"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Less: accumulated amortization</w:t>
            </w:r>
          </w:p>
        </w:tc>
        <w:tc>
          <w:tcPr>
            <w:tcW w:w="146" w:type="dxa"/>
            <w:tcBorders/>
            <w:shd w:fill="CCEEFF" w:val="clear"/>
            <w:vAlign w:val="center"/>
          </w:tcPr>
          <w:p>
            <w:pPr>
              <w:pStyle w:val="TableContents"/>
              <w:bidi w:val="0"/>
              <w:spacing w:before="0" w:after="283"/>
              <w:jc w:val="both"/>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(5,424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(11,336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(4,865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(1,818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(9,720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1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Unamortized deferred financing costs</w:t>
            </w:r>
          </w:p>
        </w:tc>
        <w:tc>
          <w:tcPr>
            <w:tcW w:w="146" w:type="dxa"/>
            <w:tcBorders/>
            <w:shd w:fill="FFFFFF" w:val="clear"/>
            <w:vAlign w:val="center"/>
          </w:tcPr>
          <w:p>
            <w:pPr>
              <w:pStyle w:val="TableContents"/>
              <w:bidi w:val="0"/>
              <w:spacing w:before="0" w:after="283"/>
              <w:jc w:val="both"/>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Unamortized deferred financing costs are presented as a direct offset to the SBA debentures, the Credit Facility and the Notes liabilities on the consolidated statements of assets and liabilities. The following table summarizes the outstanding debt net of unamortized deferred financing costs as of September 30, 2023 and December 31, 2022:</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58"/>
        <w:gridCol w:w="146"/>
        <w:gridCol w:w="181"/>
        <w:gridCol w:w="586"/>
        <w:gridCol w:w="151"/>
        <w:gridCol w:w="146"/>
        <w:gridCol w:w="181"/>
        <w:gridCol w:w="481"/>
        <w:gridCol w:w="151"/>
        <w:gridCol w:w="146"/>
        <w:gridCol w:w="181"/>
        <w:gridCol w:w="586"/>
        <w:gridCol w:w="151"/>
        <w:gridCol w:w="146"/>
        <w:gridCol w:w="181"/>
        <w:gridCol w:w="586"/>
        <w:gridCol w:w="151"/>
        <w:gridCol w:w="146"/>
        <w:gridCol w:w="181"/>
        <w:gridCol w:w="586"/>
        <w:gridCol w:w="151"/>
        <w:gridCol w:w="146"/>
        <w:gridCol w:w="181"/>
        <w:gridCol w:w="481"/>
        <w:gridCol w:w="151"/>
        <w:gridCol w:w="146"/>
        <w:gridCol w:w="181"/>
        <w:gridCol w:w="586"/>
        <w:gridCol w:w="151"/>
        <w:gridCol w:w="146"/>
        <w:gridCol w:w="181"/>
        <w:gridCol w:w="586"/>
        <w:gridCol w:w="196"/>
      </w:tblGrid>
      <w:tr>
        <w:trPr/>
        <w:tc>
          <w:tcPr>
            <w:tcW w:w="1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858"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38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September 30, 2023</w:t>
            </w:r>
            <w:r>
              <w:rPr>
                <w:rFonts w:ascii="Times New Roman" w:hAnsi="Times New Roman"/>
                <w:b/>
                <w:color w:val="000000"/>
                <w:sz w:val="9"/>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December 31, 2022</w:t>
            </w:r>
            <w:r>
              <w:rPr>
                <w:rFonts w:ascii="Times New Roman" w:hAnsi="Times New Roman"/>
                <w:b/>
                <w:color w:val="000000"/>
                <w:sz w:val="9"/>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8"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SBA</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Credit</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SBA</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Credit</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1858"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8"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Outstanding debt</w:t>
            </w:r>
          </w:p>
        </w:tc>
        <w:tc>
          <w:tcPr>
            <w:tcW w:w="146" w:type="dxa"/>
            <w:tcBorders/>
            <w:shd w:fill="CCEEFF" w:val="clear"/>
            <w:vAlign w:val="center"/>
          </w:tcPr>
          <w:p>
            <w:pPr>
              <w:pStyle w:val="TableContents"/>
              <w:bidi w:val="0"/>
              <w:spacing w:before="0" w:after="283"/>
              <w:jc w:val="both"/>
              <w:rPr/>
            </w:pPr>
            <w:r>
              <w:rPr/>
              <w:t> </w:t>
            </w:r>
          </w:p>
        </w:tc>
        <w:tc>
          <w:tcPr>
            <w:tcW w:w="181"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188,000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81" w:type="dxa"/>
            <w:tcBorders/>
            <w:shd w:fill="CCEEFF" w:val="clear"/>
            <w:vAlign w:val="center"/>
          </w:tcPr>
          <w:p>
            <w:pPr>
              <w:pStyle w:val="TableContents"/>
              <w:bidi w:val="0"/>
              <w:spacing w:before="0" w:after="283"/>
              <w:jc w:val="right"/>
              <w:rPr>
                <w:color w:val="000000"/>
              </w:rPr>
            </w:pPr>
            <w:r>
              <w:rPr>
                <w:color w:val="000000"/>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438,000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153,000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81" w:type="dxa"/>
            <w:tcBorders/>
            <w:shd w:fill="CCEEFF" w:val="clear"/>
            <w:vAlign w:val="center"/>
          </w:tcPr>
          <w:p>
            <w:pPr>
              <w:pStyle w:val="TableContents"/>
              <w:bidi w:val="0"/>
              <w:spacing w:before="0" w:after="283"/>
              <w:jc w:val="right"/>
              <w:rPr>
                <w:color w:val="000000"/>
              </w:rPr>
            </w:pPr>
            <w:r>
              <w:rPr>
                <w:color w:val="000000"/>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403,000</w:t>
            </w:r>
          </w:p>
        </w:tc>
        <w:tc>
          <w:tcPr>
            <w:tcW w:w="196" w:type="dxa"/>
            <w:tcBorders/>
            <w:shd w:fill="CCEEFF" w:val="clear"/>
            <w:vAlign w:val="center"/>
          </w:tcPr>
          <w:p>
            <w:pPr>
              <w:pStyle w:val="TableContents"/>
              <w:bidi w:val="0"/>
              <w:spacing w:before="0" w:after="283"/>
              <w:jc w:val="left"/>
              <w:rPr/>
            </w:pPr>
            <w:r>
              <w:rPr/>
              <w:t> </w:t>
            </w:r>
          </w:p>
        </w:tc>
      </w:tr>
      <w:tr>
        <w:trPr/>
        <w:tc>
          <w:tcPr>
            <w:tcW w:w="1858"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Less: unamortized deferred financing costs</w:t>
            </w:r>
          </w:p>
        </w:tc>
        <w:tc>
          <w:tcPr>
            <w:tcW w:w="146" w:type="dxa"/>
            <w:tcBorders/>
            <w:shd w:fill="FFFFFF" w:val="clear"/>
            <w:vAlign w:val="center"/>
          </w:tcPr>
          <w:p>
            <w:pPr>
              <w:pStyle w:val="TableContents"/>
              <w:bidi w:val="0"/>
              <w:spacing w:before="0" w:after="283"/>
              <w:jc w:val="both"/>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(9,776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58"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Debt, net of deferred financing costs</w:t>
            </w:r>
          </w:p>
        </w:tc>
        <w:tc>
          <w:tcPr>
            <w:tcW w:w="146" w:type="dxa"/>
            <w:tcBorders/>
            <w:shd w:fill="CCEEFF" w:val="clear"/>
            <w:vAlign w:val="center"/>
          </w:tcPr>
          <w:p>
            <w:pPr>
              <w:pStyle w:val="TableContents"/>
              <w:bidi w:val="0"/>
              <w:spacing w:before="0" w:after="283"/>
              <w:jc w:val="both"/>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182,811</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(1,157</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246,962</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428,616</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148,476</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(1,380</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246,128</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393,224</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Total excludes $16,319</w:t>
      </w:r>
      <w:r>
        <w:rPr>
          <w:rFonts w:ascii="Times New Roman" w:hAnsi="Times New Roman"/>
          <w:color w:val="000000"/>
          <w:sz w:val="20"/>
        </w:rPr>
        <w:t xml:space="preserve"> </w:t>
      </w:r>
      <w:r>
        <w:rPr>
          <w:rFonts w:ascii="Times New Roman" w:hAnsi="Times New Roman"/>
          <w:b w:val="false"/>
          <w:color w:val="000000"/>
          <w:sz w:val="16"/>
        </w:rPr>
        <w:t>and $16,880</w:t>
      </w:r>
      <w:r>
        <w:rPr>
          <w:rFonts w:ascii="Times New Roman" w:hAnsi="Times New Roman"/>
          <w:color w:val="000000"/>
          <w:sz w:val="20"/>
        </w:rPr>
        <w:t xml:space="preserve"> </w:t>
      </w:r>
      <w:r>
        <w:rPr>
          <w:rFonts w:ascii="Times New Roman" w:hAnsi="Times New Roman"/>
          <w:b w:val="false"/>
          <w:color w:val="000000"/>
          <w:sz w:val="16"/>
        </w:rPr>
        <w:t>of Secured Borrowings as of September 30, 2023 and December 31, 2022,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 xml:space="preserve">As of September 30, 2023, the Company’s debt liabilities are scheduled to mature as follows </w:t>
      </w:r>
      <w:r>
        <w:rPr>
          <w:rFonts w:ascii="Times New Roman" w:hAnsi="Times New Roman"/>
          <w:b w:val="false"/>
          <w:color w:val="000000"/>
          <w:sz w:val="13"/>
        </w:rPr>
        <w:t>(1)</w:t>
      </w:r>
      <w:r>
        <w:rPr>
          <w:rFonts w:ascii="Times New Roman" w:hAnsi="Times New Roman"/>
          <w:b w:val="false"/>
          <w:color w:val="000000"/>
          <w:sz w:val="20"/>
        </w:rPr>
        <w:t>:</w:t>
      </w:r>
    </w:p>
    <w:p>
      <w:pPr>
        <w:pStyle w:val="TextBody"/>
        <w:bidi w:val="0"/>
        <w:jc w:val="left"/>
        <w:rPr/>
      </w:pPr>
      <w:r>
        <w:rPr/>
        <w:t> </w:t>
      </w:r>
    </w:p>
    <w:tbl>
      <w:tblPr>
        <w:tblW w:w="7542" w:type="dxa"/>
        <w:jc w:val="left"/>
        <w:tblInd w:w="0" w:type="dxa"/>
        <w:tblLayout w:type="fixed"/>
        <w:tblCellMar>
          <w:top w:w="28" w:type="dxa"/>
          <w:left w:w="28" w:type="dxa"/>
          <w:bottom w:w="28" w:type="dxa"/>
          <w:right w:w="28" w:type="dxa"/>
        </w:tblCellMar>
      </w:tblPr>
      <w:tblGrid>
        <w:gridCol w:w="946"/>
        <w:gridCol w:w="146"/>
        <w:gridCol w:w="217"/>
        <w:gridCol w:w="804"/>
        <w:gridCol w:w="146"/>
        <w:gridCol w:w="146"/>
        <w:gridCol w:w="368"/>
        <w:gridCol w:w="607"/>
        <w:gridCol w:w="146"/>
        <w:gridCol w:w="146"/>
        <w:gridCol w:w="264"/>
        <w:gridCol w:w="847"/>
        <w:gridCol w:w="146"/>
        <w:gridCol w:w="146"/>
        <w:gridCol w:w="211"/>
        <w:gridCol w:w="781"/>
        <w:gridCol w:w="1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SBA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Credit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debentures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Facility </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CEE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267,319</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CEE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34,000</w:t>
            </w:r>
          </w:p>
        </w:tc>
        <w:tc>
          <w:tcPr>
            <w:tcW w:w="191" w:type="dxa"/>
            <w:tcBorders/>
            <w:shd w:fill="CCEE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CEE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CCEEFF" w:val="cle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153,000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153,000</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454,319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283"/>
              <w:jc w:val="left"/>
              <w:rPr>
                <w:sz w:val="4"/>
                <w:szCs w:val="4"/>
              </w:rPr>
            </w:pPr>
            <w:r>
              <w:rPr>
                <w:sz w:val="4"/>
                <w:szCs w:val="4"/>
              </w:rPr>
            </w:r>
          </w:p>
        </w:tc>
        <w:tc>
          <w:tcPr>
            <w:tcW w:w="9914" w:type="dxa"/>
            <w:tcBorders/>
            <w:vAlign w:val="center"/>
          </w:tcPr>
          <w:p>
            <w:pPr>
              <w:pStyle w:val="TableContents"/>
              <w:bidi w:val="0"/>
              <w:spacing w:before="0" w:after="283"/>
              <w:jc w:val="left"/>
              <w:rPr>
                <w:sz w:val="4"/>
                <w:szCs w:val="4"/>
              </w:rPr>
            </w:pPr>
            <w:r>
              <w:rPr>
                <w:sz w:val="4"/>
                <w:szCs w:val="4"/>
              </w:rPr>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w:t>
            </w:r>
          </w:p>
        </w:tc>
        <w:tc>
          <w:tcPr>
            <w:tcW w:w="9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w:t>
            </w:r>
          </w:p>
        </w:tc>
        <w:tc>
          <w:tcPr>
            <w:tcW w:w="9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val="false"/>
                <w:color w:val="000000"/>
                <w:sz w:val="16"/>
              </w:rPr>
              <w:t>The Credit Facility matures on August 17, 2027.</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180" w:after="180"/>
        <w:jc w:val="both"/>
        <w:rPr>
          <w:rFonts w:ascii="Times New Roman" w:hAnsi="Times New Roman"/>
          <w:sz w:val="20"/>
        </w:rPr>
      </w:pPr>
      <w:r>
        <w:rPr>
          <w:rFonts w:ascii="Times New Roman" w:hAnsi="Times New Roman"/>
          <w:b w:val="false"/>
          <w:i/>
          <w:color w:val="000000"/>
          <w:sz w:val="20"/>
        </w:rPr>
        <w:t>Commitments:</w:t>
      </w:r>
      <w:r>
        <w:rPr>
          <w:rFonts w:ascii="Times New Roman" w:hAnsi="Times New Roman"/>
          <w:color w:val="000000"/>
          <w:sz w:val="20"/>
        </w:rPr>
        <w:t xml:space="preserve"> </w:t>
      </w:r>
      <w:r>
        <w:rPr>
          <w:rFonts w:ascii="Times New Roman" w:hAnsi="Times New Roman"/>
          <w:b w:val="false"/>
          <w:color w:val="000000"/>
          <w:sz w:val="20"/>
        </w:rPr>
        <w:t>The Company had outstanding commitments to portfolio companies to fund various undrawn revolving loans, other debt investments and capital commitments totaling $7,291</w:t>
      </w:r>
      <w:r>
        <w:rPr>
          <w:rFonts w:ascii="Times New Roman" w:hAnsi="Times New Roman"/>
          <w:color w:val="000000"/>
          <w:sz w:val="20"/>
        </w:rPr>
        <w:t xml:space="preserve"> </w:t>
      </w:r>
      <w:r>
        <w:rPr>
          <w:rFonts w:ascii="Times New Roman" w:hAnsi="Times New Roman"/>
          <w:b w:val="false"/>
          <w:color w:val="000000"/>
          <w:sz w:val="20"/>
        </w:rPr>
        <w:t>and $16,915</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Such outstanding commitments are summarized in the following table:</w:t>
      </w:r>
    </w:p>
    <w:tbl>
      <w:tblPr>
        <w:tblW w:w="10199" w:type="dxa"/>
        <w:jc w:val="left"/>
        <w:tblInd w:w="0" w:type="dxa"/>
        <w:tblLayout w:type="fixed"/>
        <w:tblCellMar>
          <w:top w:w="28" w:type="dxa"/>
          <w:left w:w="28" w:type="dxa"/>
          <w:bottom w:w="28" w:type="dxa"/>
          <w:right w:w="28" w:type="dxa"/>
        </w:tblCellMar>
      </w:tblPr>
      <w:tblGrid>
        <w:gridCol w:w="5416"/>
        <w:gridCol w:w="146"/>
        <w:gridCol w:w="223"/>
        <w:gridCol w:w="633"/>
        <w:gridCol w:w="146"/>
        <w:gridCol w:w="146"/>
        <w:gridCol w:w="250"/>
        <w:gridCol w:w="606"/>
        <w:gridCol w:w="146"/>
        <w:gridCol w:w="146"/>
        <w:gridCol w:w="223"/>
        <w:gridCol w:w="633"/>
        <w:gridCol w:w="146"/>
        <w:gridCol w:w="146"/>
        <w:gridCol w:w="223"/>
        <w:gridCol w:w="633"/>
        <w:gridCol w:w="146"/>
        <w:gridCol w:w="1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Unfunded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Unfunded</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 -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Acendre Midco, Inc.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06"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Choice Technology Solutions, LLC (dba Choice Merchant Solutions, LLC) - Revolving Loan</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Combined Systems, Inc.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162</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EBL, LLC (EbLens) - Common Equity (Units)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375</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Elements Brands, LLC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Netbase Solutions, Inc. (dba Netbase Quid) - First Lien Debt (last out)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Netbase Solutions, Inc. (dba Netbase Quid) - First Lien Debt (last out)</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3,000</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R1 Holdings, LLC (dba RoadOne IntermodaLogistics) - First Lien Debt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2,489</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R1 Holdings, LLC (dba RoadOne IntermodaLogistics) - Senior Subordinated Debt</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417</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R1 Holdings, LLC (dba RoadOne IntermodaLogistics) - Common Equity</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Tedia Company, LLC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2,400</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Tedia Company, LLC - Delayed Draw Term Loan</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Western's Smokehouse, LLC - Delayed Draw Term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2,702</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Winona Foods, Inc. - First Lien Debt</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Total</w:t>
            </w:r>
          </w:p>
        </w:tc>
        <w:tc>
          <w:tcPr>
            <w:tcW w:w="146"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13,376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7,291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24,651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16,915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Additional detail for each of the commitments above is provided in the Company’s consolidated schedules of investments.</w:t>
      </w:r>
    </w:p>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Indemnifications:</w:t>
      </w:r>
      <w:r>
        <w:rPr>
          <w:rFonts w:ascii="Times New Roman" w:hAnsi="Times New Roman"/>
          <w:color w:val="000000"/>
          <w:sz w:val="20"/>
        </w:rPr>
        <w:t xml:space="preserve"> </w:t>
      </w:r>
      <w:r>
        <w:rPr>
          <w:rFonts w:ascii="Times New Roman" w:hAnsi="Times New Roman"/>
          <w:b w:val="false"/>
          <w:color w:val="000000"/>
          <w:sz w:val="20"/>
        </w:rPr>
        <w:t>In the normal course of business, the Company enters into contracts and agreements that contain a variety of representations and 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pStyle w:val="TextBody"/>
        <w:bidi w:val="0"/>
        <w:spacing w:before="180" w:after="283"/>
        <w:jc w:val="both"/>
        <w:rPr>
          <w:rFonts w:ascii="Times New Roman" w:hAnsi="Times New Roman"/>
          <w:sz w:val="20"/>
        </w:rPr>
      </w:pPr>
      <w:bookmarkStart w:id="12" w:name="fis_unidentified_table_14"/>
      <w:bookmarkEnd w:id="12"/>
      <w:r>
        <w:rPr>
          <w:rFonts w:ascii="Times New Roman" w:hAnsi="Times New Roman"/>
          <w:b w:val="false"/>
          <w:i/>
          <w:color w:val="000000"/>
          <w:sz w:val="20"/>
        </w:rPr>
        <w:t>Legal proceedings:</w:t>
      </w:r>
      <w:r>
        <w:rPr>
          <w:rFonts w:ascii="Times New Roman" w:hAnsi="Times New Roman"/>
          <w:color w:val="000000"/>
          <w:sz w:val="20"/>
        </w:rPr>
        <w:t xml:space="preserve"> </w:t>
      </w:r>
      <w:r>
        <w:rPr>
          <w:rFonts w:ascii="Times New Roman" w:hAnsi="Times New Roman"/>
          <w:b w:val="false"/>
          <w:color w:val="000000"/>
          <w:sz w:val="20"/>
        </w:rPr>
        <w:t>In the normal course of business, the Company may be subject to legal and regulatory proceedings that are generally incidental to its ongoing operations. While the outcome of any such legal proceedings cannot be predicted with certainty, the Company does not believe any such legal proceedings will have a material adverse effect on the Company’s consolidated financial statements.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8. Common Stock</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Public Offerings of Common Stock</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The following table summarizes the cumulative total shares issued, net proceeds received, and weighted average offering price in public offerings of the Company’s common stock since the IPO in June 2011, except for the issuances under the ATM Program as described further below.</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49"/>
        <w:gridCol w:w="146"/>
        <w:gridCol w:w="206"/>
        <w:gridCol w:w="1463"/>
        <w:gridCol w:w="146"/>
        <w:gridCol w:w="146"/>
        <w:gridCol w:w="327"/>
        <w:gridCol w:w="1215"/>
        <w:gridCol w:w="146"/>
        <w:gridCol w:w="146"/>
        <w:gridCol w:w="766"/>
        <w:gridCol w:w="2075"/>
        <w:gridCol w:w="146"/>
        <w:gridCol w:w="146"/>
        <w:gridCol w:w="428"/>
        <w:gridCol w:w="1158"/>
        <w:gridCol w:w="196"/>
      </w:tblGrid>
      <w:tr>
        <w:trPr/>
        <w:tc>
          <w:tcPr>
            <w:tcW w:w="1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Cumulative 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Cumulative Gross 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Cumulative Underwriting Fees and Commissions and Offering Costs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Offering Price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9"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Cumulative since IPO</w:t>
            </w:r>
          </w:p>
        </w:tc>
        <w:tc>
          <w:tcPr>
            <w:tcW w:w="14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14,388,414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236,597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7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8,989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8"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16.44</w:t>
            </w:r>
          </w:p>
        </w:tc>
        <w:tc>
          <w:tcPr>
            <w:tcW w:w="196" w:type="dxa"/>
            <w:tcBorders/>
            <w:shd w:fill="CCEE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6"/>
        </w:rPr>
        <w:t>(1) Fidus Investment Advisors, LLC agreed to bear a cumulative of $1,925</w:t>
      </w:r>
      <w:r>
        <w:rPr>
          <w:rFonts w:ascii="Times New Roman" w:hAnsi="Times New Roman"/>
          <w:color w:val="000000"/>
          <w:sz w:val="20"/>
        </w:rPr>
        <w:t xml:space="preserve"> </w:t>
      </w:r>
      <w:r>
        <w:rPr>
          <w:rFonts w:ascii="Times New Roman" w:hAnsi="Times New Roman"/>
          <w:b w:val="false"/>
          <w:color w:val="000000"/>
          <w:sz w:val="16"/>
        </w:rPr>
        <w:t>of underwriting fees and commissions and offering costs associated with these offerings (such amounts are not included in the number reported above). All such payments made by Fidus Investment Advisors, LLC are not subject to reimbursement by the Company.</w:t>
      </w:r>
    </w:p>
    <w:p>
      <w:pPr>
        <w:pStyle w:val="TextBody"/>
        <w:bidi w:val="0"/>
        <w:spacing w:before="180" w:after="180"/>
        <w:jc w:val="both"/>
        <w:rPr>
          <w:rFonts w:ascii="Times New Roman" w:hAnsi="Times New Roman"/>
          <w:b w:val="false"/>
          <w:i/>
          <w:color w:val="000000"/>
          <w:sz w:val="20"/>
        </w:rPr>
      </w:pPr>
      <w:r>
        <w:rPr>
          <w:rFonts w:ascii="Times New Roman" w:hAnsi="Times New Roman"/>
          <w:b w:val="false"/>
          <w:i/>
          <w:color w:val="000000"/>
          <w:sz w:val="20"/>
        </w:rPr>
        <w:t>Equity ATM Program</w:t>
      </w:r>
    </w:p>
    <w:p>
      <w:pPr>
        <w:pStyle w:val="TextBody"/>
        <w:bidi w:val="0"/>
        <w:jc w:val="both"/>
        <w:rPr>
          <w:rFonts w:ascii="Times New Roman" w:hAnsi="Times New Roman"/>
          <w:sz w:val="20"/>
        </w:rPr>
      </w:pPr>
      <w:r>
        <w:rPr>
          <w:rFonts w:ascii="Times New Roman" w:hAnsi="Times New Roman"/>
          <w:b w:val="false"/>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$50,000. On August 11, 2023, the Company increased the maximum amount of shares to be sold through the ATM Program to $150,000</w:t>
      </w:r>
      <w:r>
        <w:rPr>
          <w:rFonts w:ascii="Times New Roman" w:hAnsi="Times New Roman"/>
          <w:color w:val="000000"/>
          <w:sz w:val="20"/>
        </w:rPr>
        <w:t xml:space="preserve"> </w:t>
      </w:r>
      <w:r>
        <w:rPr>
          <w:rFonts w:ascii="Times New Roman" w:hAnsi="Times New Roman"/>
          <w:b w:val="false"/>
          <w:color w:val="000000"/>
          <w:sz w:val="20"/>
        </w:rPr>
        <w:t>from $50,000. The gross proceeds raised, the related sales agent commissions and the offering expenses, the net proceeds raised, and the average price at which shares were issued under the ATM Program for the nine months ended September 30, 2023 and 2022 are as follows:</w:t>
      </w:r>
    </w:p>
    <w:tbl>
      <w:tblPr>
        <w:tblW w:w="6984" w:type="dxa"/>
        <w:jc w:val="left"/>
        <w:tblInd w:w="0" w:type="dxa"/>
        <w:tblLayout w:type="fixed"/>
        <w:tblCellMar>
          <w:top w:w="28" w:type="dxa"/>
          <w:left w:w="28" w:type="dxa"/>
          <w:bottom w:w="28" w:type="dxa"/>
          <w:right w:w="28" w:type="dxa"/>
        </w:tblCellMar>
      </w:tblPr>
      <w:tblGrid>
        <w:gridCol w:w="2176"/>
        <w:gridCol w:w="146"/>
        <w:gridCol w:w="146"/>
        <w:gridCol w:w="586"/>
        <w:gridCol w:w="146"/>
        <w:gridCol w:w="146"/>
        <w:gridCol w:w="170"/>
        <w:gridCol w:w="386"/>
        <w:gridCol w:w="146"/>
        <w:gridCol w:w="146"/>
        <w:gridCol w:w="166"/>
        <w:gridCol w:w="436"/>
        <w:gridCol w:w="146"/>
        <w:gridCol w:w="146"/>
        <w:gridCol w:w="297"/>
        <w:gridCol w:w="514"/>
        <w:gridCol w:w="146"/>
        <w:gridCol w:w="146"/>
        <w:gridCol w:w="166"/>
        <w:gridCol w:w="436"/>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Underwriting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Offering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Fees and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w:t>
            </w:r>
          </w:p>
        </w:tc>
        <w:tc>
          <w:tcPr>
            <w:tcW w:w="191" w:type="dxa"/>
            <w:tcBorders/>
            <w:shd w:fill="FFFFFF" w:val="cle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Nine Months Ended September 30, 2022</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Commissions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Proceeds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both"/>
              <w:rPr>
                <w:rFonts w:ascii="Times New Roman" w:hAnsi="Times New Roman"/>
                <w:b w:val="false"/>
                <w:color w:val="000000"/>
                <w:sz w:val="12"/>
              </w:rPr>
            </w:pPr>
            <w:r>
              <w:rPr>
                <w:rFonts w:ascii="Times New Roman" w:hAnsi="Times New Roman"/>
                <w:b w:val="false"/>
                <w:color w:val="000000"/>
                <w:sz w:val="12"/>
              </w:rPr>
              <w:t>January 1, 2022 through March 31, 2022</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9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91" w:type="dxa"/>
            <w:tcBorders/>
            <w:shd w:fill="FFFFFF" w:val="clear"/>
            <w:vAlign w:val="center"/>
          </w:tcPr>
          <w:p>
            <w:pPr>
              <w:pStyle w:val="TableContents"/>
              <w:bidi w:val="0"/>
              <w:spacing w:before="0" w:after="283"/>
              <w:jc w:val="left"/>
              <w:rPr/>
            </w:pPr>
            <w:r>
              <w:rPr/>
              <w:t> </w:t>
            </w:r>
          </w:p>
        </w:tc>
      </w:tr>
      <w:tr>
        <w:trPr/>
        <w:tc>
          <w:tcPr>
            <w:tcW w:w="2176" w:type="dxa"/>
            <w:tcBorders/>
            <w:shd w:fill="CCEEFF" w:val="clear"/>
            <w:vAlign w:val="center"/>
          </w:tcPr>
          <w:p>
            <w:pPr>
              <w:pStyle w:val="TableContents"/>
              <w:bidi w:val="0"/>
              <w:spacing w:before="0" w:after="283"/>
              <w:jc w:val="both"/>
              <w:rPr>
                <w:rFonts w:ascii="Times New Roman" w:hAnsi="Times New Roman"/>
                <w:b w:val="false"/>
                <w:color w:val="000000"/>
                <w:sz w:val="12"/>
              </w:rPr>
            </w:pPr>
            <w:r>
              <w:rPr>
                <w:rFonts w:ascii="Times New Roman" w:hAnsi="Times New Roman"/>
                <w:b w:val="false"/>
                <w:color w:val="000000"/>
                <w:sz w:val="12"/>
              </w:rPr>
              <w:t>April 1, 2022 through June 30, 2022</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97"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91" w:type="dxa"/>
            <w:tcBorders/>
            <w:shd w:fill="CCEEFF"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both"/>
              <w:rPr>
                <w:rFonts w:ascii="Times New Roman" w:hAnsi="Times New Roman"/>
                <w:b w:val="false"/>
                <w:color w:val="000000"/>
                <w:sz w:val="12"/>
              </w:rPr>
            </w:pPr>
            <w:r>
              <w:rPr>
                <w:rFonts w:ascii="Times New Roman" w:hAnsi="Times New Roman"/>
                <w:b w:val="false"/>
                <w:color w:val="000000"/>
                <w:sz w:val="12"/>
              </w:rPr>
              <w:t>July 1, 2022 through September 30, 2022</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811" w:type="dxa"/>
            <w:gridSpan w:val="2"/>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91" w:type="dxa"/>
            <w:tcBorders/>
            <w:shd w:fill="FFFFFF"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both"/>
              <w:rPr>
                <w:rFonts w:ascii="Times New Roman" w:hAnsi="Times New Roman"/>
                <w:b w:val="false"/>
                <w:color w:val="000000"/>
                <w:sz w:val="12"/>
              </w:rPr>
            </w:pPr>
            <w:r>
              <w:rPr>
                <w:rFonts w:ascii="Times New Roman" w:hAnsi="Times New Roman"/>
                <w:b w:val="false"/>
                <w:color w:val="000000"/>
                <w:sz w:val="12"/>
              </w:rPr>
              <w:t>Total</w:t>
            </w:r>
          </w:p>
        </w:tc>
        <w:tc>
          <w:tcPr>
            <w:tcW w:w="146" w:type="dxa"/>
            <w:tcBorders/>
            <w:shd w:fill="FFFFFF" w:val="clear"/>
            <w:vAlign w:val="center"/>
          </w:tcPr>
          <w:p>
            <w:pPr>
              <w:pStyle w:val="TableContents"/>
              <w:bidi w:val="0"/>
              <w:spacing w:before="0" w:after="283"/>
              <w:jc w:val="both"/>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Nine Months Ended September 30, 2023</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both"/>
              <w:rPr>
                <w:rFonts w:ascii="Times New Roman" w:hAnsi="Times New Roman"/>
                <w:b w:val="false"/>
                <w:color w:val="000000"/>
                <w:sz w:val="12"/>
              </w:rPr>
            </w:pPr>
            <w:r>
              <w:rPr>
                <w:rFonts w:ascii="Times New Roman" w:hAnsi="Times New Roman"/>
                <w:b w:val="false"/>
                <w:color w:val="000000"/>
                <w:sz w:val="12"/>
              </w:rPr>
              <w:t>January 1, 2023 through March 31, 2023</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9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5,308</w:t>
            </w:r>
          </w:p>
        </w:tc>
        <w:tc>
          <w:tcPr>
            <w:tcW w:w="191" w:type="dxa"/>
            <w:tcBorders/>
            <w:shd w:fill="FFFFFF" w:val="clear"/>
            <w:vAlign w:val="center"/>
          </w:tcPr>
          <w:p>
            <w:pPr>
              <w:pStyle w:val="TableContents"/>
              <w:bidi w:val="0"/>
              <w:spacing w:before="0" w:after="283"/>
              <w:jc w:val="left"/>
              <w:rPr/>
            </w:pPr>
            <w:r>
              <w:rPr/>
              <w:t> </w:t>
            </w:r>
          </w:p>
        </w:tc>
      </w:tr>
      <w:tr>
        <w:trPr/>
        <w:tc>
          <w:tcPr>
            <w:tcW w:w="2176" w:type="dxa"/>
            <w:tcBorders/>
            <w:shd w:fill="CCEEFF" w:val="clear"/>
            <w:vAlign w:val="center"/>
          </w:tcPr>
          <w:p>
            <w:pPr>
              <w:pStyle w:val="TableContents"/>
              <w:bidi w:val="0"/>
              <w:spacing w:before="0" w:after="283"/>
              <w:jc w:val="both"/>
              <w:rPr>
                <w:rFonts w:ascii="Times New Roman" w:hAnsi="Times New Roman"/>
                <w:b w:val="false"/>
                <w:color w:val="000000"/>
                <w:sz w:val="12"/>
              </w:rPr>
            </w:pPr>
            <w:r>
              <w:rPr>
                <w:rFonts w:ascii="Times New Roman" w:hAnsi="Times New Roman"/>
                <w:b w:val="false"/>
                <w:color w:val="000000"/>
                <w:sz w:val="12"/>
              </w:rPr>
              <w:t>April 1, 2023 through June 30, 2023</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246,574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19.93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4,914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97"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4,840</w:t>
            </w:r>
          </w:p>
        </w:tc>
        <w:tc>
          <w:tcPr>
            <w:tcW w:w="191" w:type="dxa"/>
            <w:tcBorders/>
            <w:shd w:fill="CCEEFF"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both"/>
              <w:rPr>
                <w:rFonts w:ascii="Times New Roman" w:hAnsi="Times New Roman"/>
                <w:b w:val="false"/>
                <w:color w:val="000000"/>
                <w:sz w:val="12"/>
              </w:rPr>
            </w:pPr>
            <w:r>
              <w:rPr>
                <w:rFonts w:ascii="Times New Roman" w:hAnsi="Times New Roman"/>
                <w:b w:val="false"/>
                <w:color w:val="000000"/>
                <w:sz w:val="12"/>
              </w:rPr>
              <w:t>July 1, 2023 through September 30, 2023</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3,187,661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62,277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97"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61,498</w:t>
            </w:r>
          </w:p>
        </w:tc>
        <w:tc>
          <w:tcPr>
            <w:tcW w:w="191" w:type="dxa"/>
            <w:tcBorders/>
            <w:shd w:fill="FFFFFF"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both"/>
              <w:rPr>
                <w:rFonts w:ascii="Times New Roman" w:hAnsi="Times New Roman"/>
                <w:b w:val="false"/>
                <w:color w:val="000000"/>
                <w:sz w:val="12"/>
              </w:rPr>
            </w:pPr>
            <w:r>
              <w:rPr>
                <w:rFonts w:ascii="Times New Roman" w:hAnsi="Times New Roman"/>
                <w:b w:val="false"/>
                <w:color w:val="000000"/>
                <w:sz w:val="12"/>
              </w:rPr>
              <w:t>Total</w:t>
            </w:r>
          </w:p>
        </w:tc>
        <w:tc>
          <w:tcPr>
            <w:tcW w:w="146" w:type="dxa"/>
            <w:tcBorders/>
            <w:shd w:fill="FFFFFF" w:val="clear"/>
            <w:vAlign w:val="center"/>
          </w:tcPr>
          <w:p>
            <w:pPr>
              <w:pStyle w:val="TableContents"/>
              <w:bidi w:val="0"/>
              <w:spacing w:before="0" w:after="283"/>
              <w:jc w:val="both"/>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3,694,845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19.64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72,580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71,646</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Times New Roman" w:hAnsi="Times New Roman"/>
          <w:b w:val="false"/>
          <w:color w:val="000000"/>
          <w:sz w:val="20"/>
        </w:rPr>
        <w:t>Cumulative to date, the Company has sold 3,985,233</w:t>
      </w:r>
      <w:r>
        <w:rPr>
          <w:rFonts w:ascii="Times New Roman" w:hAnsi="Times New Roman"/>
          <w:color w:val="000000"/>
          <w:sz w:val="20"/>
        </w:rPr>
        <w:t xml:space="preserve"> </w:t>
      </w:r>
      <w:r>
        <w:rPr>
          <w:rFonts w:ascii="Times New Roman" w:hAnsi="Times New Roman"/>
          <w:b w:val="false"/>
          <w:color w:val="000000"/>
          <w:sz w:val="20"/>
        </w:rPr>
        <w:t>shares of common stock under the ATM Program at a weighted-average price of $19.69, raising $78,480</w:t>
      </w:r>
      <w:r>
        <w:rPr>
          <w:rFonts w:ascii="Times New Roman" w:hAnsi="Times New Roman"/>
          <w:color w:val="000000"/>
          <w:sz w:val="20"/>
        </w:rPr>
        <w:t xml:space="preserve"> </w:t>
      </w:r>
      <w:r>
        <w:rPr>
          <w:rFonts w:ascii="Times New Roman" w:hAnsi="Times New Roman"/>
          <w:b w:val="false"/>
          <w:color w:val="000000"/>
          <w:sz w:val="20"/>
        </w:rPr>
        <w:t>of gross proceeds. Net proceeds were $77,458</w:t>
      </w:r>
      <w:r>
        <w:rPr>
          <w:rFonts w:ascii="Times New Roman" w:hAnsi="Times New Roman"/>
          <w:color w:val="000000"/>
          <w:sz w:val="20"/>
        </w:rPr>
        <w:t xml:space="preserve"> </w:t>
      </w:r>
      <w:r>
        <w:rPr>
          <w:rFonts w:ascii="Times New Roman" w:hAnsi="Times New Roman"/>
          <w:b w:val="false"/>
          <w:color w:val="000000"/>
          <w:sz w:val="20"/>
        </w:rPr>
        <w:t>after commissions to the sales agents on shares sold. As of September 30, 2023, the Company has $71,520</w:t>
      </w:r>
      <w:r>
        <w:rPr>
          <w:rFonts w:ascii="Times New Roman" w:hAnsi="Times New Roman"/>
          <w:color w:val="000000"/>
          <w:sz w:val="20"/>
        </w:rPr>
        <w:t xml:space="preserve"> </w:t>
      </w:r>
      <w:r>
        <w:rPr>
          <w:rFonts w:ascii="Times New Roman" w:hAnsi="Times New Roman"/>
          <w:b w:val="false"/>
          <w:color w:val="000000"/>
          <w:sz w:val="20"/>
        </w:rPr>
        <w:t>available under the ATM Program.</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Stock Repurchase Program</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As described in Note 2, the Company has a Stock Repurchase Program under which the Company may acquire up to $5,000</w:t>
      </w:r>
      <w:r>
        <w:rPr>
          <w:rFonts w:ascii="Times New Roman" w:hAnsi="Times New Roman"/>
          <w:color w:val="000000"/>
          <w:sz w:val="20"/>
        </w:rPr>
        <w:t xml:space="preserve"> </w:t>
      </w:r>
      <w:r>
        <w:rPr>
          <w:rFonts w:ascii="Times New Roman" w:hAnsi="Times New Roman"/>
          <w:b w:val="false"/>
          <w:color w:val="000000"/>
          <w:sz w:val="20"/>
        </w:rPr>
        <w:t>of its outstanding common stock. The Company did not make any repurchases of common stock during the three and nine months ended September 30, 2023 and 2022.</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DRIP Program</w:t>
      </w:r>
    </w:p>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both"/>
        <w:rPr>
          <w:rFonts w:ascii="Times New Roman" w:hAnsi="Times New Roman"/>
          <w:sz w:val="20"/>
        </w:rPr>
      </w:pPr>
      <w:r>
        <w:rPr>
          <w:rFonts w:ascii="Times New Roman" w:hAnsi="Times New Roman"/>
          <w:b w:val="false"/>
          <w:color w:val="000000"/>
          <w:sz w:val="20"/>
        </w:rPr>
        <w:t>The Company issued zero</w:t>
      </w:r>
      <w:r>
        <w:rPr>
          <w:rFonts w:ascii="Times New Roman" w:hAnsi="Times New Roman"/>
          <w:color w:val="000000"/>
          <w:sz w:val="20"/>
        </w:rPr>
        <w:t xml:space="preserve"> </w:t>
      </w:r>
      <w:r>
        <w:rPr>
          <w:rFonts w:ascii="Times New Roman" w:hAnsi="Times New Roman"/>
          <w:b w:val="false"/>
          <w:color w:val="000000"/>
          <w:sz w:val="20"/>
        </w:rPr>
        <w:t>and 30,836</w:t>
      </w:r>
      <w:r>
        <w:rPr>
          <w:rFonts w:ascii="Times New Roman" w:hAnsi="Times New Roman"/>
          <w:color w:val="000000"/>
          <w:sz w:val="20"/>
        </w:rPr>
        <w:t xml:space="preserve"> </w:t>
      </w:r>
      <w:r>
        <w:rPr>
          <w:rFonts w:ascii="Times New Roman" w:hAnsi="Times New Roman"/>
          <w:b w:val="false"/>
          <w:color w:val="000000"/>
          <w:sz w:val="20"/>
        </w:rPr>
        <w:t>shares of common stock under the DRIP during the three and nine months ended September 30, 2023, respectively. No</w:t>
      </w:r>
      <w:r>
        <w:rPr>
          <w:rFonts w:ascii="Times New Roman" w:hAnsi="Times New Roman"/>
          <w:color w:val="000000"/>
          <w:sz w:val="20"/>
        </w:rPr>
        <w:t xml:space="preserve"> </w:t>
      </w:r>
      <w:r>
        <w:rPr>
          <w:rFonts w:ascii="Times New Roman" w:hAnsi="Times New Roman"/>
          <w:b w:val="false"/>
          <w:color w:val="000000"/>
          <w:sz w:val="20"/>
        </w:rPr>
        <w:t>shares under the DRIP were issued during the three and nine months ended September 30, 2022. Refer to Note 9 for additional information regarding the issuance of shares under the DRIP.</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The Company had 28,453,469</w:t>
      </w:r>
      <w:r>
        <w:rPr>
          <w:rFonts w:ascii="Times New Roman" w:hAnsi="Times New Roman"/>
          <w:color w:val="000000"/>
          <w:sz w:val="20"/>
        </w:rPr>
        <w:t xml:space="preserve"> </w:t>
      </w:r>
      <w:r>
        <w:rPr>
          <w:rFonts w:ascii="Times New Roman" w:hAnsi="Times New Roman"/>
          <w:b w:val="false"/>
          <w:color w:val="000000"/>
          <w:sz w:val="20"/>
        </w:rPr>
        <w:t>and 24,727,788</w:t>
      </w:r>
      <w:r>
        <w:rPr>
          <w:rFonts w:ascii="Times New Roman" w:hAnsi="Times New Roman"/>
          <w:color w:val="000000"/>
          <w:sz w:val="20"/>
        </w:rPr>
        <w:t xml:space="preserve"> </w:t>
      </w:r>
      <w:r>
        <w:rPr>
          <w:rFonts w:ascii="Times New Roman" w:hAnsi="Times New Roman"/>
          <w:b w:val="false"/>
          <w:color w:val="000000"/>
          <w:sz w:val="20"/>
        </w:rPr>
        <w:t>shares of common stock outstanding as of September 30, 2023 and December 31, 2022, respectively.</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9. Dividends and Distributions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Company’s dividends and distributions are recorded on the record date. The following table summarizes the dividends paid during the last two fiscal years and for the nine months ended September 30, 2023.</w:t>
      </w:r>
    </w:p>
    <w:p>
      <w:pPr>
        <w:pStyle w:val="TextBody"/>
        <w:bidi w:val="0"/>
        <w:jc w:val="both"/>
        <w:rPr/>
      </w:pPr>
      <w:r>
        <w:rPr/>
        <w:t> </w:t>
      </w:r>
    </w:p>
    <w:tbl>
      <w:tblPr>
        <w:tblW w:w="9513" w:type="dxa"/>
        <w:jc w:val="left"/>
        <w:tblInd w:w="0" w:type="dxa"/>
        <w:tblLayout w:type="fixed"/>
        <w:tblCellMar>
          <w:top w:w="28" w:type="dxa"/>
          <w:left w:w="28" w:type="dxa"/>
          <w:bottom w:w="28" w:type="dxa"/>
          <w:right w:w="28" w:type="dxa"/>
        </w:tblCellMar>
      </w:tblPr>
      <w:tblGrid>
        <w:gridCol w:w="2221"/>
        <w:gridCol w:w="146"/>
        <w:gridCol w:w="586"/>
        <w:gridCol w:w="146"/>
        <w:gridCol w:w="646"/>
        <w:gridCol w:w="146"/>
        <w:gridCol w:w="217"/>
        <w:gridCol w:w="413"/>
        <w:gridCol w:w="146"/>
        <w:gridCol w:w="146"/>
        <w:gridCol w:w="198"/>
        <w:gridCol w:w="523"/>
        <w:gridCol w:w="146"/>
        <w:gridCol w:w="146"/>
        <w:gridCol w:w="198"/>
        <w:gridCol w:w="523"/>
        <w:gridCol w:w="146"/>
        <w:gridCol w:w="146"/>
        <w:gridCol w:w="166"/>
        <w:gridCol w:w="346"/>
        <w:gridCol w:w="146"/>
        <w:gridCol w:w="211"/>
        <w:gridCol w:w="146"/>
        <w:gridCol w:w="436"/>
        <w:gridCol w:w="146"/>
        <w:gridCol w:w="211"/>
        <w:gridCol w:w="189"/>
        <w:gridCol w:w="486"/>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91" w:type="dxa"/>
            <w:tcBorders/>
            <w:shd w:fill="FFFFFF" w:val="cle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Date</w:t>
            </w:r>
          </w:p>
        </w:tc>
        <w:tc>
          <w:tcPr>
            <w:tcW w:w="146"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Record</w:t>
            </w:r>
          </w:p>
        </w:tc>
        <w:tc>
          <w:tcPr>
            <w:tcW w:w="14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Payment</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Cash</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91" w:type="dxa"/>
            <w:tcBorders/>
            <w:shd w:fill="FFFFFF" w:val="clear"/>
            <w:vAlign w:val="center"/>
          </w:tcPr>
          <w:p>
            <w:pPr>
              <w:pStyle w:val="TableContents"/>
              <w:bidi w:val="0"/>
              <w:spacing w:before="0" w:after="283"/>
              <w:jc w:val="center"/>
              <w:rPr/>
            </w:pPr>
            <w:r>
              <w:rPr/>
              <w:t> </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Issue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Year Ended December 31, 2021:</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2/09/2021</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3/12/2021</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3/26/2021</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2/09/2021 </w:t>
            </w:r>
            <w:r>
              <w:rPr>
                <w:rFonts w:ascii="Times New Roman" w:hAnsi="Times New Roman"/>
                <w:b w:val="false"/>
                <w:color w:val="000000"/>
                <w:sz w:val="8"/>
              </w:rPr>
              <w:t>(2)</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3/12/2021</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3/26/2021</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5/03/2021</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6/14/2021</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6/28/2021</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5/03/2021 </w:t>
            </w:r>
            <w:r>
              <w:rPr>
                <w:rFonts w:ascii="Times New Roman" w:hAnsi="Times New Roman"/>
                <w:b w:val="false"/>
                <w:color w:val="000000"/>
                <w:sz w:val="8"/>
              </w:rPr>
              <w:t>(2)</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6/14/2021</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6/28/2021</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8/02/2021</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9/14/2021</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9/28/2021</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8/02/2021 </w:t>
            </w:r>
            <w:r>
              <w:rPr>
                <w:rFonts w:ascii="Times New Roman" w:hAnsi="Times New Roman"/>
                <w:b w:val="false"/>
                <w:color w:val="000000"/>
                <w:sz w:val="8"/>
              </w:rPr>
              <w:t>(2)</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9/14/2021</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9/28/2021</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8/02/2021 </w:t>
            </w:r>
            <w:r>
              <w:rPr>
                <w:rFonts w:ascii="Times New Roman" w:hAnsi="Times New Roman"/>
                <w:b w:val="false"/>
                <w:color w:val="000000"/>
                <w:sz w:val="8"/>
              </w:rPr>
              <w:t>(1)</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9/14/2021</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9/28/2021</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11/01/2021</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12/3/2021</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12/17/2021</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11/01/2021 </w:t>
            </w:r>
            <w:r>
              <w:rPr>
                <w:rFonts w:ascii="Times New Roman" w:hAnsi="Times New Roman"/>
                <w:b w:val="false"/>
                <w:color w:val="000000"/>
                <w:sz w:val="8"/>
              </w:rPr>
              <w:t>(2)</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12/3/2021</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12/17/2021</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11/01/2021 </w:t>
            </w:r>
            <w:r>
              <w:rPr>
                <w:rFonts w:ascii="Times New Roman" w:hAnsi="Times New Roman"/>
                <w:b w:val="false"/>
                <w:color w:val="000000"/>
                <w:sz w:val="8"/>
              </w:rPr>
              <w:t>(1)</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12/3/2021</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12/17/2021</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Year Ended December 31, 2022:</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2/15/2022</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3/11/2022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3/25/2022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2/15/2022 </w:t>
            </w:r>
            <w:r>
              <w:rPr>
                <w:rFonts w:ascii="Times New Roman" w:hAnsi="Times New Roman"/>
                <w:b w:val="false"/>
                <w:color w:val="000000"/>
                <w:sz w:val="8"/>
              </w:rPr>
              <w:t>(2)</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3/11/2022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3/25/2022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5/02/2022</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6/10/2022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6/24/2022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5/02/2022 </w:t>
            </w:r>
            <w:r>
              <w:rPr>
                <w:rFonts w:ascii="Times New Roman" w:hAnsi="Times New Roman"/>
                <w:b w:val="false"/>
                <w:color w:val="000000"/>
                <w:sz w:val="8"/>
              </w:rPr>
              <w:t>(2)</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6/10/2022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6/24/2022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8/01/2022</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9/9/2022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9/23/2022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8/01/2022 </w:t>
            </w:r>
            <w:r>
              <w:rPr>
                <w:rFonts w:ascii="Times New Roman" w:hAnsi="Times New Roman"/>
                <w:b w:val="false"/>
                <w:color w:val="000000"/>
                <w:sz w:val="8"/>
              </w:rPr>
              <w:t>(2)</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9/23/2022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8/01/2022</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12/2/2022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12/16/2022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8/01/2022 </w:t>
            </w:r>
            <w:r>
              <w:rPr>
                <w:rFonts w:ascii="Times New Roman" w:hAnsi="Times New Roman"/>
                <w:b w:val="false"/>
                <w:color w:val="000000"/>
                <w:sz w:val="8"/>
              </w:rPr>
              <w:t>(2)</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12/16/2022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11/03/2022 </w:t>
            </w:r>
            <w:r>
              <w:rPr>
                <w:rFonts w:ascii="Times New Roman" w:hAnsi="Times New Roman"/>
                <w:b w:val="false"/>
                <w:color w:val="000000"/>
                <w:sz w:val="8"/>
              </w:rPr>
              <w:t>(2)</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12/2/2022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12/16/2022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11/03/2022 </w:t>
            </w:r>
            <w:r>
              <w:rPr>
                <w:rFonts w:ascii="Times New Roman" w:hAnsi="Times New Roman"/>
                <w:b w:val="false"/>
                <w:color w:val="000000"/>
                <w:sz w:val="8"/>
              </w:rPr>
              <w:t>(1)</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12/16/2022</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Nine Months Ended September 30, 2023:</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2/15/2023</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3/22/2023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3/29/2023</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2/15/2023 </w:t>
            </w:r>
            <w:r>
              <w:rPr>
                <w:rFonts w:ascii="Times New Roman" w:hAnsi="Times New Roman"/>
                <w:b w:val="false"/>
                <w:color w:val="000000"/>
                <w:sz w:val="8"/>
              </w:rPr>
              <w:t>(2)</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3/22/2023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3/29/2023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2/15/2023 </w:t>
            </w:r>
            <w:r>
              <w:rPr>
                <w:rFonts w:ascii="Times New Roman" w:hAnsi="Times New Roman"/>
                <w:b w:val="false"/>
                <w:color w:val="000000"/>
                <w:sz w:val="8"/>
              </w:rPr>
              <w:t>(1)</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3/22/2023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3/29/2023</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5/02/2023</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6/21/2023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6/28/2023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18,061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19.56</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5/02/2023 </w:t>
            </w:r>
            <w:r>
              <w:rPr>
                <w:rFonts w:ascii="Times New Roman" w:hAnsi="Times New Roman"/>
                <w:b w:val="false"/>
                <w:color w:val="000000"/>
                <w:sz w:val="8"/>
              </w:rPr>
              <w:t>(2)</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6/21/2023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6/28/2023</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8,370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19.56</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5/02/2023 </w:t>
            </w:r>
            <w:r>
              <w:rPr>
                <w:rFonts w:ascii="Times New Roman" w:hAnsi="Times New Roman"/>
                <w:b w:val="false"/>
                <w:color w:val="000000"/>
                <w:sz w:val="8"/>
              </w:rPr>
              <w:t>(1)</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6/21/2023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6/28/2023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4,405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19.56</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8/01/2023</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9/20/2023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9/27/2023</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8/01/2023 </w:t>
            </w:r>
            <w:r>
              <w:rPr>
                <w:rFonts w:ascii="Times New Roman" w:hAnsi="Times New Roman"/>
                <w:b w:val="false"/>
                <w:color w:val="000000"/>
                <w:sz w:val="8"/>
              </w:rPr>
              <w:t>(2)</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9/20/2023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9/27/2023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8/01/2023 </w:t>
            </w:r>
            <w:r>
              <w:rPr>
                <w:rFonts w:ascii="Times New Roman" w:hAnsi="Times New Roman"/>
                <w:b w:val="false"/>
                <w:color w:val="000000"/>
                <w:sz w:val="8"/>
              </w:rPr>
              <w:t>(1)</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9/20/2023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9/27/2023</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8"/>
              </w:rPr>
            </w:pPr>
            <w:r>
              <w:rPr>
                <w:rFonts w:ascii="Times New Roman" w:hAnsi="Times New Roman"/>
                <w:b w:val="false"/>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54,632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54,029</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30,836</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w:t>
            </w:r>
          </w:p>
        </w:tc>
        <w:tc>
          <w:tcPr>
            <w:tcW w:w="99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Special dividend</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Supplemental dividend</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Except for the shares issued pursuant to the DRIP as reflected in the table above, during the nine months ended September 30, 2023 and the years ended December 31, 2022 and 2021,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tc>
      </w:tr>
    </w:tbl>
    <w:p>
      <w:pPr>
        <w:pStyle w:val="TextBody"/>
        <w:bidi w:val="0"/>
        <w:jc w:val="left"/>
        <w:rPr/>
      </w:pPr>
      <w:r>
        <w:rPr/>
        <w:t> </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202"/>
        <w:gridCol w:w="833"/>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January 1, 2021 through March 31, 2021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15,562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19"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70"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243</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April 1, 2021 through June 30, 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293</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July 1, 2021 through September 30, 2021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18,201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17.82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324</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October 1, 2021 through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69,088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1,178</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202"/>
        <w:gridCol w:w="833"/>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January 1, 2022 through March 31, 2022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20,380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19"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20.51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70"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418</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April 1, 2022 through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362</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July 1, 2022 through September 30, 2022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21,114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360</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October 1, 2022 through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84,753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18.61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left"/>
        <w:rPr/>
      </w:pPr>
      <w:r>
        <w:rPr/>
        <w:t> </w:t>
      </w:r>
    </w:p>
    <w:tbl>
      <w:tblPr>
        <w:tblW w:w="7244" w:type="dxa"/>
        <w:jc w:val="left"/>
        <w:tblInd w:w="0" w:type="dxa"/>
        <w:tblLayout w:type="fixed"/>
        <w:tblCellMar>
          <w:top w:w="28" w:type="dxa"/>
          <w:left w:w="28" w:type="dxa"/>
          <w:bottom w:w="28" w:type="dxa"/>
          <w:right w:w="28" w:type="dxa"/>
        </w:tblCellMar>
      </w:tblPr>
      <w:tblGrid>
        <w:gridCol w:w="3076"/>
        <w:gridCol w:w="146"/>
        <w:gridCol w:w="146"/>
        <w:gridCol w:w="146"/>
        <w:gridCol w:w="202"/>
        <w:gridCol w:w="833"/>
        <w:gridCol w:w="146"/>
        <w:gridCol w:w="146"/>
        <w:gridCol w:w="236"/>
        <w:gridCol w:w="619"/>
        <w:gridCol w:w="146"/>
        <w:gridCol w:w="146"/>
        <w:gridCol w:w="295"/>
        <w:gridCol w:w="770"/>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vAlign w:val="center"/>
          </w:tcPr>
          <w:p>
            <w:pPr>
              <w:pStyle w:val="TableContents"/>
              <w:bidi w:val="0"/>
              <w:spacing w:before="0" w:after="283"/>
              <w:jc w:val="center"/>
              <w:rPr/>
            </w:pPr>
            <w:r>
              <w:rPr/>
              <w:t> </w:t>
            </w:r>
          </w:p>
        </w:tc>
      </w:tr>
      <w:tr>
        <w:trPr/>
        <w:tc>
          <w:tcPr>
            <w:tcW w:w="3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Nine Months Ended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January 1, 2023 through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1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7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490</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April 1, 2023 through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July 1, 2023 through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39,962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768</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65,474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1,258</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10. Financial Highlights</w:t>
      </w:r>
    </w:p>
    <w:p>
      <w:pPr>
        <w:pStyle w:val="TextBody"/>
        <w:bidi w:val="0"/>
        <w:spacing w:before="180" w:after="283"/>
        <w:jc w:val="both"/>
        <w:rPr>
          <w:rFonts w:ascii="Times New Roman" w:hAnsi="Times New Roman"/>
          <w:b w:val="false"/>
          <w:color w:val="000000"/>
          <w:sz w:val="20"/>
        </w:rPr>
      </w:pPr>
      <w:bookmarkStart w:id="13" w:name="fis_unidentified_table_15"/>
      <w:bookmarkEnd w:id="13"/>
      <w:r>
        <w:rPr>
          <w:rFonts w:ascii="Times New Roman" w:hAnsi="Times New Roman"/>
          <w:b w:val="false"/>
          <w:color w:val="000000"/>
          <w:sz w:val="20"/>
        </w:rPr>
        <w:t>The following is a schedule of financial highlights for the nine months ended September 30, 2023 and 2022:</w:t>
      </w:r>
    </w:p>
    <w:p>
      <w:pPr>
        <w:pStyle w:val="TextBody"/>
        <w:bidi w:val="0"/>
        <w:jc w:val="both"/>
        <w:rPr/>
      </w:pPr>
      <w:r>
        <w:rPr/>
        <w:t> </w:t>
      </w:r>
    </w:p>
    <w:tbl>
      <w:tblPr>
        <w:tblW w:w="8727" w:type="dxa"/>
        <w:jc w:val="left"/>
        <w:tblInd w:w="0" w:type="dxa"/>
        <w:tblLayout w:type="fixed"/>
        <w:tblCellMar>
          <w:top w:w="28" w:type="dxa"/>
          <w:left w:w="28" w:type="dxa"/>
          <w:bottom w:w="28" w:type="dxa"/>
          <w:right w:w="28" w:type="dxa"/>
        </w:tblCellMar>
      </w:tblPr>
      <w:tblGrid>
        <w:gridCol w:w="5266"/>
        <w:gridCol w:w="146"/>
        <w:gridCol w:w="217"/>
        <w:gridCol w:w="1068"/>
        <w:gridCol w:w="279"/>
        <w:gridCol w:w="150"/>
        <w:gridCol w:w="217"/>
        <w:gridCol w:w="1068"/>
        <w:gridCol w:w="316"/>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9"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28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vAlign w:val="center"/>
          </w:tcPr>
          <w:p>
            <w:pPr>
              <w:pStyle w:val="TableContents"/>
              <w:bidi w:val="0"/>
              <w:spacing w:before="0" w:after="283"/>
              <w:jc w:val="left"/>
              <w:rPr/>
            </w:pPr>
            <w:r>
              <w:rPr/>
              <w:t> </w:t>
            </w:r>
          </w:p>
        </w:tc>
        <w:tc>
          <w:tcPr>
            <w:tcW w:w="1285" w:type="dxa"/>
            <w:gridSpan w:val="2"/>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285"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asset value at beginning of period</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19.43</w:t>
            </w:r>
          </w:p>
        </w:tc>
        <w:tc>
          <w:tcPr>
            <w:tcW w:w="279"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19.96</w:t>
            </w:r>
          </w:p>
        </w:tc>
        <w:tc>
          <w:tcPr>
            <w:tcW w:w="316" w:type="dxa"/>
            <w:tcBorders/>
            <w:shd w:fill="FFFFFF" w:val="cle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investment income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w:t>
            </w:r>
          </w:p>
        </w:tc>
        <w:tc>
          <w:tcPr>
            <w:tcW w:w="279"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realized gain (loss) on investments, net of tax (provision)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0.11</w:t>
            </w:r>
          </w:p>
        </w:tc>
        <w:tc>
          <w:tcPr>
            <w:tcW w:w="279"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w:t>
            </w:r>
          </w:p>
        </w:tc>
        <w:tc>
          <w:tcPr>
            <w:tcW w:w="316" w:type="dxa"/>
            <w:tcBorders/>
            <w:shd w:fill="FFFFFF" w:val="cle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unrealized appreciation (depreciation) on investments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Realized losses on extinguishment of debt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Total increase from investment operations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w:t>
            </w:r>
          </w:p>
        </w:tc>
        <w:tc>
          <w:tcPr>
            <w:tcW w:w="279"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Accretive (dilutive) effect of share issuances and repurchases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279"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16" w:type="dxa"/>
            <w:tcBorders/>
            <w:shd w:fill="FFFFFF" w:val="cle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Dividends to stockholders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Other </w:t>
            </w:r>
            <w:r>
              <w:rPr>
                <w:rFonts w:ascii="Times New Roman" w:hAnsi="Times New Roman"/>
                <w:b w:val="false"/>
                <w:color w:val="000000"/>
                <w:sz w:val="13"/>
              </w:rPr>
              <w:t>(11)</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(0.07</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asset value at end of period</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19.28</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 value at end of period</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19.20</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outstanding at end of period</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28,453,469</w:t>
            </w:r>
          </w:p>
        </w:tc>
        <w:tc>
          <w:tcPr>
            <w:tcW w:w="279"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24,437,400</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outstanding during the period</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25,490,379</w:t>
            </w:r>
          </w:p>
        </w:tc>
        <w:tc>
          <w:tcPr>
            <w:tcW w:w="279"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24,437,400</w:t>
            </w:r>
          </w:p>
        </w:tc>
        <w:tc>
          <w:tcPr>
            <w:tcW w:w="316" w:type="dxa"/>
            <w:tcBorders/>
            <w:shd w:fill="FFFFFF" w:val="cle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assets at end of period</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548,625</w:t>
            </w:r>
          </w:p>
        </w:tc>
        <w:tc>
          <w:tcPr>
            <w:tcW w:w="279"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474,387</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Average net assets </w:t>
            </w:r>
            <w:r>
              <w:rPr>
                <w:rFonts w:ascii="Times New Roman" w:hAnsi="Times New Roman"/>
                <w:b w:val="false"/>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499,241</w:t>
            </w:r>
          </w:p>
        </w:tc>
        <w:tc>
          <w:tcPr>
            <w:tcW w:w="279"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483,157</w:t>
            </w:r>
          </w:p>
        </w:tc>
        <w:tc>
          <w:tcPr>
            <w:tcW w:w="316" w:type="dxa"/>
            <w:tcBorders/>
            <w:shd w:fill="FFFFFF" w:val="cle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Ratios to average net assets:</w:t>
            </w:r>
          </w:p>
        </w:tc>
        <w:tc>
          <w:tcPr>
            <w:tcW w:w="146" w:type="dxa"/>
            <w:tcBorders/>
            <w:shd w:fill="CFF0FC" w:val="clear"/>
            <w:vAlign w:val="center"/>
          </w:tcPr>
          <w:p>
            <w:pPr>
              <w:pStyle w:val="TableContents"/>
              <w:bidi w:val="0"/>
              <w:spacing w:before="0" w:after="283"/>
              <w:jc w:val="left"/>
              <w:rPr/>
            </w:pPr>
            <w:r>
              <w:rPr/>
              <w:t> </w:t>
            </w:r>
          </w:p>
        </w:tc>
        <w:tc>
          <w:tcPr>
            <w:tcW w:w="1285" w:type="dxa"/>
            <w:gridSpan w:val="2"/>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285"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Total expenses </w:t>
            </w:r>
            <w:r>
              <w:rPr>
                <w:rFonts w:ascii="Times New Roman" w:hAnsi="Times New Roman"/>
                <w:b w:val="false"/>
                <w:color w:val="000000"/>
                <w:sz w:val="13"/>
              </w:rPr>
              <w:t>(2)(4)(10)</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investment income </w:t>
            </w:r>
            <w:r>
              <w:rPr>
                <w:rFonts w:ascii="Times New Roman" w:hAnsi="Times New Roman"/>
                <w:b w:val="false"/>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Total return based on market value </w:t>
            </w:r>
            <w:r>
              <w:rPr>
                <w:rFonts w:ascii="Times New Roman" w:hAnsi="Times New Roman"/>
                <w:b w:val="false"/>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Total return based on net asset value </w:t>
            </w:r>
            <w:r>
              <w:rPr>
                <w:rFonts w:ascii="Times New Roman" w:hAnsi="Times New Roman"/>
                <w:b w:val="false"/>
                <w:color w:val="000000"/>
                <w:sz w:val="13"/>
              </w:rPr>
              <w:t>(8)</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Portfolio turnover ratio </w:t>
            </w:r>
            <w:r>
              <w:rPr>
                <w:rFonts w:ascii="Times New Roman" w:hAnsi="Times New Roman"/>
                <w:b w:val="false"/>
                <w:color w:val="000000"/>
                <w:sz w:val="13"/>
              </w:rPr>
              <w:t>(9)</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Data:</w:t>
            </w:r>
          </w:p>
        </w:tc>
        <w:tc>
          <w:tcPr>
            <w:tcW w:w="146" w:type="dxa"/>
            <w:tcBorders/>
            <w:shd w:fill="CFF0FC" w:val="clear"/>
            <w:vAlign w:val="center"/>
          </w:tcPr>
          <w:p>
            <w:pPr>
              <w:pStyle w:val="TableContents"/>
              <w:bidi w:val="0"/>
              <w:spacing w:before="0" w:after="283"/>
              <w:jc w:val="left"/>
              <w:rPr/>
            </w:pPr>
            <w:r>
              <w:rPr/>
              <w:t> </w:t>
            </w:r>
          </w:p>
        </w:tc>
        <w:tc>
          <w:tcPr>
            <w:tcW w:w="1285" w:type="dxa"/>
            <w:gridSpan w:val="2"/>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285"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Average debt outstanding </w:t>
            </w:r>
            <w:r>
              <w:rPr>
                <w:rFonts w:ascii="Times New Roman" w:hAnsi="Times New Roman"/>
                <w:b w:val="false"/>
                <w:color w:val="000000"/>
                <w:sz w:val="13"/>
              </w:rPr>
              <w:t>(7)</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449,846</w:t>
            </w:r>
          </w:p>
        </w:tc>
        <w:tc>
          <w:tcPr>
            <w:tcW w:w="279"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391,585</w:t>
            </w:r>
          </w:p>
        </w:tc>
        <w:tc>
          <w:tcPr>
            <w:tcW w:w="316" w:type="dxa"/>
            <w:tcBorders/>
            <w:shd w:fill="FFFFFF" w:val="cle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Average debt per share</w:t>
            </w:r>
            <w:r>
              <w:rPr>
                <w:rFonts w:ascii="Times New Roman" w:hAnsi="Times New Roman"/>
                <w:color w:val="000000"/>
                <w:sz w:val="20"/>
              </w:rPr>
              <w:t>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17.65</w:t>
            </w:r>
          </w:p>
        </w:tc>
        <w:tc>
          <w:tcPr>
            <w:tcW w:w="279"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16.02</w:t>
            </w:r>
          </w:p>
        </w:tc>
        <w:tc>
          <w:tcPr>
            <w:tcW w:w="316"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Weighted average per share data.</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Annualized with the exception of income tax (provision) benefit from realized gains on investments.</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(3)</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 xml:space="preserve">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(4)</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(5)</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The net investment income to average net assets ratio is annualized and calculated using the net investment income caption as presented on the consolidated statements of operations, which includes incentive fee.</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(6)</w:t>
      </w:r>
    </w:p>
    <w:p>
      <w:pPr>
        <w:pStyle w:val="TextBody"/>
        <w:bidi w:val="0"/>
        <w:spacing w:before="0" w:after="0"/>
        <w:jc w:val="both"/>
        <w:rPr>
          <w:rFonts w:ascii="Times New Roman" w:hAnsi="Times New Roman"/>
          <w:sz w:val="20"/>
        </w:rPr>
      </w:pPr>
      <w:r>
        <w:rPr>
          <w:rFonts w:ascii="Times New Roman" w:hAnsi="Times New Roman"/>
          <w:b w:val="false"/>
          <w:color w:val="000000"/>
          <w:sz w:val="16"/>
        </w:rPr>
        <w:t>Average net assets is calculated as the average of the net asset balances as of each quarter end during the fiscal year and the prior year end.</w:t>
      </w:r>
      <w:r>
        <w:rPr>
          <w:rFonts w:ascii="Times New Roman" w:hAnsi="Times New Roman"/>
          <w:color w:val="000000"/>
          <w:sz w:val="20"/>
        </w:rPr>
        <w:t xml:space="preserve">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(7)</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 xml:space="preserve">Average debt outstanding is calculated as the average of the outstanding debt balances, including secured borrowings, as of each quarter end during the fiscal year and the prior year end.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(8)</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(9)</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Annualized.</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(10)</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The following are schedules of supplemental expense ratios to average net assets:</w:t>
      </w:r>
    </w:p>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6522" w:type="dxa"/>
        <w:jc w:val="left"/>
        <w:tblInd w:w="0" w:type="dxa"/>
        <w:tblLayout w:type="fixed"/>
        <w:tblCellMar>
          <w:top w:w="28" w:type="dxa"/>
          <w:left w:w="28" w:type="dxa"/>
          <w:bottom w:w="28" w:type="dxa"/>
          <w:right w:w="28" w:type="dxa"/>
        </w:tblCellMar>
      </w:tblPr>
      <w:tblGrid>
        <w:gridCol w:w="3061"/>
        <w:gridCol w:w="146"/>
        <w:gridCol w:w="285"/>
        <w:gridCol w:w="910"/>
        <w:gridCol w:w="529"/>
        <w:gridCol w:w="285"/>
        <w:gridCol w:w="285"/>
        <w:gridCol w:w="705"/>
        <w:gridCol w:w="31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9"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2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pPr>
            <w:r>
              <w:rPr/>
              <w:t> </w:t>
            </w:r>
          </w:p>
        </w:tc>
        <w:tc>
          <w:tcPr>
            <w:tcW w:w="99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Expenses other than incentive fee</w:t>
            </w:r>
            <w:r>
              <w:rPr>
                <w:rFonts w:ascii="Times New Roman" w:hAnsi="Times New Roman"/>
                <w:color w:val="000000"/>
                <w:sz w:val="20"/>
              </w:rPr>
              <w:t> </w:t>
            </w:r>
            <w:r>
              <w:rPr>
                <w:rFonts w:ascii="Times New Roman" w:hAnsi="Times New Roman"/>
                <w:b w:val="false"/>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5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85"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6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Incentive fee</w:t>
            </w:r>
            <w:r>
              <w:rPr>
                <w:rFonts w:ascii="Times New Roman" w:hAnsi="Times New Roman"/>
                <w:color w:val="000000"/>
                <w:sz w:val="20"/>
              </w:rPr>
              <w:t> </w:t>
            </w:r>
            <w:r>
              <w:rPr>
                <w:rFonts w:ascii="Times New Roman" w:hAnsi="Times New Roman"/>
                <w:b w:val="false"/>
                <w:color w:val="000000"/>
                <w:sz w:val="13"/>
              </w:rPr>
              <w:t>(9)</w:t>
            </w:r>
          </w:p>
        </w:tc>
        <w:tc>
          <w:tcPr>
            <w:tcW w:w="146" w:type="dxa"/>
            <w:tcBorders/>
            <w:shd w:fill="CCEEFF" w:val="clear"/>
            <w:vAlign w:val="center"/>
          </w:tcPr>
          <w:p>
            <w:pPr>
              <w:pStyle w:val="TableContents"/>
              <w:bidi w:val="0"/>
              <w:spacing w:before="0" w:after="283"/>
              <w:jc w:val="left"/>
              <w:rPr/>
            </w:pPr>
            <w:r>
              <w:rPr/>
              <w:t> </w:t>
            </w:r>
          </w:p>
        </w:tc>
        <w:tc>
          <w:tcPr>
            <w:tcW w:w="2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5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85" w:type="dxa"/>
            <w:tcBorders/>
            <w:shd w:fill="CCEEFF" w:val="clear"/>
            <w:vAlign w:val="center"/>
          </w:tcPr>
          <w:p>
            <w:pPr>
              <w:pStyle w:val="TableContents"/>
              <w:bidi w:val="0"/>
              <w:spacing w:before="0" w:after="283"/>
              <w:jc w:val="left"/>
              <w:rPr/>
            </w:pPr>
            <w:r>
              <w:rPr/>
              <w:t> </w:t>
            </w:r>
          </w:p>
        </w:tc>
        <w:tc>
          <w:tcPr>
            <w:tcW w:w="2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6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Total expenses</w:t>
            </w:r>
            <w:r>
              <w:rPr>
                <w:rFonts w:ascii="Times New Roman" w:hAnsi="Times New Roman"/>
                <w:color w:val="000000"/>
                <w:sz w:val="20"/>
              </w:rPr>
              <w:t> </w:t>
            </w:r>
            <w:r>
              <w:rPr>
                <w:rFonts w:ascii="Times New Roman" w:hAnsi="Times New Roman"/>
                <w:b w:val="false"/>
                <w:color w:val="000000"/>
                <w:sz w:val="13"/>
              </w:rPr>
              <w:t>(2)(4)</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85"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tbl>
      <w:tblPr>
        <w:tblW w:w="8020" w:type="dxa"/>
        <w:jc w:val="left"/>
        <w:tblInd w:w="0" w:type="dxa"/>
        <w:tblLayout w:type="fixed"/>
        <w:tblCellMar>
          <w:top w:w="28" w:type="dxa"/>
          <w:left w:w="28" w:type="dxa"/>
          <w:bottom w:w="28" w:type="dxa"/>
          <w:right w:w="28" w:type="dxa"/>
        </w:tblCellMar>
      </w:tblPr>
      <w:tblGrid>
        <w:gridCol w:w="4501"/>
        <w:gridCol w:w="146"/>
        <w:gridCol w:w="264"/>
        <w:gridCol w:w="844"/>
        <w:gridCol w:w="599"/>
        <w:gridCol w:w="264"/>
        <w:gridCol w:w="264"/>
        <w:gridCol w:w="762"/>
        <w:gridCol w:w="37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7"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left"/>
              <w:rPr/>
            </w:pPr>
            <w:r>
              <w:rPr/>
              <w:t> </w:t>
            </w:r>
          </w:p>
        </w:tc>
        <w:tc>
          <w:tcPr>
            <w:tcW w:w="10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Total expenses, before base management fee waiver</w:t>
            </w:r>
            <w:r>
              <w:rPr>
                <w:rFonts w:ascii="Times New Roman" w:hAnsi="Times New Roman"/>
                <w:color w:val="000000"/>
                <w:sz w:val="20"/>
              </w:rPr>
              <w:t> </w:t>
            </w:r>
            <w:r>
              <w:rPr>
                <w:rFonts w:ascii="Times New Roman" w:hAnsi="Times New Roman"/>
                <w:b w:val="false"/>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5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64"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w:t>
            </w:r>
          </w:p>
        </w:tc>
        <w:tc>
          <w:tcPr>
            <w:tcW w:w="3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0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Base management fee waiver</w:t>
            </w:r>
            <w:r>
              <w:rPr>
                <w:rFonts w:ascii="Times New Roman" w:hAnsi="Times New Roman"/>
                <w:color w:val="000000"/>
                <w:sz w:val="20"/>
              </w:rPr>
              <w:t> </w:t>
            </w:r>
            <w:r>
              <w:rPr>
                <w:rFonts w:ascii="Times New Roman" w:hAnsi="Times New Roman"/>
                <w:b w:val="false"/>
                <w:color w:val="000000"/>
                <w:sz w:val="13"/>
              </w:rPr>
              <w:t>(9)</w:t>
            </w:r>
          </w:p>
        </w:tc>
        <w:tc>
          <w:tcPr>
            <w:tcW w:w="146" w:type="dxa"/>
            <w:tcBorders/>
            <w:shd w:fill="CCEEFF" w:val="clear"/>
            <w:vAlign w:val="center"/>
          </w:tcPr>
          <w:p>
            <w:pPr>
              <w:pStyle w:val="TableContents"/>
              <w:bidi w:val="0"/>
              <w:spacing w:before="0" w:after="283"/>
              <w:jc w:val="left"/>
              <w:rPr/>
            </w:pPr>
            <w:r>
              <w:rPr/>
              <w:t> </w:t>
            </w:r>
          </w:p>
        </w:tc>
        <w:tc>
          <w:tcPr>
            <w:tcW w:w="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5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64" w:type="dxa"/>
            <w:tcBorders/>
            <w:shd w:fill="CCEEFF" w:val="clear"/>
            <w:vAlign w:val="center"/>
          </w:tcPr>
          <w:p>
            <w:pPr>
              <w:pStyle w:val="TableContents"/>
              <w:bidi w:val="0"/>
              <w:spacing w:before="0" w:after="283"/>
              <w:jc w:val="left"/>
              <w:rPr/>
            </w:pPr>
            <w:r>
              <w:rPr/>
              <w:t> </w:t>
            </w:r>
          </w:p>
        </w:tc>
        <w:tc>
          <w:tcPr>
            <w:tcW w:w="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Total expenses</w:t>
            </w:r>
            <w:r>
              <w:rPr>
                <w:rFonts w:ascii="Times New Roman" w:hAnsi="Times New Roman"/>
                <w:color w:val="000000"/>
                <w:sz w:val="20"/>
              </w:rPr>
              <w:t> </w:t>
            </w:r>
            <w:r>
              <w:rPr>
                <w:rFonts w:ascii="Times New Roman" w:hAnsi="Times New Roman"/>
                <w:b w:val="false"/>
                <w:color w:val="000000"/>
                <w:sz w:val="13"/>
              </w:rPr>
              <w:t>(2)(4)</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64"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(11)</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11. Subsequent Events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On October 11, 2023, the Company invested $18,000</w:t>
      </w:r>
      <w:r>
        <w:rPr>
          <w:rFonts w:ascii="Times New Roman" w:hAnsi="Times New Roman"/>
          <w:color w:val="000000"/>
          <w:sz w:val="20"/>
        </w:rPr>
        <w:t xml:space="preserve"> </w:t>
      </w:r>
      <w:r>
        <w:rPr>
          <w:rFonts w:ascii="Times New Roman" w:hAnsi="Times New Roman"/>
          <w:b w:val="false"/>
          <w:color w:val="000000"/>
          <w:sz w:val="20"/>
        </w:rPr>
        <w:t>in first lien debt and preferred equity in White Label Communications, LLC, a provider of private label communication solutions to managed service providers.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On October 26, 2023, the Company issued an additional $3,000</w:t>
      </w:r>
      <w:r>
        <w:rPr>
          <w:rFonts w:ascii="Times New Roman" w:hAnsi="Times New Roman"/>
          <w:color w:val="000000"/>
          <w:sz w:val="20"/>
        </w:rPr>
        <w:t xml:space="preserve"> </w:t>
      </w:r>
      <w:r>
        <w:rPr>
          <w:rFonts w:ascii="Times New Roman" w:hAnsi="Times New Roman"/>
          <w:b w:val="false"/>
          <w:color w:val="000000"/>
          <w:sz w:val="20"/>
        </w:rPr>
        <w:t>in SBA debentures, which will bear interest at a fixed interim interest rate of 6.083% until the pooling date in March 2024.</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On October 30, 2023, the Board declared a regular quarterly dividend of $0.43</w:t>
      </w:r>
      <w:r>
        <w:rPr>
          <w:rFonts w:ascii="Times New Roman" w:hAnsi="Times New Roman"/>
          <w:color w:val="000000"/>
          <w:sz w:val="20"/>
        </w:rPr>
        <w:t xml:space="preserve"> </w:t>
      </w:r>
      <w:r>
        <w:rPr>
          <w:rFonts w:ascii="Times New Roman" w:hAnsi="Times New Roman"/>
          <w:b w:val="false"/>
          <w:color w:val="000000"/>
          <w:sz w:val="20"/>
        </w:rPr>
        <w:t>per share, a supplemental dividend of $0.27</w:t>
      </w:r>
      <w:r>
        <w:rPr>
          <w:rFonts w:ascii="Times New Roman" w:hAnsi="Times New Roman"/>
          <w:color w:val="000000"/>
          <w:sz w:val="20"/>
        </w:rPr>
        <w:t xml:space="preserve"> </w:t>
      </w:r>
      <w:r>
        <w:rPr>
          <w:rFonts w:ascii="Times New Roman" w:hAnsi="Times New Roman"/>
          <w:b w:val="false"/>
          <w:color w:val="000000"/>
          <w:sz w:val="20"/>
        </w:rPr>
        <w:t>per share, and a special dividend of $0.10</w:t>
      </w:r>
      <w:r>
        <w:rPr>
          <w:rFonts w:ascii="Times New Roman" w:hAnsi="Times New Roman"/>
          <w:color w:val="000000"/>
          <w:sz w:val="20"/>
        </w:rPr>
        <w:t xml:space="preserve"> </w:t>
      </w:r>
      <w:r>
        <w:rPr>
          <w:rFonts w:ascii="Times New Roman" w:hAnsi="Times New Roman"/>
          <w:b w:val="false"/>
          <w:color w:val="000000"/>
          <w:sz w:val="20"/>
        </w:rPr>
        <w:t>per share, payable on December 27, 2023, to stockholders of record as of December 20, 2023.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On October 30, 2023, the Company exited its debt investment in GP&amp;C Operations, LLC (dba Garlock Printing and Converting). The Company received payment in full of $10,838</w:t>
      </w:r>
      <w:r>
        <w:rPr>
          <w:rFonts w:ascii="Times New Roman" w:hAnsi="Times New Roman"/>
          <w:color w:val="000000"/>
          <w:sz w:val="20"/>
        </w:rPr>
        <w:t xml:space="preserve"> </w:t>
      </w:r>
      <w:r>
        <w:rPr>
          <w:rFonts w:ascii="Times New Roman" w:hAnsi="Times New Roman"/>
          <w:b w:val="false"/>
          <w:color w:val="000000"/>
          <w:sz w:val="20"/>
        </w:rPr>
        <w:t>on its first lien debt, which included a prepayment fee.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On October 31, 2023, the Company invested $13,750</w:t>
      </w:r>
      <w:r>
        <w:rPr>
          <w:rFonts w:ascii="Times New Roman" w:hAnsi="Times New Roman"/>
          <w:color w:val="000000"/>
          <w:sz w:val="20"/>
        </w:rPr>
        <w:t xml:space="preserve"> </w:t>
      </w:r>
      <w:r>
        <w:rPr>
          <w:rFonts w:ascii="Times New Roman" w:hAnsi="Times New Roman"/>
          <w:b w:val="false"/>
          <w:color w:val="000000"/>
          <w:sz w:val="20"/>
        </w:rPr>
        <w:t>in first lien debt and preferred equity in a provider of advertising intelligence, research, and sales enablement solutions to media sellers, agencies, brands, and ad tech companies.</w:t>
      </w:r>
    </w:p>
    <w:p>
      <w:pPr>
        <w:pStyle w:val="TextBody"/>
        <w:bidi w:val="0"/>
        <w:jc w:val="both"/>
        <w:rPr>
          <w:rFonts w:ascii="Times New Roman" w:hAnsi="Times New Roman"/>
          <w:sz w:val="20"/>
        </w:rPr>
      </w:pPr>
      <w:r>
        <w:rPr>
          <w:rFonts w:ascii="Times New Roman" w:hAnsi="Times New Roman"/>
          <w:b w:val="false"/>
          <w:color w:val="000000"/>
          <w:sz w:val="20"/>
        </w:rPr>
        <w:t>On October 31, 2023, the Company exited its debt investment in Power Grid Components, Inc. The Company received payment in full of $10,269</w:t>
      </w:r>
      <w:r>
        <w:rPr>
          <w:rFonts w:ascii="Times New Roman" w:hAnsi="Times New Roman"/>
          <w:color w:val="000000"/>
          <w:sz w:val="20"/>
        </w:rPr>
        <w:t xml:space="preserve"> </w:t>
      </w:r>
      <w:r>
        <w:rPr>
          <w:rFonts w:ascii="Times New Roman" w:hAnsi="Times New Roman"/>
          <w:b w:val="false"/>
          <w:color w:val="000000"/>
          <w:sz w:val="20"/>
        </w:rPr>
        <w:t>on its second lien debt.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On November 1, 2023, the Company exited its debt investments in Combined Systems, Inc. The Company received payment in full of $8,228</w:t>
      </w:r>
      <w:r>
        <w:rPr>
          <w:rFonts w:ascii="Times New Roman" w:hAnsi="Times New Roman"/>
          <w:color w:val="000000"/>
          <w:sz w:val="20"/>
        </w:rPr>
        <w:t xml:space="preserve"> </w:t>
      </w:r>
      <w:r>
        <w:rPr>
          <w:rFonts w:ascii="Times New Roman" w:hAnsi="Times New Roman"/>
          <w:b w:val="false"/>
          <w:color w:val="000000"/>
          <w:sz w:val="20"/>
        </w:rPr>
        <w:t>on its first lien debt and revolving loan, which included a prepayment fee.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2_mda"/>
      <w:bookmarkEnd w:id="14"/>
      <w:r>
        <w:rPr>
          <w:rFonts w:ascii="Times New Roman" w:hAnsi="Times New Roman"/>
          <w:b/>
          <w:color w:val="000000"/>
          <w:sz w:val="20"/>
        </w:rPr>
        <w:t>Item 2. Management’s Discussion and Analysis of Financial Condition and Results</w:t>
      </w:r>
      <w:r>
        <w:rPr>
          <w:rFonts w:ascii="Times New Roman" w:hAnsi="Times New Roman"/>
          <w:color w:val="000000"/>
          <w:sz w:val="20"/>
        </w:rPr>
        <w:t xml:space="preserve"> </w:t>
      </w:r>
      <w:r>
        <w:rPr>
          <w:rFonts w:ascii="Times New Roman" w:hAnsi="Times New Roman"/>
          <w:b/>
          <w:color w:val="000000"/>
          <w:sz w:val="20"/>
        </w:rPr>
        <w:t>of Operations.</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The following discussion and analysis of our financial condition and</w:t>
      </w:r>
      <w:r>
        <w:rPr>
          <w:rFonts w:ascii="Times New Roman" w:hAnsi="Times New Roman"/>
          <w:color w:val="000000"/>
          <w:sz w:val="20"/>
        </w:rPr>
        <w:t xml:space="preserve"> </w:t>
      </w:r>
      <w:r>
        <w:rPr>
          <w:rFonts w:ascii="Times New Roman" w:hAnsi="Times New Roman"/>
          <w:b w:val="false"/>
          <w:i/>
          <w:color w:val="000000"/>
          <w:sz w:val="20"/>
        </w:rPr>
        <w:t>results of operations should be read in conjunction with Fidus Investment Corporation’s consolidated financial statements and related notes appearing</w:t>
      </w:r>
      <w:r>
        <w:rPr>
          <w:rFonts w:ascii="Times New Roman" w:hAnsi="Times New Roman"/>
          <w:color w:val="000000"/>
          <w:sz w:val="20"/>
        </w:rPr>
        <w:t xml:space="preserve"> </w:t>
      </w:r>
      <w:r>
        <w:rPr>
          <w:rFonts w:ascii="Times New Roman" w:hAnsi="Times New Roman"/>
          <w:b w:val="false"/>
          <w:i/>
          <w:color w:val="000000"/>
          <w:sz w:val="20"/>
        </w:rPr>
        <w:t>in our annual report on Form 10-K for the year ended December 31, 2022, filed with the SEC on March 2, 2023. The</w:t>
      </w:r>
      <w:r>
        <w:rPr>
          <w:rFonts w:ascii="Times New Roman" w:hAnsi="Times New Roman"/>
          <w:color w:val="000000"/>
          <w:sz w:val="20"/>
        </w:rPr>
        <w:t xml:space="preserve"> </w:t>
      </w:r>
      <w:r>
        <w:rPr>
          <w:rFonts w:ascii="Times New Roman" w:hAnsi="Times New Roman"/>
          <w:b w:val="false"/>
          <w:i/>
          <w:color w:val="000000"/>
          <w:sz w:val="20"/>
        </w:rPr>
        <w:t>information contained in this section should also be read in conjunction with</w:t>
      </w:r>
      <w:r>
        <w:rPr>
          <w:rFonts w:ascii="Times New Roman" w:hAnsi="Times New Roman"/>
          <w:color w:val="000000"/>
          <w:sz w:val="20"/>
        </w:rPr>
        <w:t xml:space="preserve"> </w:t>
      </w:r>
      <w:r>
        <w:rPr>
          <w:rFonts w:ascii="Times New Roman" w:hAnsi="Times New Roman"/>
          <w:b w:val="false"/>
          <w:i/>
          <w:color w:val="000000"/>
          <w:sz w:val="20"/>
        </w:rPr>
        <w:t>our unaudited consolidated financial statements and related notes thereto</w:t>
      </w:r>
      <w:r>
        <w:rPr>
          <w:rFonts w:ascii="Times New Roman" w:hAnsi="Times New Roman"/>
          <w:color w:val="000000"/>
          <w:sz w:val="20"/>
        </w:rPr>
        <w:t xml:space="preserve"> </w:t>
      </w:r>
      <w:r>
        <w:rPr>
          <w:rFonts w:ascii="Times New Roman" w:hAnsi="Times New Roman"/>
          <w:b w:val="false"/>
          <w:i/>
          <w:color w:val="000000"/>
          <w:sz w:val="20"/>
        </w:rPr>
        <w:t>appearing elsewhere in this Quarterly Report on Form 10-Q.</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Except as otherwise specified, references to “we,” “us,” “our,” “Fidus” and “FIC” refer to Fidus Investment Corporation and its consolidated subsidiaries.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our future operating results;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changes in the financial and lending markets;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our business prospects and the prospects of our portfolio companies, including our and their ability to achieve our respective objectives;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impact of investments that we expect to make;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our contractual arrangements and relationships with third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dependence of our future success on the general economy and its impact on the industries in which we invest;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an economic downturn and its impacts on the ability of our portfolio companies to operate and the investment opportunities available to us;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impact of geopolitical conditions, including the ongoing conflict between Ukraine and Russia and U.S. and China relations, and its impact on financial market volatility, global economic markets, and various sectors, industries and markets for commodities globally;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ability of our portfolio companies to achieve their objectives;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our expected financing and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adequacy of our cash resources and working capital;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timing of cash flows, if any, from the operations of our portfolio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ability of the Investment Advisor to locate suitable investments for us and to monitor and administer our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ability of our Investment Advisor to attract and retain highly talented professionals;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our regulatory structure and tax treatment;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our ability to operate as a BDC and a RIC and each of the Funds to operate as an SBIC;</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timing, form and amount of any dividend distributions;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impact of interest rate volatility, including the replacement of LIBOR with alternate rates and rising interest rates, and the elevated level of inflation on our business and portfolio companies;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valuation of any investments in portfolio companies, particularly those having no liquid trading market;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ability to recover unrealized losses.</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an economic downturn and significant disruptions to our portfolio companies, including supply chain disruptions and labor shortages, could impair our portfolio companies’ ability to continue to operate, which could lead to the loss of some or all of our investments in such portfolio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 contraction of available credit and/or an inability to access the equity markets could impair our lending and investment activities;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val="false"/>
          <w:color w:val="000000"/>
          <w:sz w:val="20"/>
        </w:rPr>
        <w:t>interest rate vo</w:t>
      </w:r>
      <w:r>
        <w:rPr>
          <w:rFonts w:ascii="Times New Roman" w:hAnsi="Times New Roman"/>
          <w:b w:val="false"/>
          <w:color w:val="000000"/>
          <w:sz w:val="20"/>
          <w:u w:val="single"/>
        </w:rPr>
        <w:t>l</w:t>
      </w:r>
      <w:r>
        <w:rPr>
          <w:rFonts w:ascii="Times New Roman" w:hAnsi="Times New Roman"/>
          <w:b w:val="false"/>
          <w:color w:val="000000"/>
          <w:sz w:val="20"/>
        </w:rPr>
        <w:t>atility, including rising interest rates, could adversely affect our results, particularly because we use leverage as part of our investment strategy;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alternative reference rates that have replaced LIBOR may not yield the same or similar economic results as LIBOR over the life of such transaction;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elevated level of inflation could adversely affect our business, results of operations and financial condition of our portfolio companies, which may, in turn, impact the valuation of such portfolio companies;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risks, uncertainties and other factors we identify in Item 1A. – Risk Factors contained in our Annual Report on Form 10-K for the year ended December 31, 2022, elsewhere in this Quarterly Report on Form 10-Q and in our other filings with the SEC.</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w:hAnsi="Times New Roman"/>
          <w:b w:val="false"/>
          <w:i/>
          <w:color w:val="000000"/>
          <w:sz w:val="20"/>
        </w:rPr>
        <w:t>Item 1.A – Risk Factors</w:t>
      </w:r>
      <w:r>
        <w:rPr>
          <w:rFonts w:ascii="Times New Roman" w:hAnsi="Times New Roman"/>
          <w:color w:val="000000"/>
          <w:sz w:val="20"/>
        </w:rPr>
        <w:t xml:space="preserve"> </w:t>
      </w:r>
      <w:r>
        <w:rPr>
          <w:rFonts w:ascii="Times New Roman" w:hAnsi="Times New Roman"/>
          <w:b w:val="false"/>
          <w:color w:val="000000"/>
          <w:sz w:val="20"/>
        </w:rPr>
        <w:t>contained in our Annual Report on Form 10-K for the year ended December 31, 2022, filed with the SEC on March 2, 2023. You should not place undue reliance on these forward-looking statements, which apply only as of the date of this Quarterly Report on Form 10-Q.</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General and Corporate Structure</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FIC was formed as a Maryland corporation on February 14, 2011. We completed our initial public offering, or IPO, in June 2011. 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As of September 9, 2019, Fund I completed a wind-down plan, relinquished its SBIC license, and can no longer issue additional SBA debentures. We have also made, and continue to make, investments directly through FIC. We believe that utilizing FIC and the Funds as investment vehicles provides us with access to a broader array of investment opportunities.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We have certain wholly-owned subsidiaries (the “Taxable Subsidiaries”), each of which generally holds one or more of our portfolio investments listed on the consolidated schedules of investments, that have elected to be treated as corporations for U.S. federal income tax purposes and are thus subject to U.S. federal income tax at corporate rates.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pStyle w:val="TextBody"/>
        <w:bidi w:val="0"/>
        <w:spacing w:before="180" w:after="283"/>
        <w:jc w:val="left"/>
        <w:rPr>
          <w:rFonts w:ascii="Times New Roman" w:hAnsi="Times New Roman"/>
          <w:b w:val="false"/>
          <w:i/>
          <w:color w:val="000000"/>
          <w:sz w:val="20"/>
        </w:rPr>
      </w:pPr>
      <w:r>
        <w:rPr>
          <w:rFonts w:ascii="Times New Roman" w:hAnsi="Times New Roman"/>
          <w:b w:val="false"/>
          <w:i/>
          <w:color w:val="000000"/>
          <w:sz w:val="20"/>
        </w:rPr>
        <w:t>Investments</w:t>
      </w:r>
    </w:p>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pStyle w:val="TextBody"/>
        <w:bidi w:val="0"/>
        <w:spacing w:before="0" w:after="180"/>
        <w:jc w:val="both"/>
        <w:rPr>
          <w:rFonts w:ascii="Times New Roman" w:hAnsi="Times New Roman"/>
          <w:sz w:val="20"/>
        </w:rPr>
      </w:pPr>
      <w:r>
        <w:rPr>
          <w:rFonts w:ascii="Times New Roman" w:hAnsi="Times New Roman"/>
          <w:b w:val="false"/>
          <w:i/>
          <w:color w:val="000000"/>
          <w:sz w:val="20"/>
        </w:rPr>
        <w:t>First Lien Debt.</w:t>
      </w:r>
      <w:r>
        <w:rPr>
          <w:rFonts w:ascii="Times New Roman" w:hAnsi="Times New Roman"/>
          <w:color w:val="000000"/>
          <w:sz w:val="20"/>
        </w:rPr>
        <w:t xml:space="preserve"> </w:t>
      </w:r>
      <w:r>
        <w:rPr>
          <w:rFonts w:ascii="Times New Roman" w:hAnsi="Times New Roman"/>
          <w:b w:val="false"/>
          <w:color w:val="000000"/>
          <w:sz w:val="20"/>
        </w:rPr>
        <w:t>We structure some of our investments as senior secured or first lien debt investments. First lien 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PRIME or SOFR floor.</w:t>
      </w:r>
    </w:p>
    <w:p>
      <w:pPr>
        <w:pStyle w:val="TextBody"/>
        <w:bidi w:val="0"/>
        <w:spacing w:before="0" w:after="180"/>
        <w:jc w:val="both"/>
        <w:rPr>
          <w:rFonts w:ascii="Times New Roman" w:hAnsi="Times New Roman"/>
          <w:sz w:val="20"/>
        </w:rPr>
      </w:pPr>
      <w:r>
        <w:rPr>
          <w:rFonts w:ascii="Times New Roman" w:hAnsi="Times New Roman"/>
          <w:b w:val="false"/>
          <w:i/>
          <w:color w:val="000000"/>
          <w:sz w:val="20"/>
        </w:rPr>
        <w:t>Second Lien Debt.</w:t>
      </w:r>
      <w:r>
        <w:rPr>
          <w:rFonts w:ascii="Times New Roman" w:hAnsi="Times New Roman"/>
          <w:color w:val="000000"/>
          <w:sz w:val="20"/>
        </w:rPr>
        <w:t xml:space="preserve"> </w:t>
      </w:r>
      <w:r>
        <w:rPr>
          <w:rFonts w:ascii="Times New Roman" w:hAnsi="Times New Roman"/>
          <w:b w:val="false"/>
          <w:color w:val="000000"/>
          <w:sz w:val="20"/>
        </w:rPr>
        <w:t>Some of our debt investments take the form of second lien debt, which includes senior subordinated notes. Second 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b w:val="false"/>
          <w:i/>
          <w:color w:val="000000"/>
          <w:sz w:val="20"/>
        </w:rPr>
        <w:t>Subordinated Debt.</w:t>
      </w:r>
      <w:r>
        <w:rPr>
          <w:rFonts w:ascii="Times New Roman" w:hAnsi="Times New Roman"/>
          <w:color w:val="000000"/>
          <w:sz w:val="20"/>
        </w:rPr>
        <w:t xml:space="preserve"> </w:t>
      </w:r>
      <w:r>
        <w:rPr>
          <w:rFonts w:ascii="Times New Roman" w:hAnsi="Times New Roman"/>
          <w:b w:val="false"/>
          <w:color w:val="000000"/>
          <w:sz w:val="20"/>
        </w:rPr>
        <w:t>These investments are typically structured as unsecured, subordinated notes. Structurally, subordinated debt usually 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pStyle w:val="TextBody"/>
        <w:bidi w:val="0"/>
        <w:spacing w:before="240" w:after="180"/>
        <w:jc w:val="both"/>
        <w:rPr>
          <w:rFonts w:ascii="Times New Roman" w:hAnsi="Times New Roman"/>
          <w:sz w:val="20"/>
        </w:rPr>
      </w:pPr>
      <w:r>
        <w:rPr>
          <w:rFonts w:ascii="Times New Roman" w:hAnsi="Times New Roman"/>
          <w:b w:val="false"/>
          <w:i/>
          <w:color w:val="000000"/>
          <w:sz w:val="20"/>
        </w:rPr>
        <w:t>Equity Securities</w:t>
      </w:r>
      <w:r>
        <w:rPr>
          <w:rFonts w:ascii="Times New Roman" w:hAnsi="Times New Roman"/>
          <w:b w:val="false"/>
          <w:color w:val="000000"/>
          <w:sz w:val="20"/>
        </w:rPr>
        <w:t>. Our equity investments typically consist of either a direct minority equity investment in common or preferred stock or 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Revenues</w:t>
      </w:r>
      <w:r>
        <w:rPr>
          <w:rFonts w:ascii="Times New Roman" w:hAnsi="Times New Roman"/>
          <w:b w:val="false"/>
          <w:color w:val="000000"/>
          <w:sz w:val="20"/>
        </w:rPr>
        <w:t>: 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Expenses</w:t>
      </w:r>
      <w:r>
        <w:rPr>
          <w:rFonts w:ascii="Times New Roman" w:hAnsi="Times New Roman"/>
          <w:b w:val="false"/>
          <w:color w:val="000000"/>
          <w:sz w:val="20"/>
        </w:rPr>
        <w:t>: 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organization;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calculating our net asset value (including the cost and expenses of any independent valuation firm);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interest payable on debt, if any, incurred to finance our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offerings of our common stock and other securities;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investment advisory fees and management fees;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transfer agent, dividend agent and custodial fees and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federal and state registration fees;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all costs of registration and listing our shares on any securities exchange;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U.S. federal, state and local taxes;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Independent Directors’ fees and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costs of preparing and filing reports or other documents required by the SEC or other regulators including printing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costs of any reports, proxy statements or other notices to stockholders, including printing and mailing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our allocable portion of any fidelity bond, directors and officers/errors and omissions liability insurance, and any other insurance premiums;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direct costs and expenses of administration, including printing, mailing, long distance telephone, copying, secretarial and other staff, independent auditors and outside legal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proxy voting expenses;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all other expenses reasonably incurred by us or the Investment Advisor in connection with administering our business.</w:t>
      </w:r>
    </w:p>
    <w:p>
      <w:pPr>
        <w:pStyle w:val="TextBody"/>
        <w:bidi w:val="0"/>
        <w:spacing w:before="180" w:after="283"/>
        <w:jc w:val="left"/>
        <w:rPr>
          <w:rFonts w:ascii="Times New Roman" w:hAnsi="Times New Roman"/>
          <w:sz w:val="20"/>
        </w:rPr>
      </w:pPr>
      <w:r>
        <w:rPr>
          <w:rFonts w:ascii="Times New Roman" w:hAnsi="Times New Roman"/>
          <w:b/>
          <w:color w:val="000000"/>
          <w:sz w:val="20"/>
        </w:rPr>
        <w:t>Portfolio Composition, Investment Activity and Yield</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During the nine months ended September 30, 2023 and 2022, we invested $204.0 million and $268.0 million, respectively, in debt and equity investments including ten and fifteen new portfolio companies, respectively. During the nine months ended September 30, 2023 and 2022, we received proceeds from sales or repayments, including principal, return of capital dividends and net realized gains (losses), of $146.4 million and $128.3 million, respectively, including exits of six and five portfolio companies, respectively. The following table summarizes investment purchases and sales and repayments of investments by type for the nine months ended September 30, 2023 and 2022 (dollars in millions).</w:t>
      </w:r>
    </w:p>
    <w:tbl>
      <w:tblPr>
        <w:tblW w:w="10205" w:type="dxa"/>
        <w:jc w:val="left"/>
        <w:tblInd w:w="0" w:type="dxa"/>
        <w:tblLayout w:type="fixed"/>
        <w:tblCellMar>
          <w:top w:w="28" w:type="dxa"/>
          <w:left w:w="28" w:type="dxa"/>
          <w:bottom w:w="28" w:type="dxa"/>
          <w:right w:w="28" w:type="dxa"/>
        </w:tblCellMar>
      </w:tblPr>
      <w:tblGrid>
        <w:gridCol w:w="1404"/>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91"/>
      </w:tblGrid>
      <w:tr>
        <w:trPr/>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Purchases of Investments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Sales and Repayments of Investments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3"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First Lien Debt</w:t>
            </w:r>
            <w:r>
              <w:rPr>
                <w:rFonts w:ascii="Times New Roman" w:hAnsi="Times New Roman"/>
                <w:b w:val="false"/>
                <w:color w:val="000000"/>
                <w:sz w:val="11"/>
              </w:rPr>
              <w:t>(1)</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66.2</w:t>
            </w:r>
          </w:p>
        </w:tc>
        <w:tc>
          <w:tcPr>
            <w:tcW w:w="24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62.1</w:t>
            </w:r>
          </w:p>
        </w:tc>
        <w:tc>
          <w:tcPr>
            <w:tcW w:w="24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47.1</w:t>
            </w:r>
          </w:p>
        </w:tc>
        <w:tc>
          <w:tcPr>
            <w:tcW w:w="24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w:t>
            </w:r>
          </w:p>
        </w:tc>
        <w:tc>
          <w:tcPr>
            <w:tcW w:w="24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1" w:type="dxa"/>
            <w:tcBorders/>
            <w:shd w:fill="CCEE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color w:val="000000"/>
              </w:rPr>
            </w:pPr>
            <w:r>
              <w:rPr>
                <w:color w:val="000000"/>
              </w:rPr>
              <w:t>—</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60.8</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Warrants</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(1) For the nine months ended September 30, 2023 and 2022, first lien debt includes unitranche securities, which account for 35.7% and 39.8% of purchases, respectively. For the nine months ended September 30, 2023 and 2022, first lien debt includes unitranche securities, which account for 3.9% and 21.6% of repayments, respectively.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As of September 30, 2023, the fair value of our investment portfolio totaled $926.9 million and consisted of 80 active portfolio companies and two portfolio companies that have sold their underlying operations. As of September 30, 2023, 45 portfolio companies’ debt investments bore interest at a variable rate, which represented $588.5 million, or 73.7%, of our debt investment portfolio on a fair value basis, and the remainder of our debt investment portfolio was comprised of fixed-rate investments. Overall, the portfolio had net unrealized appreciation of $31.5 million as of September 30, 2023. As of September 30, 2023, our average active portfolio company investment at amortized cost was $11.2 million, which excludes investments in the two portfolio companies that have sold their underlying operations.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As of December 31, 2022, the fair value of our investment portfolio totaled $860.3 million and consisted of 76 active portfolio companies and two portfolio companies that have sold their underlying operations. As of December 31, 2022, 43 portfolio companies’ debt investments bore interest at a variable rate, which represented $522.9 million, or 70.6%, of our debt investment portfolio on a fair value basis, and the remainder of our debt investment portfolio was comprised of fixed-rate investments. Overall, the portfolio had net unrealized appreciation of $31.6 million as of December 31, 2022. As of December 31, 2022, our average active portfolio company investment at amortized cost was $10.9 million, which excludes investments in the two portfolio companies that have sold their underlying operations.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weighted average yield on debt investments as of September 30, 2023 and December 31, 2022 was 14.6% and 13.8%,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 if any.</w:t>
      </w:r>
    </w:p>
    <w:p>
      <w:pPr>
        <w:pStyle w:val="TextBody"/>
        <w:bidi w:val="0"/>
        <w:spacing w:before="180" w:after="120"/>
        <w:jc w:val="both"/>
        <w:rPr>
          <w:rFonts w:ascii="Times New Roman" w:hAnsi="Times New Roman"/>
          <w:b w:val="false"/>
          <w:color w:val="000000"/>
          <w:sz w:val="20"/>
        </w:rPr>
      </w:pPr>
      <w:r>
        <w:rPr>
          <w:rFonts w:ascii="Times New Roman" w:hAnsi="Times New Roman"/>
          <w:b w:val="false"/>
          <w:color w:val="000000"/>
          <w:sz w:val="20"/>
        </w:rPr>
        <w:t>The following table shows the portfolio composition by investment type at fair value and cost and as a percentage of total investments (dollars in millions):</w:t>
      </w:r>
    </w:p>
    <w:tbl>
      <w:tblPr>
        <w:tblW w:w="10205" w:type="dxa"/>
        <w:jc w:val="left"/>
        <w:tblInd w:w="0" w:type="dxa"/>
        <w:tblLayout w:type="fixed"/>
        <w:tblCellMar>
          <w:top w:w="28" w:type="dxa"/>
          <w:left w:w="28" w:type="dxa"/>
          <w:bottom w:w="28" w:type="dxa"/>
          <w:right w:w="28" w:type="dxa"/>
        </w:tblCellMar>
      </w:tblPr>
      <w:tblGrid>
        <w:gridCol w:w="1404"/>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91"/>
      </w:tblGrid>
      <w:tr>
        <w:trPr/>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First Lien Debt</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56.3</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58.2</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54.7</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1" w:type="dxa"/>
            <w:tcBorders/>
            <w:shd w:fill="CFF0FC"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24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(1) Includes unitranche investments, which account for 41.0% and 42.4% of our portfolio on a fair value and cost basis as of September 30, 2023, respectively. Includes unitranche investments, which account for 42.1% and 43.4% of our portfolio on a fair value and cost basis as of December 31, 2022, respectively.</w:t>
      </w:r>
    </w:p>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tbl>
      <w:tblPr>
        <w:tblW w:w="9922" w:type="dxa"/>
        <w:jc w:val="left"/>
        <w:tblInd w:w="0" w:type="dxa"/>
        <w:tblLayout w:type="fixed"/>
        <w:tblCellMar>
          <w:top w:w="28" w:type="dxa"/>
          <w:left w:w="28" w:type="dxa"/>
          <w:bottom w:w="28" w:type="dxa"/>
          <w:right w:w="28" w:type="dxa"/>
        </w:tblCellMar>
      </w:tblPr>
      <w:tblGrid>
        <w:gridCol w:w="1021"/>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291"/>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02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Midwest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15.9</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0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Southeast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31.1</w:t>
            </w:r>
          </w:p>
        </w:tc>
        <w:tc>
          <w:tcPr>
            <w:tcW w:w="24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02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Northeast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16.3</w:t>
            </w:r>
          </w:p>
        </w:tc>
        <w:tc>
          <w:tcPr>
            <w:tcW w:w="24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0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West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w:t>
            </w:r>
          </w:p>
        </w:tc>
        <w:tc>
          <w:tcPr>
            <w:tcW w:w="24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02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Southwest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w:t>
            </w:r>
          </w:p>
        </w:tc>
        <w:tc>
          <w:tcPr>
            <w:tcW w:w="24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10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Canada</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sz w:val="20"/>
        </w:rPr>
      </w:pPr>
      <w:r>
        <w:rPr>
          <w:rFonts w:ascii="Times New Roman" w:hAnsi="Times New Roman"/>
          <w:b w:val="false"/>
          <w:color w:val="000000"/>
          <w:sz w:val="20"/>
        </w:rPr>
        <w:t>The following table shows the detailed industry composition of our portfolio at fair value and cost as a percentage of total investments:</w:t>
      </w:r>
      <w:r>
        <w:rPr>
          <w:rFonts w:ascii="Times New Roman" w:hAnsi="Times New Roman"/>
          <w:color w:val="000000"/>
          <w:sz w:val="20"/>
        </w:rPr>
        <w:t xml:space="preserve"> </w:t>
      </w:r>
    </w:p>
    <w:tbl>
      <w:tblPr>
        <w:tblW w:w="9070" w:type="dxa"/>
        <w:jc w:val="left"/>
        <w:tblInd w:w="0" w:type="dxa"/>
        <w:tblLayout w:type="fixed"/>
        <w:tblCellMar>
          <w:top w:w="28" w:type="dxa"/>
          <w:left w:w="28" w:type="dxa"/>
          <w:bottom w:w="28" w:type="dxa"/>
          <w:right w:w="28" w:type="dxa"/>
        </w:tblCellMar>
      </w:tblPr>
      <w:tblGrid>
        <w:gridCol w:w="2701"/>
        <w:gridCol w:w="146"/>
        <w:gridCol w:w="252"/>
        <w:gridCol w:w="888"/>
        <w:gridCol w:w="241"/>
        <w:gridCol w:w="226"/>
        <w:gridCol w:w="242"/>
        <w:gridCol w:w="853"/>
        <w:gridCol w:w="241"/>
        <w:gridCol w:w="226"/>
        <w:gridCol w:w="252"/>
        <w:gridCol w:w="888"/>
        <w:gridCol w:w="241"/>
        <w:gridCol w:w="146"/>
        <w:gridCol w:w="242"/>
        <w:gridCol w:w="853"/>
        <w:gridCol w:w="24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Information Technology Services</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31.2</w:t>
            </w:r>
          </w:p>
        </w:tc>
        <w:tc>
          <w:tcPr>
            <w:tcW w:w="24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33.3</w:t>
            </w:r>
          </w:p>
        </w:tc>
        <w:tc>
          <w:tcPr>
            <w:tcW w:w="24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33.8</w:t>
            </w:r>
          </w:p>
        </w:tc>
        <w:tc>
          <w:tcPr>
            <w:tcW w:w="24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35.4</w:t>
            </w:r>
          </w:p>
        </w:tc>
        <w:tc>
          <w:tcPr>
            <w:tcW w:w="24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Business Services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Healthcare Products</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Component Manufacturing</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Aerospace &amp; Defense Manufacturing</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Transportation Services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Building Products Manufacturing</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Utilities: Services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Specialty Distribution</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Healthcare Services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Retail</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Environmental Industries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Promotional Products</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Oil &amp; Gas Services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Industrial Cleaning &amp; Coatings</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Consumer Products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Restaurants</w:t>
            </w:r>
          </w:p>
        </w:tc>
        <w:tc>
          <w:tcPr>
            <w:tcW w:w="146" w:type="dxa"/>
            <w:tcBorders/>
            <w:shd w:fill="CCEEFF" w:val="clear"/>
            <w:vAlign w:val="center"/>
          </w:tcPr>
          <w:p>
            <w:pPr>
              <w:pStyle w:val="TableContents"/>
              <w:bidi w:val="0"/>
              <w:spacing w:before="0" w:after="283"/>
              <w:jc w:val="left"/>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16"/>
        </w:rPr>
      </w:pPr>
      <w:r>
        <w:rPr>
          <w:rFonts w:ascii="Times New Roman" w:hAnsi="Times New Roman"/>
          <w:b w:val="false"/>
          <w:color w:val="000000"/>
          <w:sz w:val="16"/>
        </w:rPr>
        <w:t>(1) Percentage is less than 0.1% of respective total.</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Portfolio Asset Quality</w:t>
      </w:r>
    </w:p>
    <w:p>
      <w:pPr>
        <w:pStyle w:val="TextBody"/>
        <w:bidi w:val="0"/>
        <w:spacing w:before="180" w:after="180"/>
        <w:jc w:val="both"/>
        <w:rPr>
          <w:rFonts w:ascii="Times New Roman" w:hAnsi="Times New Roman"/>
          <w:sz w:val="20"/>
        </w:rPr>
      </w:pPr>
      <w:r>
        <w:rPr>
          <w:rFonts w:ascii="Times New Roman" w:hAnsi="Times New Roman"/>
          <w:b w:val="false"/>
          <w:color w:val="000000"/>
          <w:sz w:val="20"/>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Investment Rating 4 is used for investments performing materially below expectations and the risk has increased materially since origination. The investment has the potential for some loss of investment return, but we expect no loss of principal.</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Investment Rating 5 is used for investments performing substantially below our expectations and the risks have increased substantially since origination. We expect some loss of principal.</w:t>
      </w:r>
    </w:p>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We also have observed, and continue to observe, supply chain disruptions, labor and resource shortages, commodity inflation, elements of financial market instability (including rapidly rising interest rates), an uncertain economic outlook for the United States (which may include a recession), and elements of geopolitical instability (including the ongoing war in Ukraine and U.S. and China relations and ongoing conflict in the Middle East).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The following table shows the distribution of our investments on the 1 to 5 investment rating scale at fair value and cost as of September 30, 2023 and December 31, 2022 (dollars in millions):</w:t>
      </w:r>
    </w:p>
    <w:tbl>
      <w:tblPr>
        <w:tblW w:w="10205" w:type="dxa"/>
        <w:jc w:val="left"/>
        <w:tblInd w:w="0" w:type="dxa"/>
        <w:tblLayout w:type="fixed"/>
        <w:tblCellMar>
          <w:top w:w="28" w:type="dxa"/>
          <w:left w:w="28" w:type="dxa"/>
          <w:bottom w:w="28" w:type="dxa"/>
          <w:right w:w="28" w:type="dxa"/>
        </w:tblCellMar>
      </w:tblPr>
      <w:tblGrid>
        <w:gridCol w:w="1404"/>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91"/>
      </w:tblGrid>
      <w:tr>
        <w:trPr/>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1" w:type="dxa"/>
            <w:tcBorders/>
            <w:shd w:fill="CFF0FC"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82.4</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w:t>
            </w:r>
          </w:p>
        </w:tc>
        <w:tc>
          <w:tcPr>
            <w:tcW w:w="24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Based on our investment rating system, the weighted average rating of our portfolio as of September 30, 2023 and December 31, 2022 was 2.0 and 2.0, respectively, on a fair value basis and 2.1 and 2.2, respectively, on a cost basis.</w:t>
      </w:r>
    </w:p>
    <w:p>
      <w:pPr>
        <w:pStyle w:val="TextBody"/>
        <w:bidi w:val="0"/>
        <w:spacing w:before="180" w:after="180"/>
        <w:jc w:val="both"/>
        <w:rPr>
          <w:rFonts w:ascii="Times New Roman" w:hAnsi="Times New Roman"/>
          <w:b w:val="false"/>
          <w:i/>
          <w:color w:val="000000"/>
          <w:sz w:val="20"/>
        </w:rPr>
      </w:pPr>
      <w:r>
        <w:rPr>
          <w:rFonts w:ascii="Times New Roman" w:hAnsi="Times New Roman"/>
          <w:b w:val="false"/>
          <w:i/>
          <w:color w:val="000000"/>
          <w:sz w:val="20"/>
        </w:rPr>
        <w:t>Non-Accrual</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As of September 30, 2023 and December 31, 2022, we had debt investments in four portfolio companies on non-accrual status (dollars in millions).</w:t>
      </w:r>
    </w:p>
    <w:tbl>
      <w:tblPr>
        <w:tblW w:w="6878" w:type="dxa"/>
        <w:jc w:val="left"/>
        <w:tblInd w:w="0" w:type="dxa"/>
        <w:tblLayout w:type="fixed"/>
        <w:tblCellMar>
          <w:top w:w="28" w:type="dxa"/>
          <w:left w:w="28" w:type="dxa"/>
          <w:bottom w:w="28" w:type="dxa"/>
          <w:right w:w="28" w:type="dxa"/>
        </w:tblCellMar>
      </w:tblPr>
      <w:tblGrid>
        <w:gridCol w:w="3091"/>
        <w:gridCol w:w="146"/>
        <w:gridCol w:w="166"/>
        <w:gridCol w:w="346"/>
        <w:gridCol w:w="146"/>
        <w:gridCol w:w="211"/>
        <w:gridCol w:w="166"/>
        <w:gridCol w:w="346"/>
        <w:gridCol w:w="146"/>
        <w:gridCol w:w="211"/>
        <w:gridCol w:w="166"/>
        <w:gridCol w:w="346"/>
        <w:gridCol w:w="146"/>
        <w:gridCol w:w="271"/>
        <w:gridCol w:w="166"/>
        <w:gridCol w:w="346"/>
        <w:gridCol w:w="146"/>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4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gridSpan w:val="2"/>
            <w:tcBorders/>
            <w:shd w:fill="FFFFFF" w:val="cle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Fair</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51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12" w:type="dxa"/>
            <w:gridSpan w:val="2"/>
            <w:tcBorders/>
            <w:shd w:fill="FFFFFF" w:val="cle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Fair</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51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091" w:type="dxa"/>
            <w:tcBorders/>
            <w:shd w:fill="CCEE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EBL, LLC (EbLens)</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7"/>
              </w:rPr>
            </w:pPr>
            <w:r>
              <w:rPr>
                <w:rFonts w:ascii="Times New Roman" w:hAnsi="Times New Roman"/>
                <w:b w:val="false"/>
                <w:color w:val="000000"/>
                <w:sz w:val="7"/>
              </w:rPr>
              <w:t>(2)</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7"/>
              </w:rPr>
            </w:pPr>
            <w:r>
              <w:rPr>
                <w:rFonts w:ascii="Times New Roman" w:hAnsi="Times New Roman"/>
                <w:b w:val="false"/>
                <w:color w:val="000000"/>
                <w:sz w:val="7"/>
              </w:rPr>
              <w:t>(2)</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w:t>
            </w:r>
          </w:p>
        </w:tc>
        <w:tc>
          <w:tcPr>
            <w:tcW w:w="346" w:type="dxa"/>
            <w:tcBorders/>
            <w:shd w:fill="CCEEFF" w:val="cle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9.3</w:t>
            </w:r>
          </w:p>
        </w:tc>
        <w:tc>
          <w:tcPr>
            <w:tcW w:w="146"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US GreenFiber, LLC</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5.2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5.2</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091" w:type="dxa"/>
            <w:tcBorders/>
            <w:shd w:fill="CCEE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K2 Merger Agreement Agent, LLC (fka K2 Industrial Services, Inc.)</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1.5</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2.4</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2.1</w:t>
            </w:r>
          </w:p>
        </w:tc>
        <w:tc>
          <w:tcPr>
            <w:tcW w:w="146"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2.4</w:t>
            </w:r>
          </w:p>
        </w:tc>
        <w:tc>
          <w:tcPr>
            <w:tcW w:w="146"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Allredi, LLC (fka Marco Group International OpCo, LLC)</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7"/>
              </w:rPr>
            </w:pPr>
            <w:r>
              <w:rPr>
                <w:rFonts w:ascii="Times New Roman" w:hAnsi="Times New Roman"/>
                <w:b w:val="false"/>
                <w:color w:val="000000"/>
                <w:sz w:val="7"/>
              </w:rPr>
              <w:t>(3)</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7"/>
              </w:rPr>
            </w:pPr>
            <w:r>
              <w:rPr>
                <w:rFonts w:ascii="Times New Roman" w:hAnsi="Times New Roman"/>
                <w:b w:val="false"/>
                <w:color w:val="000000"/>
                <w:sz w:val="7"/>
              </w:rPr>
              <w:t>(3)</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8.2</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10.3</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091" w:type="dxa"/>
            <w:tcBorders/>
            <w:shd w:fill="CCEE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Suited Connector LLC</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5.0</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15.9</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7"/>
              </w:rPr>
              <w:t>(1)</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7"/>
              </w:rPr>
              <w:t>(1)</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Virtex Enterprises, LP</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7"/>
              </w:rPr>
            </w:pPr>
            <w:r>
              <w:rPr>
                <w:rFonts w:ascii="Times New Roman" w:hAnsi="Times New Roman"/>
                <w:b w:val="false"/>
                <w:color w:val="000000"/>
                <w:sz w:val="7"/>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7"/>
              </w:rPr>
            </w:pPr>
            <w:r>
              <w:rPr>
                <w:rFonts w:ascii="Times New Roman" w:hAnsi="Times New Roman"/>
                <w:b w:val="false"/>
                <w:color w:val="000000"/>
                <w:sz w:val="7"/>
              </w:rPr>
              <w:t>(1)</w:t>
            </w:r>
          </w:p>
        </w:tc>
      </w:tr>
      <w:tr>
        <w:trPr/>
        <w:tc>
          <w:tcPr>
            <w:tcW w:w="3091" w:type="dxa"/>
            <w:tcBorders/>
            <w:shd w:fill="CCEE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Total</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12.5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34.8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10.3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1"/>
              </w:rPr>
            </w:pPr>
            <w:r>
              <w:rPr>
                <w:rFonts w:ascii="Times New Roman" w:hAnsi="Times New Roman"/>
                <w:b w:val="false"/>
                <w:color w:val="000000"/>
                <w:sz w:val="11"/>
              </w:rPr>
              <w:t>27.2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16"/>
        </w:rPr>
      </w:pPr>
      <w:r>
        <w:rPr>
          <w:rFonts w:ascii="Times New Roman" w:hAnsi="Times New Roman"/>
          <w:b w:val="false"/>
          <w:color w:val="000000"/>
          <w:sz w:val="16"/>
        </w:rPr>
        <w:t>(1) Debt investment in portfolio company was not on non-accrual status at December 31, 2022.</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(2) Debt investment in portfolio company was not held as of September 30, 2023.</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(3) Debt investment in portfolio company was not on non-accrual status as of September 30, 2023.</w:t>
      </w:r>
    </w:p>
    <w:p>
      <w:pPr>
        <w:pStyle w:val="TextBody"/>
        <w:bidi w:val="0"/>
        <w:spacing w:before="180" w:after="180"/>
        <w:jc w:val="both"/>
        <w:rPr>
          <w:rFonts w:ascii="Times New Roman" w:hAnsi="Times New Roman"/>
          <w:sz w:val="20"/>
        </w:rPr>
      </w:pPr>
      <w:r>
        <w:rPr>
          <w:rFonts w:ascii="Times New Roman" w:hAnsi="Times New Roman"/>
          <w:b/>
          <w:color w:val="000000"/>
          <w:sz w:val="20"/>
        </w:rPr>
        <w:t>Discussion and Analysis of Results of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Comparison of three and nine months ended September 30, 2023 and 2022</w:t>
      </w:r>
    </w:p>
    <w:p>
      <w:pPr>
        <w:pStyle w:val="TextBody"/>
        <w:bidi w:val="0"/>
        <w:spacing w:before="180" w:after="283"/>
        <w:jc w:val="left"/>
        <w:rPr>
          <w:rFonts w:ascii="Times New Roman" w:hAnsi="Times New Roman"/>
          <w:b w:val="false"/>
          <w:i/>
          <w:color w:val="000000"/>
          <w:sz w:val="20"/>
        </w:rPr>
      </w:pPr>
      <w:r>
        <w:rPr>
          <w:rFonts w:ascii="Times New Roman" w:hAnsi="Times New Roman"/>
          <w:b w:val="false"/>
          <w:i/>
          <w:color w:val="000000"/>
          <w:sz w:val="20"/>
        </w:rPr>
        <w:t>Investment Income</w:t>
      </w:r>
    </w:p>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Below is a summary of the changes in total investment income for the three months ended September 30, 2023 as compared to the same period in 2022 (dollars in millions, percent change calculated based on underlying dollar amounts in thousands):</w:t>
      </w:r>
    </w:p>
    <w:tbl>
      <w:tblPr>
        <w:tblW w:w="8580" w:type="dxa"/>
        <w:jc w:val="left"/>
        <w:tblInd w:w="0" w:type="dxa"/>
        <w:tblLayout w:type="fixed"/>
        <w:tblCellMar>
          <w:top w:w="28" w:type="dxa"/>
          <w:left w:w="28" w:type="dxa"/>
          <w:bottom w:w="28" w:type="dxa"/>
          <w:right w:w="28" w:type="dxa"/>
        </w:tblCellMar>
      </w:tblPr>
      <w:tblGrid>
        <w:gridCol w:w="2851"/>
        <w:gridCol w:w="146"/>
        <w:gridCol w:w="344"/>
        <w:gridCol w:w="741"/>
        <w:gridCol w:w="256"/>
        <w:gridCol w:w="256"/>
        <w:gridCol w:w="344"/>
        <w:gridCol w:w="741"/>
        <w:gridCol w:w="146"/>
        <w:gridCol w:w="146"/>
        <w:gridCol w:w="265"/>
        <w:gridCol w:w="531"/>
        <w:gridCol w:w="166"/>
        <w:gridCol w:w="146"/>
        <w:gridCol w:w="256"/>
        <w:gridCol w:w="899"/>
        <w:gridCol w:w="34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Interest income</w:t>
            </w:r>
          </w:p>
        </w:tc>
        <w:tc>
          <w:tcPr>
            <w:tcW w:w="146" w:type="dxa"/>
            <w:tcBorders/>
            <w:shd w:fill="CCEEFF" w:val="clear"/>
            <w:vAlign w:val="center"/>
          </w:tcPr>
          <w:p>
            <w:pPr>
              <w:pStyle w:val="TableContents"/>
              <w:bidi w:val="0"/>
              <w:spacing w:before="0" w:after="283"/>
              <w:jc w:val="both"/>
              <w:rPr/>
            </w:pPr>
            <w:r>
              <w:rPr/>
              <w:t> </w:t>
            </w:r>
          </w:p>
        </w:tc>
        <w:tc>
          <w:tcPr>
            <w:tcW w:w="34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4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28.3</w:t>
            </w:r>
          </w:p>
        </w:tc>
        <w:tc>
          <w:tcPr>
            <w:tcW w:w="25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4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65"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3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31.6</w:t>
            </w:r>
          </w:p>
        </w:tc>
        <w:tc>
          <w:tcPr>
            <w:tcW w:w="34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51"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Payment-in-kind interest income</w:t>
            </w:r>
          </w:p>
        </w:tc>
        <w:tc>
          <w:tcPr>
            <w:tcW w:w="146" w:type="dxa"/>
            <w:tcBorders/>
            <w:shd w:fill="FFFFFF" w:val="clear"/>
            <w:vAlign w:val="center"/>
          </w:tcPr>
          <w:p>
            <w:pPr>
              <w:pStyle w:val="TableContents"/>
              <w:bidi w:val="0"/>
              <w:spacing w:before="0" w:after="283"/>
              <w:jc w:val="both"/>
              <w:rPr/>
            </w:pPr>
            <w:r>
              <w:rPr/>
              <w:t> </w:t>
            </w:r>
          </w:p>
        </w:tc>
        <w:tc>
          <w:tcPr>
            <w:tcW w:w="344"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25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5"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575.3</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51"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Dividend income</w:t>
            </w:r>
          </w:p>
        </w:tc>
        <w:tc>
          <w:tcPr>
            <w:tcW w:w="146"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25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(59.4</w:t>
            </w:r>
          </w:p>
        </w:tc>
        <w:tc>
          <w:tcPr>
            <w:tcW w:w="34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51"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Fee income</w:t>
            </w:r>
          </w:p>
        </w:tc>
        <w:tc>
          <w:tcPr>
            <w:tcW w:w="146" w:type="dxa"/>
            <w:tcBorders/>
            <w:shd w:fill="FFFFFF" w:val="clear"/>
            <w:vAlign w:val="center"/>
          </w:tcPr>
          <w:p>
            <w:pPr>
              <w:pStyle w:val="TableContents"/>
              <w:bidi w:val="0"/>
              <w:spacing w:before="0" w:after="283"/>
              <w:jc w:val="both"/>
              <w:rPr/>
            </w:pPr>
            <w:r>
              <w:rPr/>
              <w:t> </w:t>
            </w:r>
          </w:p>
        </w:tc>
        <w:tc>
          <w:tcPr>
            <w:tcW w:w="344"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w:t>
            </w:r>
          </w:p>
        </w:tc>
        <w:tc>
          <w:tcPr>
            <w:tcW w:w="25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5"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51"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Interest on idle funds and other income</w:t>
            </w:r>
          </w:p>
        </w:tc>
        <w:tc>
          <w:tcPr>
            <w:tcW w:w="146" w:type="dxa"/>
            <w:tcBorders/>
            <w:shd w:fill="CCEEFF" w:val="clear"/>
            <w:vAlign w:val="center"/>
          </w:tcPr>
          <w:p>
            <w:pPr>
              <w:pStyle w:val="TableContents"/>
              <w:bidi w:val="0"/>
              <w:spacing w:before="0" w:after="283"/>
              <w:jc w:val="both"/>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NM</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2851"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Total investment income</w:t>
            </w:r>
          </w:p>
        </w:tc>
        <w:tc>
          <w:tcPr>
            <w:tcW w:w="146" w:type="dxa"/>
            <w:tcBorders/>
            <w:shd w:fill="FFFFFF" w:val="clear"/>
            <w:vAlign w:val="center"/>
          </w:tcPr>
          <w:p>
            <w:pPr>
              <w:pStyle w:val="TableContents"/>
              <w:bidi w:val="0"/>
              <w:spacing w:before="0" w:after="283"/>
              <w:jc w:val="both"/>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jc w:val="both"/>
        <w:rPr/>
      </w:pPr>
      <w:r>
        <w:rPr/>
        <w:t> </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(1) NM = Not meaningful</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(2) Percent change calculated based on underlying dollar amounts in thousands as presented on the consolidated statements of operations.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For the three months ended September 30, 2023, total investment income was $34.2 million, an increase of $9.2 million or 36.8%, from the $25.0 million of total investment income for the three months ended September 30, 2022. As reflected in the table above, the increase is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$9.2 million increase in total interest income (which includes payment-in-kind ("PIK") interest income) resulting from an increase in average debt investment balances and an increase in weighted average yield on debt investment balances outstanding, during 2023 as compared to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$0.4 million decrease in dividend income due to a decrease in distributions received from equity investments.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$0.2 million decrease in fee income resulting from a decrease in amendment and origination fees, partially offset by an increase in prepayment fees during 2023 as compared to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$0.6 million increase in interest on idle funds due to an increase in weighted average interest on cash balances outstanding.</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Below is a summary of the changes in total investment income for the nine months ended September 30, 2023 as compared to the same period in 2022 (dollars in millions):</w:t>
      </w:r>
    </w:p>
    <w:p>
      <w:pPr>
        <w:pStyle w:val="TextBody"/>
        <w:bidi w:val="0"/>
        <w:jc w:val="both"/>
        <w:rPr/>
      </w:pPr>
      <w:r>
        <w:rPr/>
        <w:t> </w:t>
      </w:r>
    </w:p>
    <w:tbl>
      <w:tblPr>
        <w:tblW w:w="8492" w:type="dxa"/>
        <w:jc w:val="left"/>
        <w:tblInd w:w="0" w:type="dxa"/>
        <w:tblLayout w:type="fixed"/>
        <w:tblCellMar>
          <w:top w:w="28" w:type="dxa"/>
          <w:left w:w="28" w:type="dxa"/>
          <w:bottom w:w="28" w:type="dxa"/>
          <w:right w:w="28" w:type="dxa"/>
        </w:tblCellMar>
      </w:tblPr>
      <w:tblGrid>
        <w:gridCol w:w="2851"/>
        <w:gridCol w:w="146"/>
        <w:gridCol w:w="333"/>
        <w:gridCol w:w="716"/>
        <w:gridCol w:w="248"/>
        <w:gridCol w:w="248"/>
        <w:gridCol w:w="333"/>
        <w:gridCol w:w="716"/>
        <w:gridCol w:w="146"/>
        <w:gridCol w:w="146"/>
        <w:gridCol w:w="252"/>
        <w:gridCol w:w="544"/>
        <w:gridCol w:w="166"/>
        <w:gridCol w:w="146"/>
        <w:gridCol w:w="256"/>
        <w:gridCol w:w="899"/>
        <w:gridCol w:w="34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Interest income</w:t>
            </w:r>
          </w:p>
        </w:tc>
        <w:tc>
          <w:tcPr>
            <w:tcW w:w="146" w:type="dxa"/>
            <w:tcBorders/>
            <w:shd w:fill="CFF0FC" w:val="clear"/>
            <w:vAlign w:val="center"/>
          </w:tcPr>
          <w:p>
            <w:pPr>
              <w:pStyle w:val="TableContents"/>
              <w:bidi w:val="0"/>
              <w:spacing w:before="0" w:after="283"/>
              <w:jc w:val="both"/>
              <w:rPr/>
            </w:pPr>
            <w:r>
              <w:rPr/>
              <w:t> </w:t>
            </w:r>
          </w:p>
        </w:tc>
        <w:tc>
          <w:tcPr>
            <w:tcW w:w="3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80.4</w:t>
            </w:r>
          </w:p>
        </w:tc>
        <w:tc>
          <w:tcPr>
            <w:tcW w:w="248"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38.8</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51"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Payment-in-kind interest income</w:t>
            </w:r>
          </w:p>
        </w:tc>
        <w:tc>
          <w:tcPr>
            <w:tcW w:w="146" w:type="dxa"/>
            <w:tcBorders/>
            <w:shd w:fill="FFFFFF" w:val="clear"/>
            <w:vAlign w:val="center"/>
          </w:tcPr>
          <w:p>
            <w:pPr>
              <w:pStyle w:val="TableContents"/>
              <w:bidi w:val="0"/>
              <w:spacing w:before="0" w:after="283"/>
              <w:jc w:val="both"/>
              <w:rPr/>
            </w:pPr>
            <w:r>
              <w:rPr/>
              <w:t> </w:t>
            </w:r>
          </w:p>
        </w:tc>
        <w:tc>
          <w:tcPr>
            <w:tcW w:w="33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5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251.2</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51" w:type="dxa"/>
            <w:tcBorders/>
            <w:shd w:fill="CFF0FC"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Dividend income</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w:t>
            </w:r>
          </w:p>
        </w:tc>
        <w:tc>
          <w:tcPr>
            <w:tcW w:w="248"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51"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Fee income</w:t>
            </w:r>
          </w:p>
        </w:tc>
        <w:tc>
          <w:tcPr>
            <w:tcW w:w="146" w:type="dxa"/>
            <w:tcBorders/>
            <w:shd w:fill="FFFFFF" w:val="clear"/>
            <w:vAlign w:val="center"/>
          </w:tcPr>
          <w:p>
            <w:pPr>
              <w:pStyle w:val="TableContents"/>
              <w:bidi w:val="0"/>
              <w:spacing w:before="0" w:after="283"/>
              <w:jc w:val="both"/>
              <w:rPr/>
            </w:pPr>
            <w:r>
              <w:rPr/>
              <w:t> </w:t>
            </w:r>
          </w:p>
        </w:tc>
        <w:tc>
          <w:tcPr>
            <w:tcW w:w="33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5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51" w:type="dxa"/>
            <w:tcBorders/>
            <w:shd w:fill="CFF0FC"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Interest on idle funds and other income</w:t>
            </w:r>
          </w:p>
        </w:tc>
        <w:tc>
          <w:tcPr>
            <w:tcW w:w="146" w:type="dxa"/>
            <w:tcBorders/>
            <w:shd w:fill="CFF0FC" w:val="clear"/>
            <w:vAlign w:val="center"/>
          </w:tcPr>
          <w:p>
            <w:pPr>
              <w:pStyle w:val="TableContents"/>
              <w:bidi w:val="0"/>
              <w:spacing w:before="0" w:after="283"/>
              <w:jc w:val="both"/>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NM</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851"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Total investment income</w:t>
            </w:r>
          </w:p>
        </w:tc>
        <w:tc>
          <w:tcPr>
            <w:tcW w:w="146" w:type="dxa"/>
            <w:tcBorders/>
            <w:shd w:fill="FFFFFF" w:val="clear"/>
            <w:vAlign w:val="center"/>
          </w:tcPr>
          <w:p>
            <w:pPr>
              <w:pStyle w:val="TableContents"/>
              <w:bidi w:val="0"/>
              <w:spacing w:before="0" w:after="283"/>
              <w:jc w:val="both"/>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93.8</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jc w:val="both"/>
        <w:rPr>
          <w:rFonts w:ascii="Times New Roman" w:hAnsi="Times New Roman"/>
          <w:b w:val="false"/>
          <w:color w:val="000000"/>
          <w:sz w:val="16"/>
        </w:rPr>
      </w:pPr>
      <w:r>
        <w:rPr>
          <w:rFonts w:ascii="Times New Roman" w:hAnsi="Times New Roman"/>
          <w:b w:val="false"/>
          <w:color w:val="000000"/>
          <w:sz w:val="16"/>
        </w:rPr>
        <w:t>(1) NM = Not meaningful</w:t>
      </w:r>
    </w:p>
    <w:p>
      <w:pPr>
        <w:pStyle w:val="TextBody"/>
        <w:bidi w:val="0"/>
        <w:jc w:val="both"/>
        <w:rPr>
          <w:rFonts w:ascii="Times New Roman" w:hAnsi="Times New Roman"/>
          <w:sz w:val="20"/>
        </w:rPr>
      </w:pPr>
      <w:r>
        <w:rPr>
          <w:rFonts w:ascii="Times New Roman" w:hAnsi="Times New Roman"/>
          <w:b w:val="false"/>
          <w:color w:val="000000"/>
          <w:sz w:val="16"/>
        </w:rPr>
        <w:t>(2) Percent change calculated based on underlying dollar amounts in thousands as presented on the consolidated statements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For the nine months ended September 30, 2023, total investment income was $93.8 million, an increase of $27.1 million or 40.7%, from the 66.7 million of total investment income for the nine months ended September 30, 2022. As reflected in the table above, the increase is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$25.8 million increase in total interest income (which includes PIK interest income) resulting from an increase in average debt investment balances and an increase in weighted average yield on debt investment balances outstanding, during 2023 as compared to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$0.4 million decrease in dividend income due to a decrease in distributions received from equity investments.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 xml:space="preserve">$0.1 million decrease in fee income resulting from a decrease in origination fees, partially offset by an increase in amendment and prepayment fees during 2023 as compared to 2022.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$1.8 million increase in interest on idle funds due to an increase in weighted average interest on cash balances outstanding.</w:t>
      </w:r>
    </w:p>
    <w:p>
      <w:pPr>
        <w:pStyle w:val="TextBody"/>
        <w:bidi w:val="0"/>
        <w:spacing w:before="180" w:after="283"/>
        <w:jc w:val="left"/>
        <w:rPr>
          <w:rFonts w:ascii="Times New Roman" w:hAnsi="Times New Roman"/>
          <w:b w:val="false"/>
          <w:i/>
          <w:color w:val="000000"/>
          <w:sz w:val="20"/>
        </w:rPr>
      </w:pPr>
      <w:r>
        <w:rPr>
          <w:rFonts w:ascii="Times New Roman" w:hAnsi="Times New Roman"/>
          <w:b w:val="false"/>
          <w:i/>
          <w:color w:val="000000"/>
          <w:sz w:val="20"/>
        </w:rPr>
        <w:t>Expenses</w:t>
      </w:r>
    </w:p>
    <w:p>
      <w:pPr>
        <w:pStyle w:val="TextBody"/>
        <w:bidi w:val="0"/>
        <w:spacing w:before="180" w:after="200"/>
        <w:jc w:val="both"/>
        <w:rPr>
          <w:rFonts w:ascii="Times New Roman" w:hAnsi="Times New Roman"/>
          <w:b w:val="false"/>
          <w:color w:val="000000"/>
          <w:sz w:val="20"/>
        </w:rPr>
      </w:pPr>
      <w:r>
        <w:rPr>
          <w:rFonts w:ascii="Times New Roman" w:hAnsi="Times New Roman"/>
          <w:b w:val="false"/>
          <w:color w:val="000000"/>
          <w:sz w:val="20"/>
        </w:rPr>
        <w:t>Below is a summary of the changes in total expenses, including income tax provision, for the three months ended September 30, 2023 as compared to the same period in 2022 (dollars in millions, percent change calculated based on underlying dollar amounts in thousands):</w:t>
      </w:r>
    </w:p>
    <w:tbl>
      <w:tblPr>
        <w:tblW w:w="10205" w:type="dxa"/>
        <w:jc w:val="left"/>
        <w:tblInd w:w="0" w:type="dxa"/>
        <w:tblLayout w:type="fixed"/>
        <w:tblCellMar>
          <w:top w:w="28" w:type="dxa"/>
          <w:left w:w="28" w:type="dxa"/>
          <w:bottom w:w="28" w:type="dxa"/>
          <w:right w:w="28" w:type="dxa"/>
        </w:tblCellMar>
      </w:tblPr>
      <w:tblGrid>
        <w:gridCol w:w="4679"/>
        <w:gridCol w:w="146"/>
        <w:gridCol w:w="318"/>
        <w:gridCol w:w="684"/>
        <w:gridCol w:w="269"/>
        <w:gridCol w:w="236"/>
        <w:gridCol w:w="318"/>
        <w:gridCol w:w="684"/>
        <w:gridCol w:w="166"/>
        <w:gridCol w:w="146"/>
        <w:gridCol w:w="265"/>
        <w:gridCol w:w="531"/>
        <w:gridCol w:w="166"/>
        <w:gridCol w:w="146"/>
        <w:gridCol w:w="225"/>
        <w:gridCol w:w="886"/>
        <w:gridCol w:w="340"/>
      </w:tblGrid>
      <w:tr>
        <w:trPr/>
        <w:tc>
          <w:tcPr>
            <w:tcW w:w="4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4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340" w:type="dxa"/>
            <w:tcBorders/>
            <w:shd w:fill="FFFFFF" w:val="clear"/>
            <w:vAlign w:val="center"/>
          </w:tcPr>
          <w:p>
            <w:pPr>
              <w:pStyle w:val="TableContents"/>
              <w:bidi w:val="0"/>
              <w:spacing w:before="0" w:after="283"/>
              <w:jc w:val="center"/>
              <w:rPr/>
            </w:pPr>
            <w:r>
              <w:rPr/>
              <w:t> </w:t>
            </w:r>
          </w:p>
        </w:tc>
      </w:tr>
      <w:tr>
        <w:trPr/>
        <w:tc>
          <w:tcPr>
            <w:tcW w:w="4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9"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Interest and financing expenses</w:t>
            </w:r>
          </w:p>
        </w:tc>
        <w:tc>
          <w:tcPr>
            <w:tcW w:w="146" w:type="dxa"/>
            <w:tcBorders/>
            <w:shd w:fill="CCEEFF" w:val="clear"/>
            <w:vAlign w:val="center"/>
          </w:tcPr>
          <w:p>
            <w:pPr>
              <w:pStyle w:val="TableContents"/>
              <w:bidi w:val="0"/>
              <w:spacing w:before="0" w:after="283"/>
              <w:jc w:val="both"/>
              <w:rPr/>
            </w:pPr>
            <w:r>
              <w:rPr/>
              <w:t> </w:t>
            </w:r>
          </w:p>
        </w:tc>
        <w:tc>
          <w:tcPr>
            <w:tcW w:w="318"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w:t>
            </w:r>
          </w:p>
        </w:tc>
        <w:tc>
          <w:tcPr>
            <w:tcW w:w="269"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65"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3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27.7</w:t>
            </w:r>
          </w:p>
        </w:tc>
        <w:tc>
          <w:tcPr>
            <w:tcW w:w="340"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Base management fee</w:t>
            </w:r>
          </w:p>
        </w:tc>
        <w:tc>
          <w:tcPr>
            <w:tcW w:w="146" w:type="dxa"/>
            <w:tcBorders/>
            <w:shd w:fill="FFFFFF" w:val="clear"/>
            <w:vAlign w:val="center"/>
          </w:tcPr>
          <w:p>
            <w:pPr>
              <w:pStyle w:val="TableContents"/>
              <w:bidi w:val="0"/>
              <w:spacing w:before="0" w:after="283"/>
              <w:jc w:val="both"/>
              <w:rPr/>
            </w:pPr>
            <w:r>
              <w:rPr/>
              <w:t> </w:t>
            </w:r>
          </w:p>
        </w:tc>
        <w:tc>
          <w:tcPr>
            <w:tcW w:w="318"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w:t>
            </w:r>
          </w:p>
        </w:tc>
        <w:tc>
          <w:tcPr>
            <w:tcW w:w="269"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5"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w:t>
            </w:r>
          </w:p>
        </w:tc>
        <w:tc>
          <w:tcPr>
            <w:tcW w:w="3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Incentive fee - income</w:t>
            </w:r>
          </w:p>
        </w:tc>
        <w:tc>
          <w:tcPr>
            <w:tcW w:w="14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269"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47.0</w:t>
            </w:r>
          </w:p>
        </w:tc>
        <w:tc>
          <w:tcPr>
            <w:tcW w:w="340"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Incentive fee (reversal) - capital gains</w:t>
            </w:r>
          </w:p>
        </w:tc>
        <w:tc>
          <w:tcPr>
            <w:tcW w:w="146" w:type="dxa"/>
            <w:tcBorders/>
            <w:shd w:fill="FFFFFF" w:val="clear"/>
            <w:vAlign w:val="center"/>
          </w:tcPr>
          <w:p>
            <w:pPr>
              <w:pStyle w:val="TableContents"/>
              <w:bidi w:val="0"/>
              <w:spacing w:before="0" w:after="283"/>
              <w:jc w:val="both"/>
              <w:rPr/>
            </w:pPr>
            <w:r>
              <w:rPr/>
              <w:t> </w:t>
            </w:r>
          </w:p>
        </w:tc>
        <w:tc>
          <w:tcPr>
            <w:tcW w:w="318"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w:t>
            </w:r>
          </w:p>
        </w:tc>
        <w:tc>
          <w:tcPr>
            <w:tcW w:w="269"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both"/>
              <w:rPr/>
            </w:pPr>
            <w:r>
              <w:rPr/>
              <w:t> </w:t>
            </w:r>
          </w:p>
        </w:tc>
        <w:tc>
          <w:tcPr>
            <w:tcW w:w="265"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(692.2</w:t>
            </w:r>
          </w:p>
        </w:tc>
        <w:tc>
          <w:tcPr>
            <w:tcW w:w="3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Administrative service expenses</w:t>
            </w:r>
          </w:p>
        </w:tc>
        <w:tc>
          <w:tcPr>
            <w:tcW w:w="146" w:type="dxa"/>
            <w:tcBorders/>
            <w:shd w:fill="CCEEFF" w:val="clear"/>
            <w:vAlign w:val="center"/>
          </w:tcPr>
          <w:p>
            <w:pPr>
              <w:pStyle w:val="TableContents"/>
              <w:bidi w:val="0"/>
              <w:spacing w:before="0" w:after="283"/>
              <w:jc w:val="both"/>
              <w:rPr/>
            </w:pPr>
            <w:r>
              <w:rPr/>
              <w:t> </w:t>
            </w:r>
          </w:p>
        </w:tc>
        <w:tc>
          <w:tcPr>
            <w:tcW w:w="318"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w:t>
            </w:r>
          </w:p>
        </w:tc>
        <w:tc>
          <w:tcPr>
            <w:tcW w:w="269"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65"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w:t>
            </w:r>
          </w:p>
        </w:tc>
        <w:tc>
          <w:tcPr>
            <w:tcW w:w="340"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Professional fees</w:t>
            </w:r>
          </w:p>
        </w:tc>
        <w:tc>
          <w:tcPr>
            <w:tcW w:w="146" w:type="dxa"/>
            <w:tcBorders/>
            <w:shd w:fill="FFFFFF" w:val="clear"/>
            <w:vAlign w:val="center"/>
          </w:tcPr>
          <w:p>
            <w:pPr>
              <w:pStyle w:val="TableContents"/>
              <w:bidi w:val="0"/>
              <w:spacing w:before="0" w:after="283"/>
              <w:jc w:val="both"/>
              <w:rPr/>
            </w:pPr>
            <w:r>
              <w:rPr/>
              <w:t> </w:t>
            </w:r>
          </w:p>
        </w:tc>
        <w:tc>
          <w:tcPr>
            <w:tcW w:w="318"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w:t>
            </w:r>
          </w:p>
        </w:tc>
        <w:tc>
          <w:tcPr>
            <w:tcW w:w="269"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5"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73.2</w:t>
            </w:r>
          </w:p>
        </w:tc>
        <w:tc>
          <w:tcPr>
            <w:tcW w:w="3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Other general and administrative expenses</w:t>
            </w:r>
          </w:p>
        </w:tc>
        <w:tc>
          <w:tcPr>
            <w:tcW w:w="146" w:type="dxa"/>
            <w:tcBorders/>
            <w:shd w:fill="CCEEFF" w:val="clear"/>
            <w:vAlign w:val="center"/>
          </w:tcPr>
          <w:p>
            <w:pPr>
              <w:pStyle w:val="TableContents"/>
              <w:bidi w:val="0"/>
              <w:spacing w:before="0" w:after="283"/>
              <w:jc w:val="both"/>
              <w:rPr/>
            </w:pPr>
            <w:r>
              <w:rPr/>
              <w:t> </w:t>
            </w:r>
          </w:p>
        </w:tc>
        <w:tc>
          <w:tcPr>
            <w:tcW w:w="3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2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3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2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w:t>
            </w:r>
          </w:p>
        </w:tc>
        <w:tc>
          <w:tcPr>
            <w:tcW w:w="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expenses, before base management and income incentive fee waivers</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w:t>
            </w:r>
          </w:p>
        </w:tc>
        <w:tc>
          <w:tcPr>
            <w:tcW w:w="269"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42.3</w:t>
            </w:r>
          </w:p>
        </w:tc>
        <w:tc>
          <w:tcPr>
            <w:tcW w:w="3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Base management and income incentive fee waivers</w:t>
            </w:r>
          </w:p>
        </w:tc>
        <w:tc>
          <w:tcPr>
            <w:tcW w:w="146" w:type="dxa"/>
            <w:tcBorders/>
            <w:shd w:fill="CCEEFF" w:val="clear"/>
            <w:vAlign w:val="center"/>
          </w:tcPr>
          <w:p>
            <w:pPr>
              <w:pStyle w:val="TableContents"/>
              <w:bidi w:val="0"/>
              <w:spacing w:before="0" w:after="283"/>
              <w:jc w:val="both"/>
              <w:rPr/>
            </w:pPr>
            <w:r>
              <w:rPr/>
              <w:t> </w:t>
            </w:r>
          </w:p>
        </w:tc>
        <w:tc>
          <w:tcPr>
            <w:tcW w:w="3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36" w:type="dxa"/>
            <w:tcBorders/>
            <w:shd w:fill="CCEEFF" w:val="clear"/>
            <w:vAlign w:val="center"/>
          </w:tcPr>
          <w:p>
            <w:pPr>
              <w:pStyle w:val="TableContents"/>
              <w:bidi w:val="0"/>
              <w:spacing w:before="0" w:after="283"/>
              <w:jc w:val="left"/>
              <w:rPr/>
            </w:pPr>
            <w:r>
              <w:rPr/>
              <w:t> </w:t>
            </w:r>
          </w:p>
        </w:tc>
        <w:tc>
          <w:tcPr>
            <w:tcW w:w="3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NM</w:t>
            </w:r>
          </w:p>
        </w:tc>
        <w:tc>
          <w:tcPr>
            <w:tcW w:w="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67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expenses, before income tax provision</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w:t>
            </w:r>
          </w:p>
        </w:tc>
        <w:tc>
          <w:tcPr>
            <w:tcW w:w="269"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42.6</w:t>
            </w:r>
          </w:p>
        </w:tc>
        <w:tc>
          <w:tcPr>
            <w:tcW w:w="3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 tax provision (benefit)</w:t>
            </w:r>
          </w:p>
        </w:tc>
        <w:tc>
          <w:tcPr>
            <w:tcW w:w="146" w:type="dxa"/>
            <w:tcBorders/>
            <w:shd w:fill="CCEEFF" w:val="clear"/>
            <w:vAlign w:val="center"/>
          </w:tcPr>
          <w:p>
            <w:pPr>
              <w:pStyle w:val="TableContents"/>
              <w:bidi w:val="0"/>
              <w:spacing w:before="0" w:after="283"/>
              <w:jc w:val="left"/>
              <w:rPr/>
            </w:pPr>
            <w:r>
              <w:rPr/>
              <w:t> </w:t>
            </w:r>
          </w:p>
        </w:tc>
        <w:tc>
          <w:tcPr>
            <w:tcW w:w="3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3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NM</w:t>
            </w:r>
          </w:p>
        </w:tc>
        <w:tc>
          <w:tcPr>
            <w:tcW w:w="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67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expenses, including income tax provision</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42.8</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200" w:after="283"/>
        <w:jc w:val="both"/>
        <w:rPr>
          <w:rFonts w:ascii="Times New Roman" w:hAnsi="Times New Roman"/>
          <w:b w:val="false"/>
          <w:color w:val="000000"/>
          <w:sz w:val="16"/>
        </w:rPr>
      </w:pPr>
      <w:r>
        <w:rPr>
          <w:rFonts w:ascii="Times New Roman" w:hAnsi="Times New Roman"/>
          <w:b w:val="false"/>
          <w:color w:val="000000"/>
          <w:sz w:val="16"/>
        </w:rPr>
        <w:t>(1) NM = Not meaningful</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(2) Percent change calculated based on underlying dollar amounts in thousands as presented on the consolidated statements of operations.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For the three months ended September 30, 2023, total expenses, including income tax provision, were $17.5 million, an increase of $5.2 million or 42.8%, from the $12.3 million of total expenses for the three months ended September 30, 2022. As reflected in the table above, changes across the periods were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$1.3 million increase in interest and financing expenses due to an increase in debt outstanding in 2023 and an increase in weighted average interest rate on borrowings, during 2023 as compared to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$0.4 million net increase in base management fee, including the base management fee waiver, due to higher average total assets during 2023 as compared to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$1.5 million net increase in the income incentive fee due to an increase in pre-incentive fee net investment income during 2023 as compared to 2022.</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$1.8 million increase in the accrued capital gains incentive fee due to an $8.9 million increase in net gain on investments (net change in unrealized appreciation (depreciation) on investments and realized losses on extinguishment of debt, partially offset by a decrease in net realized gains (losses), as well as income tax (provision) benefit from realized gains) during 2023 as compared to the same period in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$0.2 million increase in professional fees due to increased legal, audit and tax compliance costs during 2023 as compared to 2022.</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Below is a summary of the changes in total expenses, including income tax provision, for the nine months ended September 30, 2023 as compared to the same period in 2022 (dollars in millions):</w:t>
      </w:r>
    </w:p>
    <w:tbl>
      <w:tblPr>
        <w:tblW w:w="10205" w:type="dxa"/>
        <w:jc w:val="left"/>
        <w:tblInd w:w="0" w:type="dxa"/>
        <w:tblLayout w:type="fixed"/>
        <w:tblCellMar>
          <w:top w:w="28" w:type="dxa"/>
          <w:left w:w="28" w:type="dxa"/>
          <w:bottom w:w="28" w:type="dxa"/>
          <w:right w:w="28" w:type="dxa"/>
        </w:tblCellMar>
      </w:tblPr>
      <w:tblGrid>
        <w:gridCol w:w="4751"/>
        <w:gridCol w:w="146"/>
        <w:gridCol w:w="311"/>
        <w:gridCol w:w="667"/>
        <w:gridCol w:w="262"/>
        <w:gridCol w:w="231"/>
        <w:gridCol w:w="311"/>
        <w:gridCol w:w="667"/>
        <w:gridCol w:w="166"/>
        <w:gridCol w:w="146"/>
        <w:gridCol w:w="252"/>
        <w:gridCol w:w="544"/>
        <w:gridCol w:w="146"/>
        <w:gridCol w:w="146"/>
        <w:gridCol w:w="226"/>
        <w:gridCol w:w="890"/>
        <w:gridCol w:w="343"/>
      </w:tblGrid>
      <w:tr>
        <w:trPr/>
        <w:tc>
          <w:tcPr>
            <w:tcW w:w="4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pPr>
            <w:r>
              <w:rPr/>
              <w:t> </w:t>
            </w:r>
          </w:p>
        </w:tc>
        <w:tc>
          <w:tcPr>
            <w:tcW w:w="343" w:type="dxa"/>
            <w:tcBorders/>
            <w:shd w:fill="FFFFFF" w:val="clear"/>
            <w:vAlign w:val="center"/>
          </w:tcPr>
          <w:p>
            <w:pPr>
              <w:pStyle w:val="TableContents"/>
              <w:bidi w:val="0"/>
              <w:spacing w:before="0" w:after="283"/>
              <w:jc w:val="center"/>
              <w:rPr/>
            </w:pPr>
            <w:r>
              <w:rPr/>
              <w:t> </w:t>
            </w:r>
          </w:p>
        </w:tc>
      </w:tr>
      <w:tr>
        <w:trPr/>
        <w:tc>
          <w:tcPr>
            <w:tcW w:w="4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1"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Interest and financing expenses</w:t>
            </w:r>
          </w:p>
        </w:tc>
        <w:tc>
          <w:tcPr>
            <w:tcW w:w="146" w:type="dxa"/>
            <w:tcBorders/>
            <w:shd w:fill="CCEEFF" w:val="clear"/>
            <w:vAlign w:val="center"/>
          </w:tcPr>
          <w:p>
            <w:pPr>
              <w:pStyle w:val="TableContents"/>
              <w:bidi w:val="0"/>
              <w:spacing w:before="0" w:after="283"/>
              <w:jc w:val="both"/>
              <w:rPr/>
            </w:pPr>
            <w:r>
              <w:rPr/>
              <w:t> </w:t>
            </w:r>
          </w:p>
        </w:tc>
        <w:tc>
          <w:tcPr>
            <w:tcW w:w="31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w:t>
            </w:r>
          </w:p>
        </w:tc>
        <w:tc>
          <w:tcPr>
            <w:tcW w:w="262"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52"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4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22.0</w:t>
            </w:r>
          </w:p>
        </w:tc>
        <w:tc>
          <w:tcPr>
            <w:tcW w:w="343"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751"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Base management fee</w:t>
            </w:r>
          </w:p>
        </w:tc>
        <w:tc>
          <w:tcPr>
            <w:tcW w:w="146" w:type="dxa"/>
            <w:tcBorders/>
            <w:shd w:fill="FFFFFF" w:val="clear"/>
            <w:vAlign w:val="center"/>
          </w:tcPr>
          <w:p>
            <w:pPr>
              <w:pStyle w:val="TableContents"/>
              <w:bidi w:val="0"/>
              <w:spacing w:before="0" w:after="283"/>
              <w:jc w:val="both"/>
              <w:rPr/>
            </w:pPr>
            <w:r>
              <w:rPr/>
              <w:t> </w:t>
            </w:r>
          </w:p>
        </w:tc>
        <w:tc>
          <w:tcPr>
            <w:tcW w:w="31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262"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5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w:t>
            </w:r>
          </w:p>
        </w:tc>
        <w:tc>
          <w:tcPr>
            <w:tcW w:w="34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751"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Incentive fee - income</w:t>
            </w:r>
          </w:p>
        </w:tc>
        <w:tc>
          <w:tcPr>
            <w:tcW w:w="146"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w:t>
            </w:r>
          </w:p>
        </w:tc>
        <w:tc>
          <w:tcPr>
            <w:tcW w:w="262"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126.4</w:t>
            </w:r>
          </w:p>
        </w:tc>
        <w:tc>
          <w:tcPr>
            <w:tcW w:w="343"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751"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Incentive fee - capital gains</w:t>
            </w:r>
          </w:p>
        </w:tc>
        <w:tc>
          <w:tcPr>
            <w:tcW w:w="146" w:type="dxa"/>
            <w:tcBorders/>
            <w:shd w:fill="FFFFFF" w:val="clear"/>
            <w:vAlign w:val="center"/>
          </w:tcPr>
          <w:p>
            <w:pPr>
              <w:pStyle w:val="TableContents"/>
              <w:bidi w:val="0"/>
              <w:spacing w:before="0" w:after="283"/>
              <w:jc w:val="both"/>
              <w:rPr/>
            </w:pPr>
            <w:r>
              <w:rPr/>
              <w:t> </w:t>
            </w:r>
          </w:p>
        </w:tc>
        <w:tc>
          <w:tcPr>
            <w:tcW w:w="31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w:t>
            </w:r>
          </w:p>
        </w:tc>
        <w:tc>
          <w:tcPr>
            <w:tcW w:w="262"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both"/>
              <w:rPr/>
            </w:pPr>
            <w:r>
              <w:rPr/>
              <w:t> </w:t>
            </w:r>
          </w:p>
        </w:tc>
        <w:tc>
          <w:tcPr>
            <w:tcW w:w="25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(185.5</w:t>
            </w:r>
          </w:p>
        </w:tc>
        <w:tc>
          <w:tcPr>
            <w:tcW w:w="34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751"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Administrative service expenses</w:t>
            </w:r>
          </w:p>
        </w:tc>
        <w:tc>
          <w:tcPr>
            <w:tcW w:w="146" w:type="dxa"/>
            <w:tcBorders/>
            <w:shd w:fill="CCEEFF" w:val="clear"/>
            <w:vAlign w:val="center"/>
          </w:tcPr>
          <w:p>
            <w:pPr>
              <w:pStyle w:val="TableContents"/>
              <w:bidi w:val="0"/>
              <w:spacing w:before="0" w:after="283"/>
              <w:jc w:val="both"/>
              <w:rPr/>
            </w:pPr>
            <w:r>
              <w:rPr/>
              <w:t> </w:t>
            </w:r>
          </w:p>
        </w:tc>
        <w:tc>
          <w:tcPr>
            <w:tcW w:w="311"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262"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52"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w:t>
            </w:r>
          </w:p>
        </w:tc>
        <w:tc>
          <w:tcPr>
            <w:tcW w:w="343"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751"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Professional fees</w:t>
            </w:r>
          </w:p>
        </w:tc>
        <w:tc>
          <w:tcPr>
            <w:tcW w:w="146" w:type="dxa"/>
            <w:tcBorders/>
            <w:shd w:fill="FFFFFF" w:val="clear"/>
            <w:vAlign w:val="center"/>
          </w:tcPr>
          <w:p>
            <w:pPr>
              <w:pStyle w:val="TableContents"/>
              <w:bidi w:val="0"/>
              <w:spacing w:before="0" w:after="283"/>
              <w:jc w:val="both"/>
              <w:rPr/>
            </w:pPr>
            <w:r>
              <w:rPr/>
              <w:t> </w:t>
            </w:r>
          </w:p>
        </w:tc>
        <w:tc>
          <w:tcPr>
            <w:tcW w:w="31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w:t>
            </w:r>
          </w:p>
        </w:tc>
        <w:tc>
          <w:tcPr>
            <w:tcW w:w="262"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5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32.2</w:t>
            </w:r>
          </w:p>
        </w:tc>
        <w:tc>
          <w:tcPr>
            <w:tcW w:w="34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751"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Other general and administrative expenses</w:t>
            </w:r>
          </w:p>
        </w:tc>
        <w:tc>
          <w:tcPr>
            <w:tcW w:w="146" w:type="dxa"/>
            <w:tcBorders/>
            <w:shd w:fill="CCEEFF" w:val="clear"/>
            <w:vAlign w:val="center"/>
          </w:tcPr>
          <w:p>
            <w:pPr>
              <w:pStyle w:val="TableContents"/>
              <w:bidi w:val="0"/>
              <w:spacing w:before="0" w:after="283"/>
              <w:jc w:val="both"/>
              <w:rPr/>
            </w:pPr>
            <w:r>
              <w:rPr/>
              <w:t> </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0.8</w:t>
            </w:r>
          </w:p>
        </w:tc>
        <w:tc>
          <w:tcPr>
            <w:tcW w:w="2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NM</w:t>
            </w:r>
          </w:p>
        </w:tc>
        <w:tc>
          <w:tcPr>
            <w:tcW w:w="3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75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expenses, before base management and income incentive fee waivers</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45.8</w:t>
            </w:r>
          </w:p>
        </w:tc>
        <w:tc>
          <w:tcPr>
            <w:tcW w:w="262"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w:t>
            </w:r>
          </w:p>
        </w:tc>
        <w:tc>
          <w:tcPr>
            <w:tcW w:w="34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751" w:type="dxa"/>
            <w:tcBorders/>
            <w:shd w:fill="CCEE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Base management and income incentive fee waivers</w:t>
            </w:r>
          </w:p>
        </w:tc>
        <w:tc>
          <w:tcPr>
            <w:tcW w:w="146" w:type="dxa"/>
            <w:tcBorders/>
            <w:shd w:fill="CCEEFF" w:val="clear"/>
            <w:vAlign w:val="center"/>
          </w:tcPr>
          <w:p>
            <w:pPr>
              <w:pStyle w:val="TableContents"/>
              <w:bidi w:val="0"/>
              <w:spacing w:before="0" w:after="283"/>
              <w:jc w:val="both"/>
              <w:rPr/>
            </w:pPr>
            <w:r>
              <w:rPr/>
              <w:t> </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31" w:type="dxa"/>
            <w:tcBorders/>
            <w:shd w:fill="CCEEFF" w:val="clear"/>
            <w:vAlign w:val="center"/>
          </w:tcPr>
          <w:p>
            <w:pPr>
              <w:pStyle w:val="TableContents"/>
              <w:bidi w:val="0"/>
              <w:spacing w:before="0" w:after="283"/>
              <w:jc w:val="left"/>
              <w:rPr/>
            </w:pPr>
            <w:r>
              <w:rPr/>
              <w:t> </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both"/>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NM</w:t>
            </w:r>
          </w:p>
        </w:tc>
        <w:tc>
          <w:tcPr>
            <w:tcW w:w="3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75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expenses, before income tax provision</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45.6</w:t>
            </w:r>
          </w:p>
        </w:tc>
        <w:tc>
          <w:tcPr>
            <w:tcW w:w="262"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39.8</w:t>
            </w:r>
          </w:p>
        </w:tc>
        <w:tc>
          <w:tcPr>
            <w:tcW w:w="34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75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 tax provision (benefit)</w:t>
            </w:r>
          </w:p>
        </w:tc>
        <w:tc>
          <w:tcPr>
            <w:tcW w:w="146" w:type="dxa"/>
            <w:tcBorders/>
            <w:shd w:fill="CCEEFF" w:val="clear"/>
            <w:vAlign w:val="center"/>
          </w:tcPr>
          <w:p>
            <w:pPr>
              <w:pStyle w:val="TableContents"/>
              <w:bidi w:val="0"/>
              <w:spacing w:before="0" w:after="283"/>
              <w:jc w:val="left"/>
              <w:rPr/>
            </w:pPr>
            <w:r>
              <w:rPr/>
              <w:t> </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NM</w:t>
            </w:r>
          </w:p>
        </w:tc>
        <w:tc>
          <w:tcPr>
            <w:tcW w:w="3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75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expenses, including income tax provision</w:t>
            </w:r>
          </w:p>
        </w:tc>
        <w:tc>
          <w:tcPr>
            <w:tcW w:w="146" w:type="dxa"/>
            <w:tcBorders/>
            <w:shd w:fill="FFFFFF" w:val="cle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45.6</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jc w:val="both"/>
        <w:rPr>
          <w:rFonts w:ascii="Times New Roman" w:hAnsi="Times New Roman"/>
          <w:b w:val="false"/>
          <w:color w:val="000000"/>
          <w:sz w:val="16"/>
        </w:rPr>
      </w:pPr>
      <w:r>
        <w:rPr>
          <w:rFonts w:ascii="Times New Roman" w:hAnsi="Times New Roman"/>
          <w:b w:val="false"/>
          <w:color w:val="000000"/>
          <w:sz w:val="16"/>
        </w:rPr>
        <w:t>(1) NM = Not meaningful</w:t>
      </w:r>
    </w:p>
    <w:p>
      <w:pPr>
        <w:pStyle w:val="TextBody"/>
        <w:bidi w:val="0"/>
        <w:jc w:val="both"/>
        <w:rPr>
          <w:rFonts w:ascii="Times New Roman" w:hAnsi="Times New Roman"/>
          <w:sz w:val="20"/>
        </w:rPr>
      </w:pPr>
      <w:r>
        <w:rPr>
          <w:rFonts w:ascii="Times New Roman" w:hAnsi="Times New Roman"/>
          <w:b w:val="false"/>
          <w:color w:val="000000"/>
          <w:sz w:val="16"/>
        </w:rPr>
        <w:t>(2) Percent change calculated based on underlying dollar amounts in thousands as presented on the consolidated statements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For the nine months ended September 30, 2023, total expenses, including income tax provision, were $45.6 million, an increase of $13.0 million or 40.0%, from the $32.6 million of total expenses for the nine months ended September 30, 2022. As reflected in the table above, changes across periods were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$3.1 million increase in interest and financing expenses due to an increase in weighted average interest rate and an increase in average borrowings outstanding during 2023 as compared to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$1.4 million net increase in base management fee, including the base management fee waiver, due to higher average total assets during 2023 as compared to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$6.7 million net increase in the income incentive fee due to an increase in pre-incentive fee net investment income during 2023 as compared to the same period in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$1.1 million increase in the accrued capital gains incentive fee due to a $5.5 million increase in net gain on investments (net change in unrealized appreciation (depreciation) on investments and realized losses on extinguishment of debt, partially offset by a decrease in net realized gains (losses), as well as income tax (provision) benefit from realized gains) during 2023 as compared to the same period in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$0.4 million increase in professional fees due to increased legal, audit and tax compliance costs during 2023 as compared to 2022.</w:t>
      </w:r>
    </w:p>
    <w:p>
      <w:pPr>
        <w:pStyle w:val="TextBody"/>
        <w:bidi w:val="0"/>
        <w:spacing w:before="180" w:after="283"/>
        <w:jc w:val="left"/>
        <w:rPr>
          <w:rFonts w:ascii="Times New Roman" w:hAnsi="Times New Roman"/>
          <w:b w:val="false"/>
          <w:i/>
          <w:color w:val="000000"/>
          <w:sz w:val="20"/>
        </w:rPr>
      </w:pPr>
      <w:r>
        <w:rPr>
          <w:rFonts w:ascii="Times New Roman" w:hAnsi="Times New Roman"/>
          <w:b w:val="false"/>
          <w:i/>
          <w:color w:val="000000"/>
          <w:sz w:val="20"/>
        </w:rPr>
        <w:t>Net Investment Income</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Net investment income increased by $4.0 million, or 31.0%, to $16.7 million during the three months ended September 30, 2023 as compared to the same period in 2022, as a result of the $9.2 million increase in total investment income, partially offset by the $5.2 million increase in total expenses, including base management fee waiver and income tax provision.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Net investment income increased by $14.1 million, or 41.4%, to $48.2 million during the nine months ended September 30, 2023 as compared to the same period in 2022, as a result of the $27.1 million increase in total investment income, partially offset by the $13.0 million increase in total expenses, including base management fee waiver and income tax provision.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b w:val="false"/>
          <w:i/>
          <w:color w:val="000000"/>
          <w:sz w:val="20"/>
        </w:rPr>
      </w:pPr>
      <w:r>
        <w:rPr>
          <w:rFonts w:ascii="Times New Roman" w:hAnsi="Times New Roman"/>
          <w:b w:val="false"/>
          <w:i/>
          <w:color w:val="000000"/>
          <w:sz w:val="20"/>
        </w:rPr>
        <w:t>Net Gain (Loss) on Investments</w:t>
      </w:r>
    </w:p>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For the three and nine months ended September 30, 2023, the total net realized gain/(loss) on investments, before income tax (provision)/benefit, was $9.8 million and $4.3 million, respectively. Income tax (provision) benefit from realized gains on investments was zero and $(1.6) million for the three and nine months ended September 30, 2023, respectively. We realize a gain/(loss) on our equity investments primarily when we either sell our equity investment or the underlying portfolio company is sold. Significant realized gains (losses) for the three and nine months ended September 30, 2023 are summarized below (dollars in millions):</w:t>
      </w:r>
    </w:p>
    <w:tbl>
      <w:tblPr>
        <w:tblW w:w="10205" w:type="dxa"/>
        <w:jc w:val="left"/>
        <w:tblInd w:w="0" w:type="dxa"/>
        <w:tblLayout w:type="fixed"/>
        <w:tblCellMar>
          <w:top w:w="28" w:type="dxa"/>
          <w:left w:w="28" w:type="dxa"/>
          <w:bottom w:w="28" w:type="dxa"/>
          <w:right w:w="28" w:type="dxa"/>
        </w:tblCellMar>
      </w:tblPr>
      <w:tblGrid>
        <w:gridCol w:w="4835"/>
        <w:gridCol w:w="146"/>
        <w:gridCol w:w="2307"/>
        <w:gridCol w:w="146"/>
        <w:gridCol w:w="331"/>
        <w:gridCol w:w="586"/>
        <w:gridCol w:w="246"/>
        <w:gridCol w:w="246"/>
        <w:gridCol w:w="331"/>
        <w:gridCol w:w="815"/>
        <w:gridCol w:w="216"/>
      </w:tblGrid>
      <w:tr>
        <w:trPr/>
        <w:tc>
          <w:tcPr>
            <w:tcW w:w="4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8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Ended September 30, 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1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w:t>
            </w:r>
          </w:p>
        </w:tc>
        <w:tc>
          <w:tcPr>
            <w:tcW w:w="216" w:type="dxa"/>
            <w:tcBorders/>
            <w:shd w:fill="FFFFFF" w:val="clear"/>
            <w:vAlign w:val="center"/>
          </w:tcPr>
          <w:p>
            <w:pPr>
              <w:pStyle w:val="TableContents"/>
              <w:bidi w:val="0"/>
              <w:spacing w:before="0" w:after="283"/>
              <w:jc w:val="center"/>
              <w:rPr/>
            </w:pPr>
            <w:r>
              <w:rPr/>
              <w:t> </w:t>
            </w:r>
          </w:p>
        </w:tc>
      </w:tr>
      <w:tr>
        <w:trPr/>
        <w:tc>
          <w:tcPr>
            <w:tcW w:w="4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Realization Event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The Tranzonic Companies</w:t>
            </w:r>
          </w:p>
        </w:tc>
        <w:tc>
          <w:tcPr>
            <w:tcW w:w="146"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Escrow distribution</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16" w:type="dxa"/>
            <w:tcBorders/>
            <w:shd w:fill="CFF0FC"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Rhino Assembly Company, LLC</w:t>
            </w:r>
          </w:p>
        </w:tc>
        <w:tc>
          <w:tcPr>
            <w:tcW w:w="146"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Exit of portfolio company</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216" w:type="dxa"/>
            <w:tcBorders/>
            <w:shd w:fill="FFFFFF" w:val="clear"/>
            <w:vAlign w:val="center"/>
          </w:tcPr>
          <w:p>
            <w:pPr>
              <w:pStyle w:val="TableContents"/>
              <w:bidi w:val="0"/>
              <w:spacing w:before="0" w:after="283"/>
              <w:jc w:val="left"/>
              <w:rPr/>
            </w:pPr>
            <w:r>
              <w:rPr/>
              <w:t> </w:t>
            </w:r>
          </w:p>
        </w:tc>
      </w:tr>
      <w:tr>
        <w:trPr/>
        <w:tc>
          <w:tcPr>
            <w:tcW w:w="483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ECM Industries, LLC</w:t>
            </w:r>
          </w:p>
        </w:tc>
        <w:tc>
          <w:tcPr>
            <w:tcW w:w="146"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Exit of portfolio company</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216" w:type="dxa"/>
            <w:tcBorders/>
            <w:shd w:fill="CFF0FC"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Frontline Food Services, LLC </w:t>
              <w:br/>
              <w:t>(f/k/a Accent Food Services, LLC)</w:t>
            </w:r>
          </w:p>
        </w:tc>
        <w:tc>
          <w:tcPr>
            <w:tcW w:w="146"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Escrow distribution</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w:t>
            </w:r>
          </w:p>
        </w:tc>
        <w:tc>
          <w:tcPr>
            <w:tcW w:w="216" w:type="dxa"/>
            <w:tcBorders/>
            <w:shd w:fill="FFFFFF" w:val="clear"/>
            <w:vAlign w:val="center"/>
          </w:tcPr>
          <w:p>
            <w:pPr>
              <w:pStyle w:val="TableContents"/>
              <w:bidi w:val="0"/>
              <w:spacing w:before="0" w:after="283"/>
              <w:jc w:val="left"/>
              <w:rPr/>
            </w:pPr>
            <w:r>
              <w:rPr/>
              <w:t> </w:t>
            </w:r>
          </w:p>
        </w:tc>
      </w:tr>
      <w:tr>
        <w:trPr/>
        <w:tc>
          <w:tcPr>
            <w:tcW w:w="483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EBL, LLC (EbLens)</w:t>
            </w:r>
          </w:p>
        </w:tc>
        <w:tc>
          <w:tcPr>
            <w:tcW w:w="146"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Exit of portfolio company</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83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FAR Research Inc.</w:t>
            </w:r>
          </w:p>
        </w:tc>
        <w:tc>
          <w:tcPr>
            <w:tcW w:w="146"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Escrow distribution</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16" w:type="dxa"/>
            <w:tcBorders/>
            <w:shd w:fill="FFFFFF" w:val="clear"/>
            <w:vAlign w:val="center"/>
          </w:tcPr>
          <w:p>
            <w:pPr>
              <w:pStyle w:val="TableContents"/>
              <w:bidi w:val="0"/>
              <w:spacing w:before="0" w:after="283"/>
              <w:jc w:val="left"/>
              <w:rPr/>
            </w:pPr>
            <w:r>
              <w:rPr/>
              <w:t> </w:t>
            </w:r>
          </w:p>
        </w:tc>
      </w:tr>
      <w:tr>
        <w:trPr/>
        <w:tc>
          <w:tcPr>
            <w:tcW w:w="483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Ipro Tech, LLC</w:t>
            </w:r>
          </w:p>
        </w:tc>
        <w:tc>
          <w:tcPr>
            <w:tcW w:w="146"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Exit of portfolio company</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16" w:type="dxa"/>
            <w:tcBorders/>
            <w:shd w:fill="CFF0FC"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Hallmark Health Care Solutions, Inc.</w:t>
            </w:r>
          </w:p>
        </w:tc>
        <w:tc>
          <w:tcPr>
            <w:tcW w:w="146"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Partial sale of equity investment</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w:t>
            </w:r>
          </w:p>
        </w:tc>
        <w:tc>
          <w:tcPr>
            <w:tcW w:w="216" w:type="dxa"/>
            <w:tcBorders/>
            <w:shd w:fill="FFFFFF" w:val="clear"/>
            <w:vAlign w:val="center"/>
          </w:tcPr>
          <w:p>
            <w:pPr>
              <w:pStyle w:val="TableContents"/>
              <w:bidi w:val="0"/>
              <w:spacing w:before="0" w:after="283"/>
              <w:jc w:val="left"/>
              <w:rPr/>
            </w:pPr>
            <w:r>
              <w:rPr/>
              <w:t> </w:t>
            </w:r>
          </w:p>
        </w:tc>
      </w:tr>
      <w:tr>
        <w:trPr/>
        <w:tc>
          <w:tcPr>
            <w:tcW w:w="483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on investments</w:t>
            </w:r>
          </w:p>
        </w:tc>
        <w:tc>
          <w:tcPr>
            <w:tcW w:w="146"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w:t>
            </w:r>
          </w:p>
        </w:tc>
        <w:tc>
          <w:tcPr>
            <w:tcW w:w="2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w:t>
            </w:r>
          </w:p>
        </w:tc>
        <w:tc>
          <w:tcPr>
            <w:tcW w:w="21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 tax (provision) benefit from realized gains on investments</w:t>
            </w:r>
          </w:p>
        </w:tc>
        <w:tc>
          <w:tcPr>
            <w:tcW w:w="146"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83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net of income tax provision, on investments</w:t>
            </w:r>
          </w:p>
        </w:tc>
        <w:tc>
          <w:tcPr>
            <w:tcW w:w="146"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w:t>
            </w:r>
          </w:p>
        </w:tc>
        <w:tc>
          <w:tcPr>
            <w:tcW w:w="9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r>
    </w:tbl>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For the three and nine months ended September 30, 2022, the total net realized gain/(loss) on investments, before income tax (provision)/benefit, was $40.0 million and $65.2 million, respectively. Income tax (provision) benefit from realized gains on investments was zero and $(0.1) million for the three and nine months ended September 30, 2022, respectively. We realize a gain/(loss) on our equity investments primarily when we either sell our equity investment or the underlying portfolio company is sold. Significant realized gains (losses) for the three and nine months ended September 30, 2022 are summarized below (dollars in millions):</w:t>
      </w:r>
    </w:p>
    <w:tbl>
      <w:tblPr>
        <w:tblW w:w="10205" w:type="dxa"/>
        <w:jc w:val="left"/>
        <w:tblInd w:w="0" w:type="dxa"/>
        <w:tblLayout w:type="fixed"/>
        <w:tblCellMar>
          <w:top w:w="28" w:type="dxa"/>
          <w:left w:w="28" w:type="dxa"/>
          <w:bottom w:w="28" w:type="dxa"/>
          <w:right w:w="28" w:type="dxa"/>
        </w:tblCellMar>
      </w:tblPr>
      <w:tblGrid>
        <w:gridCol w:w="4834"/>
        <w:gridCol w:w="146"/>
        <w:gridCol w:w="2306"/>
        <w:gridCol w:w="146"/>
        <w:gridCol w:w="324"/>
        <w:gridCol w:w="697"/>
        <w:gridCol w:w="274"/>
        <w:gridCol w:w="241"/>
        <w:gridCol w:w="324"/>
        <w:gridCol w:w="697"/>
        <w:gridCol w:w="216"/>
      </w:tblGrid>
      <w:tr>
        <w:trPr/>
        <w:tc>
          <w:tcPr>
            <w:tcW w:w="4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8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Ended September 30, 2022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w:t>
            </w:r>
          </w:p>
        </w:tc>
        <w:tc>
          <w:tcPr>
            <w:tcW w:w="274"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w:t>
            </w:r>
          </w:p>
        </w:tc>
        <w:tc>
          <w:tcPr>
            <w:tcW w:w="216" w:type="dxa"/>
            <w:tcBorders/>
            <w:shd w:fill="FFFFFF" w:val="clear"/>
            <w:vAlign w:val="center"/>
          </w:tcPr>
          <w:p>
            <w:pPr>
              <w:pStyle w:val="TableContents"/>
              <w:bidi w:val="0"/>
              <w:spacing w:before="0" w:after="283"/>
              <w:jc w:val="center"/>
              <w:rPr/>
            </w:pPr>
            <w:r>
              <w:rPr/>
              <w:t> </w:t>
            </w:r>
          </w:p>
        </w:tc>
      </w:tr>
      <w:tr>
        <w:trPr/>
        <w:tc>
          <w:tcPr>
            <w:tcW w:w="4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Realization Event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Frontline Food Services, LLC </w:t>
              <w:br/>
              <w:t>(f/k/a Accent Food Services, LLC)</w:t>
            </w:r>
          </w:p>
        </w:tc>
        <w:tc>
          <w:tcPr>
            <w:tcW w:w="146" w:type="dxa"/>
            <w:tcBorders/>
            <w:shd w:fill="CCEEFF" w:val="clear"/>
            <w:vAlign w:val="center"/>
          </w:tcPr>
          <w:p>
            <w:pPr>
              <w:pStyle w:val="TableContents"/>
              <w:bidi w:val="0"/>
              <w:spacing w:before="0" w:after="283"/>
              <w:jc w:val="left"/>
              <w:rPr/>
            </w:pPr>
            <w:r>
              <w:rPr/>
              <w:t> </w:t>
            </w:r>
          </w:p>
        </w:tc>
        <w:tc>
          <w:tcPr>
            <w:tcW w:w="230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Escrow distribution</w:t>
            </w:r>
          </w:p>
        </w:tc>
        <w:tc>
          <w:tcPr>
            <w:tcW w:w="14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7" w:type="dxa"/>
            <w:tcBorders/>
            <w:shd w:fill="CCEEFF" w:val="clear"/>
            <w:vAlign w:val="center"/>
          </w:tcPr>
          <w:p>
            <w:pPr>
              <w:pStyle w:val="TableContents"/>
              <w:bidi w:val="0"/>
              <w:spacing w:before="0" w:after="283"/>
              <w:jc w:val="right"/>
              <w:rPr>
                <w:color w:val="000000"/>
              </w:rPr>
            </w:pPr>
            <w:r>
              <w:rPr>
                <w:color w:val="000000"/>
              </w:rPr>
              <w:t>—</w:t>
            </w:r>
          </w:p>
        </w:tc>
        <w:tc>
          <w:tcPr>
            <w:tcW w:w="274"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16" w:type="dxa"/>
            <w:tcBorders/>
            <w:shd w:fill="CCEEFF" w:val="clear"/>
            <w:vAlign w:val="center"/>
          </w:tcPr>
          <w:p>
            <w:pPr>
              <w:pStyle w:val="TableContents"/>
              <w:bidi w:val="0"/>
              <w:spacing w:before="0" w:after="283"/>
              <w:jc w:val="left"/>
              <w:rPr/>
            </w:pPr>
            <w:r>
              <w:rPr/>
              <w:t> </w:t>
            </w:r>
          </w:p>
        </w:tc>
      </w:tr>
      <w:tr>
        <w:trPr/>
        <w:tc>
          <w:tcPr>
            <w:tcW w:w="483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Revenue Management Solutions, LLC</w:t>
            </w:r>
          </w:p>
        </w:tc>
        <w:tc>
          <w:tcPr>
            <w:tcW w:w="146" w:type="dxa"/>
            <w:tcBorders/>
            <w:shd w:fill="FFFFFF" w:val="clear"/>
            <w:vAlign w:val="center"/>
          </w:tcPr>
          <w:p>
            <w:pPr>
              <w:pStyle w:val="TableContents"/>
              <w:bidi w:val="0"/>
              <w:spacing w:before="0" w:after="283"/>
              <w:jc w:val="left"/>
              <w:rPr/>
            </w:pPr>
            <w:r>
              <w:rPr/>
              <w:t> </w:t>
            </w:r>
          </w:p>
        </w:tc>
        <w:tc>
          <w:tcPr>
            <w:tcW w:w="23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Exit of portfolio company</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16" w:type="dxa"/>
            <w:tcBorders/>
            <w:shd w:fill="FFFFFF" w:val="clear"/>
            <w:vAlign w:val="center"/>
          </w:tcPr>
          <w:p>
            <w:pPr>
              <w:pStyle w:val="TableContents"/>
              <w:bidi w:val="0"/>
              <w:spacing w:before="0" w:after="283"/>
              <w:jc w:val="left"/>
              <w:rPr/>
            </w:pPr>
            <w:r>
              <w:rPr/>
              <w:t> </w:t>
            </w:r>
          </w:p>
        </w:tc>
      </w:tr>
      <w:tr>
        <w:trPr/>
        <w:tc>
          <w:tcPr>
            <w:tcW w:w="483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SpendMend LLC</w:t>
            </w:r>
          </w:p>
        </w:tc>
        <w:tc>
          <w:tcPr>
            <w:tcW w:w="146" w:type="dxa"/>
            <w:tcBorders/>
            <w:shd w:fill="CCEEFF" w:val="clear"/>
            <w:vAlign w:val="center"/>
          </w:tcPr>
          <w:p>
            <w:pPr>
              <w:pStyle w:val="TableContents"/>
              <w:bidi w:val="0"/>
              <w:spacing w:before="0" w:after="283"/>
              <w:jc w:val="left"/>
              <w:rPr/>
            </w:pPr>
            <w:r>
              <w:rPr/>
              <w:t> </w:t>
            </w:r>
          </w:p>
        </w:tc>
        <w:tc>
          <w:tcPr>
            <w:tcW w:w="230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Escrow distribution</w:t>
            </w:r>
          </w:p>
        </w:tc>
        <w:tc>
          <w:tcPr>
            <w:tcW w:w="14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color w:val="000000"/>
              </w:rPr>
            </w:pPr>
            <w:r>
              <w:rPr>
                <w:color w:val="000000"/>
              </w:rPr>
              <w:t>—</w:t>
            </w:r>
          </w:p>
        </w:tc>
        <w:tc>
          <w:tcPr>
            <w:tcW w:w="274"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w:t>
            </w:r>
          </w:p>
        </w:tc>
        <w:tc>
          <w:tcPr>
            <w:tcW w:w="216" w:type="dxa"/>
            <w:tcBorders/>
            <w:shd w:fill="CCEEFF" w:val="clear"/>
            <w:vAlign w:val="center"/>
          </w:tcPr>
          <w:p>
            <w:pPr>
              <w:pStyle w:val="TableContents"/>
              <w:bidi w:val="0"/>
              <w:spacing w:before="0" w:after="283"/>
              <w:jc w:val="left"/>
              <w:rPr/>
            </w:pPr>
            <w:r>
              <w:rPr/>
              <w:t> </w:t>
            </w:r>
          </w:p>
        </w:tc>
      </w:tr>
      <w:tr>
        <w:trPr/>
        <w:tc>
          <w:tcPr>
            <w:tcW w:w="483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FDS Avionics Corp.</w:t>
            </w:r>
          </w:p>
        </w:tc>
        <w:tc>
          <w:tcPr>
            <w:tcW w:w="146" w:type="dxa"/>
            <w:tcBorders/>
            <w:shd w:fill="FFFFFF" w:val="clear"/>
            <w:vAlign w:val="center"/>
          </w:tcPr>
          <w:p>
            <w:pPr>
              <w:pStyle w:val="TableContents"/>
              <w:bidi w:val="0"/>
              <w:spacing w:before="0" w:after="283"/>
              <w:jc w:val="left"/>
              <w:rPr/>
            </w:pPr>
            <w:r>
              <w:rPr/>
              <w:t> </w:t>
            </w:r>
          </w:p>
        </w:tc>
        <w:tc>
          <w:tcPr>
            <w:tcW w:w="23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Escrow liability release</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w:t>
            </w:r>
          </w:p>
        </w:tc>
        <w:tc>
          <w:tcPr>
            <w:tcW w:w="274"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16" w:type="dxa"/>
            <w:tcBorders/>
            <w:shd w:fill="FFFFFF" w:val="clear"/>
            <w:vAlign w:val="center"/>
          </w:tcPr>
          <w:p>
            <w:pPr>
              <w:pStyle w:val="TableContents"/>
              <w:bidi w:val="0"/>
              <w:spacing w:before="0" w:after="283"/>
              <w:jc w:val="left"/>
              <w:rPr/>
            </w:pPr>
            <w:r>
              <w:rPr/>
              <w:t> </w:t>
            </w:r>
          </w:p>
        </w:tc>
      </w:tr>
      <w:tr>
        <w:trPr/>
        <w:tc>
          <w:tcPr>
            <w:tcW w:w="483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Mesa Line Services, LLC</w:t>
            </w:r>
          </w:p>
        </w:tc>
        <w:tc>
          <w:tcPr>
            <w:tcW w:w="146" w:type="dxa"/>
            <w:tcBorders/>
            <w:shd w:fill="CCEEFF" w:val="clear"/>
            <w:vAlign w:val="center"/>
          </w:tcPr>
          <w:p>
            <w:pPr>
              <w:pStyle w:val="TableContents"/>
              <w:bidi w:val="0"/>
              <w:spacing w:before="0" w:after="283"/>
              <w:jc w:val="left"/>
              <w:rPr/>
            </w:pPr>
            <w:r>
              <w:rPr/>
              <w:t> </w:t>
            </w:r>
          </w:p>
        </w:tc>
        <w:tc>
          <w:tcPr>
            <w:tcW w:w="230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Sale of portfolio company</w:t>
            </w:r>
          </w:p>
        </w:tc>
        <w:tc>
          <w:tcPr>
            <w:tcW w:w="14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7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1"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16" w:type="dxa"/>
            <w:tcBorders/>
            <w:shd w:fill="CCEEFF" w:val="clear"/>
            <w:vAlign w:val="center"/>
          </w:tcPr>
          <w:p>
            <w:pPr>
              <w:pStyle w:val="TableContents"/>
              <w:bidi w:val="0"/>
              <w:spacing w:before="0" w:after="283"/>
              <w:jc w:val="left"/>
              <w:rPr/>
            </w:pPr>
            <w:r>
              <w:rPr/>
              <w:t> </w:t>
            </w:r>
          </w:p>
        </w:tc>
      </w:tr>
      <w:tr>
        <w:trPr/>
        <w:tc>
          <w:tcPr>
            <w:tcW w:w="483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Mirage Trailers LLC</w:t>
            </w:r>
          </w:p>
        </w:tc>
        <w:tc>
          <w:tcPr>
            <w:tcW w:w="146" w:type="dxa"/>
            <w:tcBorders/>
            <w:shd w:fill="FFFFFF" w:val="clear"/>
            <w:vAlign w:val="center"/>
          </w:tcPr>
          <w:p>
            <w:pPr>
              <w:pStyle w:val="TableContents"/>
              <w:bidi w:val="0"/>
              <w:spacing w:before="0" w:after="283"/>
              <w:jc w:val="left"/>
              <w:rPr/>
            </w:pPr>
            <w:r>
              <w:rPr/>
              <w:t> </w:t>
            </w:r>
          </w:p>
        </w:tc>
        <w:tc>
          <w:tcPr>
            <w:tcW w:w="23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Escrow distribution</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216" w:type="dxa"/>
            <w:tcBorders/>
            <w:shd w:fill="FFFFFF" w:val="clear"/>
            <w:vAlign w:val="center"/>
          </w:tcPr>
          <w:p>
            <w:pPr>
              <w:pStyle w:val="TableContents"/>
              <w:bidi w:val="0"/>
              <w:spacing w:before="0" w:after="283"/>
              <w:jc w:val="left"/>
              <w:rPr/>
            </w:pPr>
            <w:r>
              <w:rPr/>
              <w:t> </w:t>
            </w:r>
          </w:p>
        </w:tc>
      </w:tr>
      <w:tr>
        <w:trPr/>
        <w:tc>
          <w:tcPr>
            <w:tcW w:w="483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TransGo, LLC</w:t>
            </w:r>
          </w:p>
        </w:tc>
        <w:tc>
          <w:tcPr>
            <w:tcW w:w="146" w:type="dxa"/>
            <w:tcBorders/>
            <w:shd w:fill="CCEEFF" w:val="clear"/>
            <w:vAlign w:val="center"/>
          </w:tcPr>
          <w:p>
            <w:pPr>
              <w:pStyle w:val="TableContents"/>
              <w:bidi w:val="0"/>
              <w:spacing w:before="0" w:after="283"/>
              <w:jc w:val="left"/>
              <w:rPr/>
            </w:pPr>
            <w:r>
              <w:rPr/>
              <w:t> </w:t>
            </w:r>
          </w:p>
        </w:tc>
        <w:tc>
          <w:tcPr>
            <w:tcW w:w="230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Sale of portfolio company</w:t>
            </w:r>
          </w:p>
        </w:tc>
        <w:tc>
          <w:tcPr>
            <w:tcW w:w="14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color w:val="000000"/>
              </w:rPr>
            </w:pPr>
            <w:r>
              <w:rPr>
                <w:color w:val="000000"/>
              </w:rPr>
              <w:t>—</w:t>
            </w:r>
          </w:p>
        </w:tc>
        <w:tc>
          <w:tcPr>
            <w:tcW w:w="274"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w:t>
            </w:r>
          </w:p>
        </w:tc>
        <w:tc>
          <w:tcPr>
            <w:tcW w:w="216" w:type="dxa"/>
            <w:tcBorders/>
            <w:shd w:fill="CCEEFF" w:val="clear"/>
            <w:vAlign w:val="center"/>
          </w:tcPr>
          <w:p>
            <w:pPr>
              <w:pStyle w:val="TableContents"/>
              <w:bidi w:val="0"/>
              <w:spacing w:before="0" w:after="283"/>
              <w:jc w:val="left"/>
              <w:rPr/>
            </w:pPr>
            <w:r>
              <w:rPr/>
              <w:t> </w:t>
            </w:r>
          </w:p>
        </w:tc>
      </w:tr>
      <w:tr>
        <w:trPr/>
        <w:tc>
          <w:tcPr>
            <w:tcW w:w="483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AVC Investors, LLC (dba Auveco)</w:t>
            </w:r>
          </w:p>
        </w:tc>
        <w:tc>
          <w:tcPr>
            <w:tcW w:w="146" w:type="dxa"/>
            <w:tcBorders/>
            <w:shd w:fill="FFFFFF" w:val="clear"/>
            <w:vAlign w:val="center"/>
          </w:tcPr>
          <w:p>
            <w:pPr>
              <w:pStyle w:val="TableContents"/>
              <w:bidi w:val="0"/>
              <w:spacing w:before="0" w:after="283"/>
              <w:jc w:val="left"/>
              <w:rPr/>
            </w:pPr>
            <w:r>
              <w:rPr/>
              <w:t> </w:t>
            </w:r>
          </w:p>
        </w:tc>
        <w:tc>
          <w:tcPr>
            <w:tcW w:w="23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Sale of portfolio company</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0.8</w:t>
            </w:r>
          </w:p>
        </w:tc>
        <w:tc>
          <w:tcPr>
            <w:tcW w:w="216" w:type="dxa"/>
            <w:tcBorders/>
            <w:shd w:fill="FFFFFF" w:val="clear"/>
            <w:vAlign w:val="center"/>
          </w:tcPr>
          <w:p>
            <w:pPr>
              <w:pStyle w:val="TableContents"/>
              <w:bidi w:val="0"/>
              <w:spacing w:before="0" w:after="283"/>
              <w:jc w:val="left"/>
              <w:rPr/>
            </w:pPr>
            <w:r>
              <w:rPr/>
              <w:t> </w:t>
            </w:r>
          </w:p>
        </w:tc>
      </w:tr>
      <w:tr>
        <w:trPr/>
        <w:tc>
          <w:tcPr>
            <w:tcW w:w="483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CRS Solutions Holdings, LLC (dba CRS Texas)</w:t>
            </w:r>
          </w:p>
        </w:tc>
        <w:tc>
          <w:tcPr>
            <w:tcW w:w="146" w:type="dxa"/>
            <w:tcBorders/>
            <w:shd w:fill="CCEEFF" w:val="clear"/>
            <w:vAlign w:val="center"/>
          </w:tcPr>
          <w:p>
            <w:pPr>
              <w:pStyle w:val="TableContents"/>
              <w:bidi w:val="0"/>
              <w:spacing w:before="0" w:after="283"/>
              <w:jc w:val="left"/>
              <w:rPr/>
            </w:pPr>
            <w:r>
              <w:rPr/>
              <w:t> </w:t>
            </w:r>
          </w:p>
        </w:tc>
        <w:tc>
          <w:tcPr>
            <w:tcW w:w="230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Sale of portfolio company</w:t>
            </w:r>
          </w:p>
        </w:tc>
        <w:tc>
          <w:tcPr>
            <w:tcW w:w="14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color w:val="000000"/>
              </w:rPr>
            </w:pPr>
            <w:r>
              <w:rPr>
                <w:color w:val="000000"/>
              </w:rPr>
              <w:t>—</w:t>
            </w:r>
          </w:p>
        </w:tc>
        <w:tc>
          <w:tcPr>
            <w:tcW w:w="274"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16" w:type="dxa"/>
            <w:tcBorders/>
            <w:shd w:fill="CCEEFF" w:val="clear"/>
            <w:vAlign w:val="center"/>
          </w:tcPr>
          <w:p>
            <w:pPr>
              <w:pStyle w:val="TableContents"/>
              <w:bidi w:val="0"/>
              <w:spacing w:before="0" w:after="283"/>
              <w:jc w:val="left"/>
              <w:rPr/>
            </w:pPr>
            <w:r>
              <w:rPr/>
              <w:t> </w:t>
            </w:r>
          </w:p>
        </w:tc>
      </w:tr>
      <w:tr>
        <w:trPr/>
        <w:tc>
          <w:tcPr>
            <w:tcW w:w="483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Pinnergy, Ltd.</w:t>
            </w:r>
          </w:p>
        </w:tc>
        <w:tc>
          <w:tcPr>
            <w:tcW w:w="146" w:type="dxa"/>
            <w:tcBorders/>
            <w:shd w:fill="FFFFFF" w:val="clear"/>
            <w:vAlign w:val="center"/>
          </w:tcPr>
          <w:p>
            <w:pPr>
              <w:pStyle w:val="TableContents"/>
              <w:bidi w:val="0"/>
              <w:spacing w:before="0" w:after="283"/>
              <w:jc w:val="left"/>
              <w:rPr/>
            </w:pPr>
            <w:r>
              <w:rPr/>
              <w:t> </w:t>
            </w:r>
          </w:p>
        </w:tc>
        <w:tc>
          <w:tcPr>
            <w:tcW w:w="23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Sale of portfolio company</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w:t>
            </w:r>
          </w:p>
        </w:tc>
        <w:tc>
          <w:tcPr>
            <w:tcW w:w="216" w:type="dxa"/>
            <w:tcBorders/>
            <w:shd w:fill="FFFFFF" w:val="clear"/>
            <w:vAlign w:val="center"/>
          </w:tcPr>
          <w:p>
            <w:pPr>
              <w:pStyle w:val="TableContents"/>
              <w:bidi w:val="0"/>
              <w:spacing w:before="0" w:after="283"/>
              <w:jc w:val="left"/>
              <w:rPr/>
            </w:pPr>
            <w:r>
              <w:rPr/>
              <w:t> </w:t>
            </w:r>
          </w:p>
        </w:tc>
      </w:tr>
      <w:tr>
        <w:trPr/>
        <w:tc>
          <w:tcPr>
            <w:tcW w:w="483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Palisade Company, LLC</w:t>
            </w:r>
          </w:p>
        </w:tc>
        <w:tc>
          <w:tcPr>
            <w:tcW w:w="146" w:type="dxa"/>
            <w:tcBorders/>
            <w:shd w:fill="CCEEFF" w:val="clear"/>
            <w:vAlign w:val="center"/>
          </w:tcPr>
          <w:p>
            <w:pPr>
              <w:pStyle w:val="TableContents"/>
              <w:bidi w:val="0"/>
              <w:spacing w:before="0" w:after="283"/>
              <w:jc w:val="left"/>
              <w:rPr/>
            </w:pPr>
            <w:r>
              <w:rPr/>
              <w:t> </w:t>
            </w:r>
          </w:p>
        </w:tc>
        <w:tc>
          <w:tcPr>
            <w:tcW w:w="230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Exit of portfolio company</w:t>
            </w:r>
          </w:p>
        </w:tc>
        <w:tc>
          <w:tcPr>
            <w:tcW w:w="14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w:t>
            </w:r>
          </w:p>
        </w:tc>
        <w:tc>
          <w:tcPr>
            <w:tcW w:w="274"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w:t>
            </w:r>
          </w:p>
        </w:tc>
        <w:tc>
          <w:tcPr>
            <w:tcW w:w="216" w:type="dxa"/>
            <w:tcBorders/>
            <w:shd w:fill="CCEEFF" w:val="clear"/>
            <w:vAlign w:val="center"/>
          </w:tcPr>
          <w:p>
            <w:pPr>
              <w:pStyle w:val="TableContents"/>
              <w:bidi w:val="0"/>
              <w:spacing w:before="0" w:after="283"/>
              <w:jc w:val="left"/>
              <w:rPr/>
            </w:pPr>
            <w:r>
              <w:rPr/>
              <w:t> </w:t>
            </w:r>
          </w:p>
        </w:tc>
      </w:tr>
      <w:tr>
        <w:trPr/>
        <w:tc>
          <w:tcPr>
            <w:tcW w:w="483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The Tranzonic Companies</w:t>
            </w:r>
          </w:p>
        </w:tc>
        <w:tc>
          <w:tcPr>
            <w:tcW w:w="146" w:type="dxa"/>
            <w:tcBorders/>
            <w:shd w:fill="FFFFFF" w:val="clear"/>
            <w:vAlign w:val="center"/>
          </w:tcPr>
          <w:p>
            <w:pPr>
              <w:pStyle w:val="TableContents"/>
              <w:bidi w:val="0"/>
              <w:spacing w:before="0" w:after="283"/>
              <w:jc w:val="left"/>
              <w:rPr/>
            </w:pPr>
            <w:r>
              <w:rPr/>
              <w:t> </w:t>
            </w:r>
          </w:p>
        </w:tc>
        <w:tc>
          <w:tcPr>
            <w:tcW w:w="23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Sale of portfolio company</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274"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216" w:type="dxa"/>
            <w:tcBorders/>
            <w:shd w:fill="FFFFFF" w:val="clear"/>
            <w:vAlign w:val="center"/>
          </w:tcPr>
          <w:p>
            <w:pPr>
              <w:pStyle w:val="TableContents"/>
              <w:bidi w:val="0"/>
              <w:spacing w:before="0" w:after="283"/>
              <w:jc w:val="left"/>
              <w:rPr/>
            </w:pPr>
            <w:r>
              <w:rPr/>
              <w:t> </w:t>
            </w:r>
          </w:p>
        </w:tc>
      </w:tr>
      <w:tr>
        <w:trPr/>
        <w:tc>
          <w:tcPr>
            <w:tcW w:w="483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Bandon Fitness (Texas), Inc.</w:t>
            </w:r>
          </w:p>
        </w:tc>
        <w:tc>
          <w:tcPr>
            <w:tcW w:w="146" w:type="dxa"/>
            <w:tcBorders/>
            <w:shd w:fill="CCEEFF" w:val="clear"/>
            <w:vAlign w:val="center"/>
          </w:tcPr>
          <w:p>
            <w:pPr>
              <w:pStyle w:val="TableContents"/>
              <w:bidi w:val="0"/>
              <w:spacing w:before="0" w:after="283"/>
              <w:jc w:val="left"/>
              <w:rPr/>
            </w:pPr>
            <w:r>
              <w:rPr/>
              <w:t> </w:t>
            </w:r>
          </w:p>
        </w:tc>
        <w:tc>
          <w:tcPr>
            <w:tcW w:w="230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Exit of portfolio company</w:t>
            </w:r>
          </w:p>
        </w:tc>
        <w:tc>
          <w:tcPr>
            <w:tcW w:w="14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w:t>
            </w:r>
          </w:p>
        </w:tc>
        <w:tc>
          <w:tcPr>
            <w:tcW w:w="274"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w:t>
            </w:r>
          </w:p>
        </w:tc>
        <w:tc>
          <w:tcPr>
            <w:tcW w:w="216" w:type="dxa"/>
            <w:tcBorders/>
            <w:shd w:fill="CCEEFF" w:val="clear"/>
            <w:vAlign w:val="center"/>
          </w:tcPr>
          <w:p>
            <w:pPr>
              <w:pStyle w:val="TableContents"/>
              <w:bidi w:val="0"/>
              <w:spacing w:before="0" w:after="283"/>
              <w:jc w:val="left"/>
              <w:rPr/>
            </w:pPr>
            <w:r>
              <w:rPr/>
              <w:t> </w:t>
            </w:r>
          </w:p>
        </w:tc>
      </w:tr>
      <w:tr>
        <w:trPr/>
        <w:tc>
          <w:tcPr>
            <w:tcW w:w="483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SES Investors, LLC (dba SES Foam)</w:t>
            </w:r>
          </w:p>
        </w:tc>
        <w:tc>
          <w:tcPr>
            <w:tcW w:w="146" w:type="dxa"/>
            <w:tcBorders/>
            <w:shd w:fill="FFFFFF" w:val="clear"/>
            <w:vAlign w:val="center"/>
          </w:tcPr>
          <w:p>
            <w:pPr>
              <w:pStyle w:val="TableContents"/>
              <w:bidi w:val="0"/>
              <w:spacing w:before="0" w:after="283"/>
              <w:jc w:val="left"/>
              <w:rPr/>
            </w:pPr>
            <w:r>
              <w:rPr/>
              <w:t> </w:t>
            </w:r>
          </w:p>
        </w:tc>
        <w:tc>
          <w:tcPr>
            <w:tcW w:w="23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Sale of portfolio company</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w:t>
            </w:r>
          </w:p>
        </w:tc>
        <w:tc>
          <w:tcPr>
            <w:tcW w:w="274"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w:t>
            </w:r>
          </w:p>
        </w:tc>
        <w:tc>
          <w:tcPr>
            <w:tcW w:w="216" w:type="dxa"/>
            <w:tcBorders/>
            <w:shd w:fill="FFFFFF" w:val="clear"/>
            <w:vAlign w:val="center"/>
          </w:tcPr>
          <w:p>
            <w:pPr>
              <w:pStyle w:val="TableContents"/>
              <w:bidi w:val="0"/>
              <w:spacing w:before="0" w:after="283"/>
              <w:jc w:val="left"/>
              <w:rPr/>
            </w:pPr>
            <w:r>
              <w:rPr/>
              <w:t> </w:t>
            </w:r>
          </w:p>
        </w:tc>
      </w:tr>
      <w:tr>
        <w:trPr/>
        <w:tc>
          <w:tcPr>
            <w:tcW w:w="483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Pfanstiehl, Inc.</w:t>
            </w:r>
          </w:p>
        </w:tc>
        <w:tc>
          <w:tcPr>
            <w:tcW w:w="146" w:type="dxa"/>
            <w:tcBorders/>
            <w:shd w:fill="CCEEFF" w:val="clear"/>
            <w:vAlign w:val="center"/>
          </w:tcPr>
          <w:p>
            <w:pPr>
              <w:pStyle w:val="TableContents"/>
              <w:bidi w:val="0"/>
              <w:spacing w:before="0" w:after="283"/>
              <w:jc w:val="left"/>
              <w:rPr/>
            </w:pPr>
            <w:r>
              <w:rPr/>
              <w:t> </w:t>
            </w:r>
          </w:p>
        </w:tc>
        <w:tc>
          <w:tcPr>
            <w:tcW w:w="230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Partial sale of equity investment</w:t>
            </w:r>
          </w:p>
        </w:tc>
        <w:tc>
          <w:tcPr>
            <w:tcW w:w="14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24.3</w:t>
            </w:r>
          </w:p>
        </w:tc>
        <w:tc>
          <w:tcPr>
            <w:tcW w:w="274"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24.3</w:t>
            </w:r>
          </w:p>
        </w:tc>
        <w:tc>
          <w:tcPr>
            <w:tcW w:w="216" w:type="dxa"/>
            <w:tcBorders/>
            <w:shd w:fill="CCEEFF" w:val="clear"/>
            <w:vAlign w:val="center"/>
          </w:tcPr>
          <w:p>
            <w:pPr>
              <w:pStyle w:val="TableContents"/>
              <w:bidi w:val="0"/>
              <w:spacing w:before="0" w:after="283"/>
              <w:jc w:val="left"/>
              <w:rPr/>
            </w:pPr>
            <w:r>
              <w:rPr/>
              <w:t> </w:t>
            </w:r>
          </w:p>
        </w:tc>
      </w:tr>
      <w:tr>
        <w:trPr/>
        <w:tc>
          <w:tcPr>
            <w:tcW w:w="483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Pool &amp; Electrical Products, LLC</w:t>
            </w:r>
          </w:p>
        </w:tc>
        <w:tc>
          <w:tcPr>
            <w:tcW w:w="146" w:type="dxa"/>
            <w:tcBorders/>
            <w:shd w:fill="FFFFFF" w:val="clear"/>
            <w:vAlign w:val="center"/>
          </w:tcPr>
          <w:p>
            <w:pPr>
              <w:pStyle w:val="TableContents"/>
              <w:bidi w:val="0"/>
              <w:spacing w:before="0" w:after="283"/>
              <w:jc w:val="left"/>
              <w:rPr/>
            </w:pPr>
            <w:r>
              <w:rPr/>
              <w:t> </w:t>
            </w:r>
          </w:p>
        </w:tc>
        <w:tc>
          <w:tcPr>
            <w:tcW w:w="23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Escrow distribution</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74"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16" w:type="dxa"/>
            <w:tcBorders/>
            <w:shd w:fill="FFFFFF" w:val="clear"/>
            <w:vAlign w:val="center"/>
          </w:tcPr>
          <w:p>
            <w:pPr>
              <w:pStyle w:val="TableContents"/>
              <w:bidi w:val="0"/>
              <w:spacing w:before="0" w:after="283"/>
              <w:jc w:val="left"/>
              <w:rPr/>
            </w:pPr>
            <w:r>
              <w:rPr/>
              <w:t> </w:t>
            </w:r>
          </w:p>
        </w:tc>
      </w:tr>
      <w:tr>
        <w:trPr/>
        <w:tc>
          <w:tcPr>
            <w:tcW w:w="483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Spectra A&amp;D Acquisition, Inc. (fka FDS Avionics Corp.)</w:t>
            </w:r>
          </w:p>
        </w:tc>
        <w:tc>
          <w:tcPr>
            <w:tcW w:w="146" w:type="dxa"/>
            <w:tcBorders/>
            <w:shd w:fill="CCEEFF" w:val="clear"/>
            <w:vAlign w:val="center"/>
          </w:tcPr>
          <w:p>
            <w:pPr>
              <w:pStyle w:val="TableContents"/>
              <w:bidi w:val="0"/>
              <w:spacing w:before="0" w:after="283"/>
              <w:jc w:val="left"/>
              <w:rPr/>
            </w:pPr>
            <w:r>
              <w:rPr/>
              <w:t> </w:t>
            </w:r>
          </w:p>
        </w:tc>
        <w:tc>
          <w:tcPr>
            <w:tcW w:w="230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Escrow distribution</w:t>
            </w:r>
          </w:p>
        </w:tc>
        <w:tc>
          <w:tcPr>
            <w:tcW w:w="146" w:type="dxa"/>
            <w:tcBorders/>
            <w:shd w:fill="CCEEFF" w:val="clear"/>
            <w:vAlign w:val="center"/>
          </w:tcPr>
          <w:p>
            <w:pPr>
              <w:pStyle w:val="TableContents"/>
              <w:bidi w:val="0"/>
              <w:spacing w:before="0" w:after="283"/>
              <w:jc w:val="left"/>
              <w:rPr/>
            </w:pPr>
            <w:r>
              <w:rPr/>
              <w:t> </w:t>
            </w:r>
          </w:p>
        </w:tc>
        <w:tc>
          <w:tcPr>
            <w:tcW w:w="3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1" w:type="dxa"/>
            <w:tcBorders/>
            <w:shd w:fill="CCEEFF" w:val="clear"/>
            <w:vAlign w:val="center"/>
          </w:tcPr>
          <w:p>
            <w:pPr>
              <w:pStyle w:val="TableContents"/>
              <w:bidi w:val="0"/>
              <w:spacing w:before="0" w:after="283"/>
              <w:jc w:val="left"/>
              <w:rPr/>
            </w:pPr>
            <w:r>
              <w:rPr/>
              <w:t> </w:t>
            </w:r>
          </w:p>
        </w:tc>
        <w:tc>
          <w:tcPr>
            <w:tcW w:w="3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83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2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w:t>
            </w:r>
          </w:p>
        </w:tc>
        <w:tc>
          <w:tcPr>
            <w:tcW w:w="274"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65.2</w:t>
            </w:r>
          </w:p>
        </w:tc>
        <w:tc>
          <w:tcPr>
            <w:tcW w:w="216" w:type="dxa"/>
            <w:tcBorders/>
            <w:shd w:fill="FFFFFF" w:val="clear"/>
            <w:vAlign w:val="center"/>
          </w:tcPr>
          <w:p>
            <w:pPr>
              <w:pStyle w:val="TableContents"/>
              <w:bidi w:val="0"/>
              <w:spacing w:before="0" w:after="283"/>
              <w:jc w:val="left"/>
              <w:rPr/>
            </w:pPr>
            <w:r>
              <w:rPr/>
              <w:t> </w:t>
            </w:r>
          </w:p>
        </w:tc>
      </w:tr>
      <w:tr>
        <w:trPr/>
        <w:tc>
          <w:tcPr>
            <w:tcW w:w="4834"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 tax (provision) benefit from realized gains on investments</w:t>
            </w:r>
          </w:p>
        </w:tc>
        <w:tc>
          <w:tcPr>
            <w:tcW w:w="146" w:type="dxa"/>
            <w:tcBorders/>
            <w:shd w:fill="CCEEFF" w:val="clear"/>
            <w:vAlign w:val="center"/>
          </w:tcPr>
          <w:p>
            <w:pPr>
              <w:pStyle w:val="TableContents"/>
              <w:bidi w:val="0"/>
              <w:spacing w:before="0" w:after="283"/>
              <w:jc w:val="left"/>
              <w:rPr/>
            </w:pPr>
            <w:r>
              <w:rPr/>
              <w:t> </w:t>
            </w:r>
          </w:p>
        </w:tc>
        <w:tc>
          <w:tcPr>
            <w:tcW w:w="23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3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83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net of income tax provision, on investments</w:t>
            </w:r>
          </w:p>
        </w:tc>
        <w:tc>
          <w:tcPr>
            <w:tcW w:w="146" w:type="dxa"/>
            <w:tcBorders/>
            <w:shd w:fill="FFFFFF" w:val="clear"/>
            <w:vAlign w:val="center"/>
          </w:tcPr>
          <w:p>
            <w:pPr>
              <w:pStyle w:val="TableContents"/>
              <w:bidi w:val="0"/>
              <w:spacing w:before="0" w:after="283"/>
              <w:jc w:val="left"/>
              <w:rPr/>
            </w:pPr>
            <w:r>
              <w:rPr/>
              <w:t> </w:t>
            </w:r>
          </w:p>
        </w:tc>
        <w:tc>
          <w:tcPr>
            <w:tcW w:w="2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65.1</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w:t>
            </w:r>
          </w:p>
        </w:tc>
        <w:tc>
          <w:tcPr>
            <w:tcW w:w="9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During the three and nine months ended September 30, 2023 and 2022, we recorded a net change in unrealized appreciation (depreciation) on investments attributable to the following (dollars in millions):</w:t>
      </w:r>
    </w:p>
    <w:p>
      <w:pPr>
        <w:pStyle w:val="TextBody"/>
        <w:bidi w:val="0"/>
        <w:spacing w:before="180" w:after="283"/>
        <w:jc w:val="both"/>
        <w:rPr/>
      </w:pPr>
      <w:r>
        <w:rPr/>
        <w:t> </w:t>
      </w:r>
    </w:p>
    <w:tbl>
      <w:tblPr>
        <w:tblW w:w="9711" w:type="dxa"/>
        <w:jc w:val="left"/>
        <w:tblInd w:w="0" w:type="dxa"/>
        <w:tblLayout w:type="fixed"/>
        <w:tblCellMar>
          <w:top w:w="28" w:type="dxa"/>
          <w:left w:w="28" w:type="dxa"/>
          <w:bottom w:w="28" w:type="dxa"/>
          <w:right w:w="28" w:type="dxa"/>
        </w:tblCellMar>
      </w:tblPr>
      <w:tblGrid>
        <w:gridCol w:w="3766"/>
        <w:gridCol w:w="146"/>
        <w:gridCol w:w="334"/>
        <w:gridCol w:w="666"/>
        <w:gridCol w:w="282"/>
        <w:gridCol w:w="248"/>
        <w:gridCol w:w="334"/>
        <w:gridCol w:w="819"/>
        <w:gridCol w:w="166"/>
        <w:gridCol w:w="146"/>
        <w:gridCol w:w="322"/>
        <w:gridCol w:w="644"/>
        <w:gridCol w:w="273"/>
        <w:gridCol w:w="240"/>
        <w:gridCol w:w="322"/>
        <w:gridCol w:w="792"/>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Exit, sale or restructuring of investments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8"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w:t>
            </w:r>
          </w:p>
        </w:tc>
        <w:tc>
          <w:tcPr>
            <w:tcW w:w="273"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766"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Fair value adjustments to debt investments</w:t>
            </w:r>
          </w:p>
        </w:tc>
        <w:tc>
          <w:tcPr>
            <w:tcW w:w="146" w:type="dxa"/>
            <w:tcBorders/>
            <w:shd w:fill="FFFFFF" w:val="clear"/>
            <w:vAlign w:val="center"/>
          </w:tcPr>
          <w:p>
            <w:pPr>
              <w:pStyle w:val="TableContents"/>
              <w:bidi w:val="0"/>
              <w:spacing w:before="0" w:after="283"/>
              <w:jc w:val="both"/>
              <w:rPr/>
            </w:pPr>
            <w:r>
              <w:rPr/>
              <w:t> </w:t>
            </w:r>
          </w:p>
        </w:tc>
        <w:tc>
          <w:tcPr>
            <w:tcW w:w="334"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2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8"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w:t>
            </w:r>
          </w:p>
        </w:tc>
        <w:tc>
          <w:tcPr>
            <w:tcW w:w="27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766" w:type="dxa"/>
            <w:tcBorders/>
            <w:shd w:fill="CFF0FC"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Fair value adjustments to equity investments</w:t>
            </w:r>
          </w:p>
        </w:tc>
        <w:tc>
          <w:tcPr>
            <w:tcW w:w="146" w:type="dxa"/>
            <w:tcBorders/>
            <w:shd w:fill="CFF0FC" w:val="clear"/>
            <w:vAlign w:val="center"/>
          </w:tcPr>
          <w:p>
            <w:pPr>
              <w:pStyle w:val="TableContents"/>
              <w:bidi w:val="0"/>
              <w:spacing w:before="0" w:after="283"/>
              <w:jc w:val="both"/>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Net change in unrealized appreciation (depreciation)</w:t>
            </w:r>
          </w:p>
        </w:tc>
        <w:tc>
          <w:tcPr>
            <w:tcW w:w="146" w:type="dxa"/>
            <w:tcBorders/>
            <w:shd w:fill="FFFFFF" w:val="clear"/>
            <w:vAlign w:val="center"/>
          </w:tcPr>
          <w:p>
            <w:pPr>
              <w:pStyle w:val="TableContents"/>
              <w:bidi w:val="0"/>
              <w:spacing w:before="0" w:after="283"/>
              <w:jc w:val="both"/>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8"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0"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Net Increase in Net Assets Resulting From Operations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Net increase (decrease) in net assets resulting from operations during the three months ended September 30, 2023 and 2022 was $24.3 million and $11.4 million, respectively, as a result of the events described above.</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Net increase (decrease) in net assets resulting from operations during the nine months ended September 30, 2023 and 2022 was $50.7 million and $31.1 million, respectively, as a result of the events described above.</w:t>
      </w:r>
    </w:p>
    <w:p>
      <w:pPr>
        <w:pStyle w:val="TextBody"/>
        <w:bidi w:val="0"/>
        <w:spacing w:before="180" w:after="283"/>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As of September 30, 2023, we had $80.3 million in cash and cash equivalents and our net assets totaled $548.6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nine months ended September 30, 2023, we repaid $5.0 million of SBA debentures that would have matured during the period March 1, 2025 through March 1, 2026. Our remaining outstanding SBA debentures begin to mature in 2026 and subsequent years through 2033, which will require repayment on or before the respective maturity dates. This “Liquidity and Capital Resources” section should be read in conjunction with the notes of our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val="false"/>
          <w:i/>
          <w:color w:val="000000"/>
          <w:sz w:val="20"/>
        </w:rPr>
        <w:t>Cash Flows</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For the nine months ended September 30, 2023, we experienced a net increase in cash and cash equivalents in the amount of $18.0 million. During that period, we made payments of $32.8 million of cash for operating activities, which included the funding of $204.0 million of investments that was partially offset by proceeds received from sales and repayments of investments of $146.4 million. During the same period, we received proceeds from the issuances of SBA debentures of $40.0 million, which were partially offset by repayments of SBA debentures of $5.0 million, received net proceeds from the ATM Program of approximately $71.6 million, received repayments of $0.6 million on our secured borrowings, paid cash dividends to stockholders of $54.0 million, and made payment of deferred financing costs related to our debt financings of $1.2 million.</w:t>
      </w:r>
    </w:p>
    <w:p>
      <w:pPr>
        <w:pStyle w:val="TextBody"/>
        <w:bidi w:val="0"/>
        <w:spacing w:before="180" w:after="283"/>
        <w:jc w:val="left"/>
        <w:rPr>
          <w:rFonts w:ascii="Times New Roman" w:hAnsi="Times New Roman"/>
          <w:sz w:val="20"/>
        </w:rPr>
      </w:pPr>
      <w:r>
        <w:rPr>
          <w:rFonts w:ascii="Times New Roman" w:hAnsi="Times New Roman"/>
          <w:b w:val="false"/>
          <w:i/>
          <w:color w:val="000000"/>
          <w:sz w:val="20"/>
        </w:rPr>
        <w:t>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We anticipate that we will continue to fund our investment activities on a long-term basis through a combination of additional debt and equity capital.</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SBA Debentures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 Funds are licensed to operate as SBICs, and have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September 30, 2023, Fund II and Fund III had $35.0 million and $153.0 million of outstanding SBA debentures, respectively. Subject to SBA regulatory requirements and approval, Fund III may access up to $22.0 million of additional SBA debentures under the SBIC debenture program. The SBA may limit the amount that may be drawn each year under these commitments, and each issuance of leverage is conditioned on the Company's full compliance, as determined by the SBA, with the terms and conditions under SBA regulations. For more information on the SBA debentures, please refer to Note 6 to our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Credit Facility</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the Funds are not collateral for the Credit Facility. On April 24, 2019, we entered into an Amended &amp; Restated Senior Secured Revolving Credit Agreement (the “Amended Credit Agreement”) among us, as borrower, the lenders party thereto, and ING, as administrative agent. On June 26, 2020, we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the Secured Overnight Financing Rate (SOFR) from the London Interbank Offered Rate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September 30, 2023, we were in compliance in all material respects with the terms of the Credit Agreement and there were no borrowings outstanding under the Credit Facility.</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Notes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On December 23, 2020, we closed the offering of $125.0</w:t>
      </w:r>
      <w:r>
        <w:rPr>
          <w:rFonts w:ascii="Times New Roman" w:hAnsi="Times New Roman"/>
          <w:color w:val="000000"/>
          <w:sz w:val="20"/>
        </w:rPr>
        <w:t xml:space="preserve"> </w:t>
      </w:r>
      <w:r>
        <w:rPr>
          <w:rFonts w:ascii="Times New Roman" w:hAnsi="Times New Roman"/>
          <w:b w:val="false"/>
          <w:color w:val="000000"/>
          <w:sz w:val="20"/>
        </w:rPr>
        <w:t>million in aggregate principal amount of our 4.75% notes due 2026, or the “January 2026 Notes</w:t>
      </w:r>
      <w:r>
        <w:rPr>
          <w:rFonts w:ascii="Times New Roman" w:hAnsi="Times New Roman"/>
          <w:color w:val="000000"/>
          <w:sz w:val="20"/>
        </w:rPr>
        <w:t>”</w:t>
      </w:r>
      <w:r>
        <w:rPr>
          <w:rFonts w:ascii="Times New Roman" w:hAnsi="Times New Roman"/>
          <w:b w:val="false"/>
          <w:color w:val="000000"/>
          <w:sz w:val="20"/>
        </w:rPr>
        <w:t>. The total net proceeds to us from the January 2026 Notes, based on a public offering price of 100.00% of par, after deducting underwriting discounts of $2.5 million and offering expenses of $0.4 million, were approximately $122.1 million.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w:t>
      </w:r>
      <w:r>
        <w:rPr>
          <w:rFonts w:ascii="Times New Roman" w:hAnsi="Times New Roman"/>
          <w:color w:val="000000"/>
          <w:sz w:val="20"/>
        </w:rPr>
        <w:t xml:space="preserve"> </w:t>
      </w:r>
      <w:r>
        <w:rPr>
          <w:rFonts w:ascii="Times New Roman" w:hAnsi="Times New Roman"/>
          <w:b w:val="false"/>
          <w:color w:val="000000"/>
          <w:sz w:val="20"/>
        </w:rPr>
        <w:t>We do not intend to list the January 2026 Notes on any securities exchange or automated dealer quotation system. As of September 30, 2023, the outstanding principal balance of the January 2026 Notes was approximately $125.0 million.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On October 8, 2021, we closed the offering of $125.0</w:t>
      </w:r>
      <w:r>
        <w:rPr>
          <w:rFonts w:ascii="Times New Roman" w:hAnsi="Times New Roman"/>
          <w:color w:val="000000"/>
          <w:sz w:val="20"/>
        </w:rPr>
        <w:t xml:space="preserve"> </w:t>
      </w:r>
      <w:r>
        <w:rPr>
          <w:rFonts w:ascii="Times New Roman" w:hAnsi="Times New Roman"/>
          <w:b w:val="false"/>
          <w:color w:val="000000"/>
          <w:sz w:val="20"/>
        </w:rPr>
        <w:t>million in aggregate principal amount of our 3.50% notes due 2026, or the “November 2026 Notes</w:t>
      </w:r>
      <w:r>
        <w:rPr>
          <w:rFonts w:ascii="Times New Roman" w:hAnsi="Times New Roman"/>
          <w:color w:val="000000"/>
          <w:sz w:val="20"/>
        </w:rPr>
        <w:t xml:space="preserve">” </w:t>
      </w:r>
      <w:r>
        <w:rPr>
          <w:rFonts w:ascii="Times New Roman" w:hAnsi="Times New Roman"/>
          <w:b w:val="false"/>
          <w:color w:val="000000"/>
          <w:sz w:val="20"/>
        </w:rPr>
        <w:t>(collectively with the January 2026 Notes, the “Notes”). The total net proceeds to us from the November 2026 Notes, based on a public offering price of 99.996% of par, after deducting underwriting discounts of $2.5 million and offering expenses of $0.3 million, were approximately $122.2 million.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We do not intend to list the November 2026 Notes on any securities exchange or automated dealer quotation system.</w:t>
      </w:r>
      <w:r>
        <w:rPr>
          <w:rFonts w:ascii="Times New Roman" w:hAnsi="Times New Roman"/>
          <w:color w:val="000000"/>
          <w:sz w:val="20"/>
        </w:rPr>
        <w:t xml:space="preserve"> </w:t>
      </w:r>
      <w:r>
        <w:rPr>
          <w:rFonts w:ascii="Times New Roman" w:hAnsi="Times New Roman"/>
          <w:b w:val="false"/>
          <w:color w:val="000000"/>
          <w:sz w:val="20"/>
        </w:rPr>
        <w:t>As of September 30, 2023, the outstanding principal balance of the November 2026 Notes was approximately $125.0 million.</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 including the Credit Facility.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Secured Borrowing</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As of September 30, 2023, the carrying value of secured borrowings totaled $16.3 million and the fair value of the associated loans included in investments was $16.2 million. As of December 31, 2022, carrying value of secured borrowings totaled $16.9 million and the fair value of the associated loans included in investments was $16.9 million.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9.291% and 7.786% as of September 30, 2023 and December 31, 2022, respectively.</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As of September 30, 2023, the weighted average stated interest rates for our SBA debentures and the Notes were 4.016% and 4.125%, respectively. As of September 30, 2023, we had $100.0 million of unutilized commitment under our Credit Facility, and we were subject to a 1.261% fee on such amount. As of September 30, 2023, the weighted average stated interest rate on total debt outstanding was 4.265%.</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effective as of April 29, 2020. We have received exemptive relief from the U.S. Securities and Exchange Commission (“SEC”) to allow us to exclude the senior securities issued by the Funds from the definition of senior securities in the 150% asset coverage requirement applicable to the Company under the 1940 Act, which, in turn, will enable us to fund more investments with debt capital.</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8, 2023, our stockholders voted to allow us to sell or otherwise issue common stock at a price below net asset value per share for a period of one year ending on the earlier of June 8, 2024 or the date of our 2024 Annual Meeting of Stockholders. Our stockholders specified that the cumulative number of shares sold in each offering during the one-year period ending on the earlier of June 8, 2024 or the date of our 2024 Annual Meeting of Stockholders may not exceed 25.0% of our outstanding common stock immediately prior to each such sale.</w:t>
      </w:r>
    </w:p>
    <w:p>
      <w:pPr>
        <w:pStyle w:val="TextBody"/>
        <w:bidi w:val="0"/>
        <w:spacing w:before="180" w:after="180"/>
        <w:jc w:val="both"/>
        <w:rPr>
          <w:rFonts w:ascii="Times New Roman" w:hAnsi="Times New Roman"/>
          <w:b w:val="false"/>
          <w:i/>
          <w:color w:val="000000"/>
          <w:sz w:val="20"/>
        </w:rPr>
      </w:pPr>
      <w:r>
        <w:rPr>
          <w:rFonts w:ascii="Times New Roman" w:hAnsi="Times New Roman"/>
          <w:b w:val="false"/>
          <w:i/>
          <w:color w:val="000000"/>
          <w:sz w:val="20"/>
        </w:rPr>
        <w:t>Equity ATM Program</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On August 11, 2023, the Company increased the maximum amount of shares to be sold through the ATM Program to $150.0 million from $50.0 million. Cumulative to date, the Company has sold 3,985,233 shares of common stock under the ATM Program at a weighted-average price of $19.69, raising $78.5 million of gross proceeds. Net proceeds were $77.5 million after commissions to the sales agents on sales sold. As of September 30, 2023, the Company has $71.5 million available under the ATM Program.</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Stock Repurchase Program</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30, 2023, the Board extended the Stock Repurchase Program through December 31, 2024,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and nine months ended September 30, 2023 and 2022. Refer to Note 8 to our consolidated financial statements for additional information concerning stock repurchases.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r>
        <w:rPr>
          <w:rFonts w:ascii="Times New Roman" w:hAnsi="Times New Roman"/>
          <w:color w:val="000000"/>
          <w:sz w:val="20"/>
        </w:rPr>
        <w:t xml:space="preser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Valuation of Portfolio Investments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As a BDC, we report our assets and liabilities at fair value at all times consistent with GAAP and the 1940 Act. Accordingly, we are required to periodically determine the fair value of all of our portfolio investments.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 could be material.</w:t>
      </w:r>
    </w:p>
    <w:p>
      <w:pPr>
        <w:pStyle w:val="TextBody"/>
        <w:bidi w:val="0"/>
        <w:spacing w:before="180" w:after="180"/>
        <w:jc w:val="both"/>
        <w:rPr>
          <w:rFonts w:ascii="Times New Roman" w:hAnsi="Times New Roman"/>
          <w:sz w:val="20"/>
        </w:rPr>
      </w:pPr>
      <w:r>
        <w:rPr>
          <w:rFonts w:ascii="Times New Roman" w:hAnsi="Times New Roman"/>
          <w:b w:val="false"/>
          <w:color w:val="000000"/>
          <w:sz w:val="20"/>
        </w:rPr>
        <w:t>With respect to investments for which market quotations are not readily available, our board of directors undertakes a multi-step valuation process each quarter, as described below:</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our quarterly valuation process begins with each portfolio company or investment being initially evaluated and rated by the investment professionals of the Investment Advisor responsible for the portfolio investment;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preliminary valuation conclusions are then documented and discussed with the investment committee of the Investment Advisor;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audit committee of our board of directors reviews the preliminary valuations of the Investment Advisor and of the independent valuation firm(s) and responds and supplements the valuation recommendations to reflect any comments;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board of directors discusses the valuations and determines the fair value of each investment in our portfolio in good faith, based on the input of the Investment Advisor, the independent valuation firm(s) and the audit committee.</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Our Board consulted with the independent valuation firm(s) in arriving at our determination of fair value for 17 and 14 of our portfolio company investments representing 27.6% and 29.5% of the total portfolio investments at fair value (exclusive of new portfolio company investments made during the three months ended September 30, 2023 and December 31, 2022, respectively) as of September 30, 2023 and December 31, 2022, respectively</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pStyle w:val="TextBody"/>
        <w:bidi w:val="0"/>
        <w:spacing w:before="18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Investments and related investment income.</w:t>
      </w:r>
      <w:r>
        <w:rPr>
          <w:rFonts w:ascii="Times New Roman" w:hAnsi="Times New Roman"/>
          <w:color w:val="000000"/>
          <w:sz w:val="20"/>
        </w:rPr>
        <w:t xml:space="preserve"> </w:t>
      </w:r>
      <w:r>
        <w:rPr>
          <w:rFonts w:ascii="Times New Roman" w:hAnsi="Times New Roman"/>
          <w:b w:val="false"/>
          <w:color w:val="000000"/>
          <w:sz w:val="20"/>
        </w:rPr>
        <w:t>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Interest and dividend income</w:t>
      </w:r>
      <w:r>
        <w:rPr>
          <w:rFonts w:ascii="Times New Roman" w:hAnsi="Times New Roman"/>
          <w:b w:val="false"/>
          <w:color w:val="000000"/>
          <w:sz w:val="20"/>
        </w:rPr>
        <w:t>. Interest and dividend income are recorded on the accrual basis to the extent that we expect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PIK income.</w:t>
      </w:r>
      <w:r>
        <w:rPr>
          <w:rFonts w:ascii="Times New Roman" w:hAnsi="Times New Roman"/>
          <w:color w:val="000000"/>
          <w:sz w:val="20"/>
        </w:rPr>
        <w:t xml:space="preserve"> </w:t>
      </w:r>
      <w:r>
        <w:rPr>
          <w:rFonts w:ascii="Times New Roman" w:hAnsi="Times New Roman"/>
          <w:b w:val="false"/>
          <w:color w:val="000000"/>
          <w:sz w:val="20"/>
        </w:rPr>
        <w:t>Certain of our investments contain a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even though we have not yet collected the cash.</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Non-accrual.</w:t>
      </w:r>
      <w:r>
        <w:rPr>
          <w:rFonts w:ascii="Times New Roman" w:hAnsi="Times New Roman"/>
          <w:color w:val="000000"/>
          <w:sz w:val="20"/>
        </w:rPr>
        <w:t xml:space="preserve"> </w:t>
      </w:r>
      <w:r>
        <w:rPr>
          <w:rFonts w:ascii="Times New Roman" w:hAnsi="Times New Roman"/>
          <w:b w:val="false"/>
          <w:color w:val="000000"/>
          <w:sz w:val="20"/>
        </w:rPr>
        <w:t>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Warrants.</w:t>
      </w:r>
      <w:r>
        <w:rPr>
          <w:rFonts w:ascii="Times New Roman" w:hAnsi="Times New Roman"/>
          <w:color w:val="000000"/>
          <w:sz w:val="20"/>
        </w:rPr>
        <w:t xml:space="preserve"> </w:t>
      </w:r>
      <w:r>
        <w:rPr>
          <w:rFonts w:ascii="Times New Roman" w:hAnsi="Times New Roman"/>
          <w:b w:val="false"/>
          <w:color w:val="000000"/>
          <w:sz w:val="20"/>
        </w:rPr>
        <w:t>In connection with our debt investments, we will sometimes receive warrants or other equity-related securities (Warrants). We 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Fee income.</w:t>
      </w:r>
      <w:r>
        <w:rPr>
          <w:rFonts w:ascii="Times New Roman" w:hAnsi="Times New Roman"/>
          <w:color w:val="000000"/>
          <w:sz w:val="20"/>
        </w:rPr>
        <w:t xml:space="preserve"> </w:t>
      </w:r>
      <w:r>
        <w:rPr>
          <w:rFonts w:ascii="Times New Roman" w:hAnsi="Times New Roman"/>
          <w:b w:val="false"/>
          <w:color w:val="000000"/>
          <w:sz w:val="20"/>
        </w:rPr>
        <w:t>All transaction fees earned in connection with our investments are recognized as fee income and are generally non-recurring. Such 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Transfers of Financial Assets</w:t>
      </w:r>
    </w:p>
    <w:p>
      <w:pPr>
        <w:pStyle w:val="TextBody"/>
        <w:bidi w:val="0"/>
        <w:spacing w:before="180" w:after="283"/>
        <w:jc w:val="both"/>
        <w:rPr>
          <w:rFonts w:ascii="Times New Roman" w:hAnsi="Times New Roman"/>
          <w:sz w:val="20"/>
        </w:rPr>
      </w:pPr>
      <w:r>
        <w:rPr>
          <w:rFonts w:ascii="Times New Roman" w:hAnsi="Times New Roman"/>
          <w:b w:val="false"/>
          <w:i/>
          <w:color w:val="000000"/>
          <w:sz w:val="20"/>
        </w:rPr>
        <w:t xml:space="preserve">Partial loan and equity sales. </w:t>
      </w:r>
      <w:r>
        <w:rPr>
          <w:rFonts w:ascii="Times New Roman" w:hAnsi="Times New Roman"/>
          <w:b w:val="false"/>
          <w:color w:val="000000"/>
          <w:sz w:val="20"/>
        </w:rPr>
        <w:t xml:space="preserve">We follow the guidance in ASC 860, </w:t>
      </w:r>
      <w:r>
        <w:rPr>
          <w:rFonts w:ascii="Times New Roman" w:hAnsi="Times New Roman"/>
          <w:b w:val="false"/>
          <w:i/>
          <w:color w:val="000000"/>
          <w:sz w:val="20"/>
        </w:rPr>
        <w:t xml:space="preserve">Transfers and Servicing, </w:t>
      </w:r>
      <w:r>
        <w:rPr>
          <w:rFonts w:ascii="Times New Roman" w:hAnsi="Times New Roman"/>
          <w:b w:val="false"/>
          <w:color w:val="000000"/>
          <w:sz w:val="20"/>
        </w:rPr>
        <w:t>when accounting</w:t>
      </w:r>
      <w:r>
        <w:rPr>
          <w:rFonts w:ascii="Times New Roman" w:hAnsi="Times New Roman"/>
          <w:color w:val="000000"/>
          <w:sz w:val="20"/>
        </w:rPr>
        <w:t xml:space="preserve"> </w:t>
      </w:r>
      <w:r>
        <w:rPr>
          <w:rFonts w:ascii="Times New Roman" w:hAnsi="Times New Roman"/>
          <w:b w:val="false"/>
          <w:color w:val="000000"/>
          <w:sz w:val="20"/>
        </w:rPr>
        <w:t>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w:t>
      </w:r>
      <w:r>
        <w:rPr>
          <w:rFonts w:ascii="Times New Roman" w:hAnsi="Times New Roman"/>
          <w:color w:val="000000"/>
          <w:sz w:val="20"/>
        </w:rPr>
        <w:t xml:space="preserve">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Recently Issued Accounting Standard</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In June 2022, the Financial Accounting Standards Board (“FASB”) issued Accounting Standards Update (“ASU”) No. 2022-03, “Fair Value Measurement of Equity Securities Subject to Contractual Sale Restrictions (Topic 820),” which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In addition, ASU No. 2022-03 prohibits an entity from recognizing a contractual sale restriction as a separate unit of account. ASU No. 2022-03’s amendments are effective for fiscal years beginning after December 15, 2023, with early adoption permitted. We are currently evaluating the impact of the adoption of ASU No. 2022-03 on our consolidated financial statements.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We have entered into a number of business relationships with affiliated or related parties, including the following:</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xml:space="preserve">We have entered into the Investment Advisory Agreement with Fidus Investment Advisors as our investment advisor. Pursuant to the agreement, the Investment Advisor manages our day-to-day operating and investing activities. We pay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Investment Advisor a fee for its services under the Investment Advisory Agreement consisting of two components — a base management fee and an incentive fee. See Note 5 to our consolidated financial statements.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We entered into the Administration Agreement with Fidus Investment Advisors to provide us with the office facilities and administrative services necessary to conduct day-to-day operations. See Note 5 to our consolidated financial statements.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We entered into a license agreement with Fidus Partners, LLC, pursuant to which Fidus Partners, LLC has granted us a non-exclusive, royalty-free license to use the name “Fidus.”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Investment Advisor, in consultation with the Board, agreed to voluntarily waive $0.1 million and $0.2 million of the base management fees on any assets accounted for as secured borrowings as defined under GAAP for the three and nine months ended September 30, 2023, respectively, and $0.1 million and $0.2 million for the three and nine months ended September 30, 2022, respectively.</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Fund II and Fund III from the definition of senior securities in the asset coverage requirement applicable to the Company under the 1940 Act.</w:t>
      </w:r>
      <w:r>
        <w:rPr>
          <w:rFonts w:ascii="Times New Roman" w:hAnsi="Times New Roman"/>
          <w:color w:val="000000"/>
          <w:sz w:val="20"/>
        </w:rPr>
        <w:t xml:space="preserve"> </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October 11, 2023, we invested $18.0 million in first lien debt and preferred equity in White Label Communications, LLC, a provider of private label communication solutions to managed service providers.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On October 26, 2023, we issued an additional $3.0 million in SBA debentures, which will bear interest at a fixed interim interest rate of 6.083% until the pooling date in March 2024.</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October 30, 2023, our Board declared a regular quarterly dividend of $0.43 per share, a supplemental dividend of $0.27 per share, and a special dividend of $0.10 per share, payable on December 27, 2023, to stockholders of record as of December 20, 2023.</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October 30, 2023, we exited our debt investment in GP&amp;C Operations, LLC (dba Garlock Printing and Converting). We received payment in full of $10.8 million on our first lien debt, which included a prepayment fee.</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October 31, 2023, we invested $13.8 million in first lien debt and preferred equity in a provider of advertising intelligence, research, and sales enablement solutions to media sellers, agencies, brands, and ad tech companies.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October 31, 2023, we exited our debt investment in Power Grid Components, Inc. We received payment in full of $10.3 million on our second lien debt.</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November 1, 2023, we exited our debt investments in Combined Systems, Inc. We received payment in full of $8.2 million on our first lien debt and revolving loan, which included a prepayment fee.</w:t>
      </w:r>
    </w:p>
    <w:p>
      <w:pPr>
        <w:pStyle w:val="TextBody"/>
        <w:bidi w:val="0"/>
        <w:jc w:val="left"/>
        <w:rPr/>
      </w:pPr>
      <w:r>
        <w:rPr/>
        <w:t> </w:t>
      </w:r>
    </w:p>
    <w:p>
      <w:pPr>
        <w:pStyle w:val="TextBody"/>
        <w:bidi w:val="0"/>
        <w:jc w:val="left"/>
        <w:rPr>
          <w:rFonts w:ascii="Times New Roman" w:hAnsi="Times New Roman"/>
          <w:b/>
          <w:color w:val="000000"/>
          <w:sz w:val="20"/>
        </w:rPr>
      </w:pPr>
      <w:bookmarkStart w:id="15" w:name="item3_marketrisk"/>
      <w:bookmarkEnd w:id="15"/>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local, regional, national or global political, social or economic instability; and interest rate volatility, including the replacement of LIBOR with alternate rates and rising interest rates.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In the future, our investment income may also be affected by changes in various interest rates, including changes in alternate rates and prime rates, to the extent of any debt investments that include floating interest rates. Since March 2022, the Federal Reserve has been rapidly raising interest rates and has indicated that it may consider additional rate hikes in response to ongoing inflation concerns. In a rising interest rate environment, our cost of funds would increase, which could reduce our net investment income if there is not a corresponding increase in interest income generated by our investment portfolio. It is possible that the Federal Reserve's tightening cycle could result the United States into a recession, which would likely decrease interest rates. A prolonged reduction in interest rates will reduce our gross investment income and could result in a decrease in our net investment income if such decreases in base rates, such as SOFR are not offset by a corresponding increase in the spread over such base rate that we earn on any portfolio investments, a decrease in in our operating expenses, including with respect to our income incentive fee, or a decrease in the interest rate of our floating interest rate liabilities tied to such base rate. See Risk Factors contained herein under Part II, Item 1A and in our Annual Report on Form 10-K for the year ended December 31, 2022, such as "Changes in interest rates will affect our cost of capital and net investment income” and “Inflation may adversely affect the business, results of operations and financial condition of our portfolio companies, which may, in turn, impact the valuation of such portfolio companies.”</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As of September 30, 2023 and December 31, 2022, 45 and 43 portfolio companies’ debt investments, respectively, bore interest at a variable rate, which represented $588.5 million and $522.9 million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2.675% on SOFR loans prior to satisfying certain step-down conditions (or 2.50% after satisfying certain step-down conditions, with commensurate reductions in the applicable margins for base rate loans). 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Agreement relating to the Credit Facility contains certain covenants, including a minimum asset coverage ratio of 1.50 to 1.00 (on a regulatory basis) and a senior asset coverage ratio of no less than 2.00 to 1.00. The Credit Facility is secured by a first priority security interest in all of our assets, excluding the assets of our SBIC subsidiaries.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shows the approximate annualized increase or decrease in the components of net investment income due to hypothetical base rate changes in interest rates, assuming no changes in our investments and borrowings as of September 30, 2023 (dollars in millions):</w:t>
      </w:r>
    </w:p>
    <w:p>
      <w:pPr>
        <w:pStyle w:val="TextBody"/>
        <w:bidi w:val="0"/>
        <w:jc w:val="both"/>
        <w:rPr/>
      </w:pPr>
      <w:r>
        <w:rPr/>
        <w:t> </w:t>
      </w:r>
    </w:p>
    <w:tbl>
      <w:tblPr>
        <w:tblW w:w="8554" w:type="dxa"/>
        <w:jc w:val="left"/>
        <w:tblInd w:w="0" w:type="dxa"/>
        <w:tblLayout w:type="fixed"/>
        <w:tblCellMar>
          <w:top w:w="28" w:type="dxa"/>
          <w:left w:w="28" w:type="dxa"/>
          <w:bottom w:w="28" w:type="dxa"/>
          <w:right w:w="28" w:type="dxa"/>
        </w:tblCellMar>
      </w:tblPr>
      <w:tblGrid>
        <w:gridCol w:w="637"/>
        <w:gridCol w:w="1733"/>
        <w:gridCol w:w="166"/>
        <w:gridCol w:w="146"/>
        <w:gridCol w:w="356"/>
        <w:gridCol w:w="874"/>
        <w:gridCol w:w="166"/>
        <w:gridCol w:w="146"/>
        <w:gridCol w:w="429"/>
        <w:gridCol w:w="861"/>
        <w:gridCol w:w="166"/>
        <w:gridCol w:w="146"/>
        <w:gridCol w:w="290"/>
        <w:gridCol w:w="715"/>
        <w:gridCol w:w="166"/>
        <w:gridCol w:w="146"/>
        <w:gridCol w:w="381"/>
        <w:gridCol w:w="819"/>
        <w:gridCol w:w="211"/>
      </w:tblGrid>
      <w:tr>
        <w:trPr/>
        <w:tc>
          <w:tcPr>
            <w:tcW w:w="63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7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37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Investment</w:t>
            </w:r>
          </w:p>
        </w:tc>
        <w:tc>
          <w:tcPr>
            <w:tcW w:w="211" w:type="dxa"/>
            <w:tcBorders/>
            <w:shd w:fill="FFFFFF" w:val="clear"/>
            <w:vAlign w:val="center"/>
          </w:tcPr>
          <w:p>
            <w:pPr>
              <w:pStyle w:val="TableContents"/>
              <w:bidi w:val="0"/>
              <w:spacing w:before="0" w:after="283"/>
              <w:jc w:val="center"/>
              <w:rPr/>
            </w:pPr>
            <w:r>
              <w:rPr/>
              <w:t> </w:t>
            </w:r>
          </w:p>
        </w:tc>
      </w:tr>
      <w:tr>
        <w:trPr/>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Basis Point Increase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(Decrease) </w:t>
            </w:r>
            <w:r>
              <w:rPr>
                <w:rFonts w:ascii="Times New Roman" w:hAnsi="Times New Roman"/>
                <w:b/>
                <w:color w:val="000000"/>
                <w:sz w:val="11"/>
              </w:rPr>
              <w:t>(1)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(Decrease) </w:t>
            </w:r>
            <w:r>
              <w:rPr>
                <w:rFonts w:ascii="Times New Roman" w:hAnsi="Times New Roman"/>
                <w:b/>
                <w:color w:val="000000"/>
                <w:sz w:val="11"/>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Income </w:t>
            </w:r>
            <w:r>
              <w:rPr>
                <w:rFonts w:ascii="Times New Roman" w:hAnsi="Times New Roman"/>
                <w:b/>
                <w:color w:val="000000"/>
                <w:sz w:val="11"/>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7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6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15"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9"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37"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37"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w:t>
            </w:r>
          </w:p>
        </w:tc>
        <w:tc>
          <w:tcPr>
            <w:tcW w:w="166"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211"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37"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37"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211" w:type="dxa"/>
            <w:tcBorders/>
            <w:shd w:fill="CCEEFF" w:val="clear"/>
            <w:vAlign w:val="center"/>
          </w:tcPr>
          <w:p>
            <w:pPr>
              <w:pStyle w:val="TableContents"/>
              <w:bidi w:val="0"/>
              <w:spacing w:before="0" w:after="283"/>
              <w:jc w:val="left"/>
              <w:rPr/>
            </w:pPr>
            <w:r>
              <w:rPr/>
              <w:t> </w:t>
            </w:r>
          </w:p>
        </w:tc>
      </w:tr>
      <w:tr>
        <w:trPr/>
        <w:tc>
          <w:tcPr>
            <w:tcW w:w="637"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w:t>
            </w:r>
          </w:p>
        </w:tc>
        <w:tc>
          <w:tcPr>
            <w:tcW w:w="211" w:type="dxa"/>
            <w:tcBorders/>
            <w:shd w:fill="FFFFFF" w:val="clear"/>
            <w:vAlign w:val="center"/>
          </w:tcPr>
          <w:p>
            <w:pPr>
              <w:pStyle w:val="TableContents"/>
              <w:bidi w:val="0"/>
              <w:spacing w:before="0" w:after="283"/>
              <w:jc w:val="left"/>
              <w:rPr/>
            </w:pPr>
            <w:r>
              <w:rPr/>
              <w:t> </w:t>
            </w:r>
          </w:p>
        </w:tc>
      </w:tr>
      <w:tr>
        <w:trPr/>
        <w:tc>
          <w:tcPr>
            <w:tcW w:w="637"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w:t>
            </w:r>
          </w:p>
        </w:tc>
        <w:tc>
          <w:tcPr>
            <w:tcW w:w="211" w:type="dxa"/>
            <w:tcBorders/>
            <w:shd w:fill="CCEEFF" w:val="clear"/>
            <w:vAlign w:val="center"/>
          </w:tcPr>
          <w:p>
            <w:pPr>
              <w:pStyle w:val="TableContents"/>
              <w:bidi w:val="0"/>
              <w:spacing w:before="0" w:after="283"/>
              <w:jc w:val="left"/>
              <w:rPr/>
            </w:pPr>
            <w:r>
              <w:rPr/>
              <w:t> </w:t>
            </w:r>
          </w:p>
        </w:tc>
      </w:tr>
      <w:tr>
        <w:trPr/>
        <w:tc>
          <w:tcPr>
            <w:tcW w:w="637"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w:t>
            </w:r>
          </w:p>
        </w:tc>
        <w:tc>
          <w:tcPr>
            <w:tcW w:w="211" w:type="dxa"/>
            <w:tcBorders/>
            <w:shd w:fill="FFFFFF" w:val="clear"/>
            <w:vAlign w:val="center"/>
          </w:tcPr>
          <w:p>
            <w:pPr>
              <w:pStyle w:val="TableContents"/>
              <w:bidi w:val="0"/>
              <w:spacing w:before="0" w:after="283"/>
              <w:jc w:val="left"/>
              <w:rPr/>
            </w:pPr>
            <w:r>
              <w:rPr/>
              <w:t> </w:t>
            </w:r>
          </w:p>
        </w:tc>
      </w:tr>
      <w:tr>
        <w:trPr/>
        <w:tc>
          <w:tcPr>
            <w:tcW w:w="637"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w:t>
            </w:r>
          </w:p>
        </w:tc>
        <w:tc>
          <w:tcPr>
            <w:tcW w:w="211" w:type="dxa"/>
            <w:tcBorders/>
            <w:shd w:fill="CCEEFF" w:val="clear"/>
            <w:vAlign w:val="center"/>
          </w:tcPr>
          <w:p>
            <w:pPr>
              <w:pStyle w:val="TableContents"/>
              <w:bidi w:val="0"/>
              <w:spacing w:before="0" w:after="283"/>
              <w:jc w:val="left"/>
              <w:rPr/>
            </w:pPr>
            <w:r>
              <w:rPr/>
              <w:t> </w:t>
            </w:r>
          </w:p>
        </w:tc>
      </w:tr>
      <w:tr>
        <w:trPr/>
        <w:tc>
          <w:tcPr>
            <w:tcW w:w="637"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(1) Certain of our variable rate debt investments have a PRIME or SOFR interest rate floor, which lessens the impact of decreases in interest rates.</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(2) Interest income calculated assuming three-month PRIME, and SOFR rate as of September 30, 2023.</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(3) Includes the impact of income incentive fee at 20.0% on net increase (decrease) in net interest.</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(4) As of September 30, 2023, we did not have any borrowings outstanding under our Credit Facility.</w:t>
      </w:r>
    </w:p>
    <w:p>
      <w:pPr>
        <w:pStyle w:val="TextBody"/>
        <w:bidi w:val="0"/>
        <w:jc w:val="both"/>
        <w:rPr>
          <w:rFonts w:ascii="Times New Roman" w:hAnsi="Times New Roman"/>
          <w:sz w:val="20"/>
        </w:rPr>
      </w:pPr>
      <w:r>
        <w:rPr>
          <w:rFonts w:ascii="Times New Roman" w:hAnsi="Times New Roman"/>
          <w:b w:val="false"/>
          <w:color w:val="000000"/>
          <w:sz w:val="16"/>
        </w:rPr>
        <w:br/>
        <w:br/>
      </w:r>
      <w:r>
        <w:rPr>
          <w:rFonts w:ascii="Times New Roman" w:hAnsi="Times New Roman"/>
          <w:color w:val="000000"/>
          <w:sz w:val="20"/>
        </w:rPr>
        <w:t> </w:t>
      </w:r>
    </w:p>
    <w:p>
      <w:pPr>
        <w:pStyle w:val="TextBody"/>
        <w:bidi w:val="0"/>
        <w:spacing w:before="0" w:after="180"/>
        <w:jc w:val="left"/>
        <w:rPr>
          <w:rFonts w:ascii="Times New Roman" w:hAnsi="Times New Roman"/>
          <w:b/>
          <w:color w:val="000000"/>
          <w:sz w:val="20"/>
        </w:rPr>
      </w:pPr>
      <w:bookmarkStart w:id="16" w:name="item4_controls"/>
      <w:bookmarkEnd w:id="16"/>
      <w:r>
        <w:rPr>
          <w:rFonts w:ascii="Times New Roman" w:hAnsi="Times New Roman"/>
          <w:b/>
          <w:color w:val="000000"/>
          <w:sz w:val="20"/>
        </w:rPr>
        <w:t>Item 4. Controls and Procedures.</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Evaluation of Disclosure Controls and Procedures</w:t>
      </w:r>
    </w:p>
    <w:p>
      <w:pPr>
        <w:pStyle w:val="TextBody"/>
        <w:bidi w:val="0"/>
        <w:spacing w:before="180" w:after="283"/>
        <w:jc w:val="both"/>
        <w:rPr>
          <w:rFonts w:ascii="Times New Roman" w:hAnsi="Times New Roman"/>
          <w:sz w:val="20"/>
        </w:rPr>
      </w:pPr>
      <w:r>
        <w:rPr>
          <w:rFonts w:ascii="Times New Roman" w:hAnsi="Times New Roman"/>
          <w:b w:val="false"/>
          <w:color w:val="000000"/>
          <w:sz w:val="20"/>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br/>
      </w:r>
      <w:r>
        <w:rPr>
          <w:rFonts w:ascii="Times New Roman" w:hAnsi="Times New Roman"/>
          <w:color w:val="000000"/>
          <w:sz w:val="20"/>
        </w:rPr>
        <w:t> </w:t>
      </w:r>
    </w:p>
    <w:p>
      <w:pPr>
        <w:pStyle w:val="TextBody"/>
        <w:bidi w:val="0"/>
        <w:spacing w:before="180" w:after="283"/>
        <w:jc w:val="both"/>
        <w:rPr>
          <w:rFonts w:ascii="Times New Roman" w:hAnsi="Times New Roman"/>
          <w:b w:val="false"/>
          <w:i/>
          <w:color w:val="000000"/>
          <w:sz w:val="20"/>
        </w:rPr>
      </w:pPr>
      <w:r>
        <w:rPr>
          <w:rFonts w:ascii="Times New Roman" w:hAnsi="Times New Roman"/>
          <w:b w:val="false"/>
          <w:i/>
          <w:color w:val="000000"/>
          <w:sz w:val="20"/>
        </w:rPr>
        <w:t>Changes in Internal Control over Financial Reporting</w:t>
      </w:r>
    </w:p>
    <w:p>
      <w:pPr>
        <w:pStyle w:val="TextBody"/>
        <w:bidi w:val="0"/>
        <w:spacing w:before="180" w:after="283"/>
        <w:jc w:val="both"/>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during the third quarter of 2023 that have materially affected, or are reasonably likely to materially affect, our internal control over financial reporting.</w:t>
      </w:r>
    </w:p>
    <w:p>
      <w:pPr>
        <w:pStyle w:val="TextBody"/>
        <w:bidi w:val="0"/>
        <w:jc w:val="both"/>
        <w:rPr>
          <w:rFonts w:ascii="Times New Roman" w:hAnsi="Times New Roman"/>
          <w:sz w:val="20"/>
        </w:rPr>
      </w:pPr>
      <w:r>
        <w:rPr>
          <w:rFonts w:ascii="Times New Roman" w:hAnsi="Times New Roman"/>
          <w:b w:val="false"/>
          <w:color w:val="000000"/>
          <w:sz w:val="20"/>
        </w:rPr>
        <w:br/>
        <w:br/>
      </w:r>
      <w:r>
        <w:rPr>
          <w:rFonts w:ascii="Times New Roman" w:hAnsi="Times New Roman"/>
          <w:color w:val="000000"/>
          <w:sz w:val="20"/>
        </w:rPr>
        <w:t> </w:t>
      </w:r>
    </w:p>
    <w:p>
      <w:pPr>
        <w:pStyle w:val="TextBody"/>
        <w:bidi w:val="0"/>
        <w:jc w:val="both"/>
        <w:rPr>
          <w:rFonts w:ascii="Times New Roman" w:hAnsi="Times New Roman"/>
          <w:b/>
          <w:color w:val="000000"/>
          <w:sz w:val="20"/>
        </w:rPr>
      </w:pPr>
      <w:bookmarkStart w:id="17" w:name="part_ii"/>
      <w:bookmarkEnd w:id="17"/>
      <w:r>
        <w:rPr>
          <w:rFonts w:ascii="Times New Roman" w:hAnsi="Times New Roman"/>
          <w:b/>
          <w:color w:val="000000"/>
          <w:sz w:val="20"/>
        </w:rPr>
        <w:t>PART II — OTHER INFORMATION</w:t>
      </w:r>
    </w:p>
    <w:p>
      <w:pPr>
        <w:pStyle w:val="TextBody"/>
        <w:bidi w:val="0"/>
        <w:jc w:val="both"/>
        <w:rPr/>
      </w:pPr>
      <w:r>
        <w:rPr/>
        <w:t> </w:t>
      </w:r>
    </w:p>
    <w:p>
      <w:pPr>
        <w:pStyle w:val="TextBody"/>
        <w:bidi w:val="0"/>
        <w:jc w:val="both"/>
        <w:rPr>
          <w:rFonts w:ascii="Times New Roman" w:hAnsi="Times New Roman"/>
          <w:b/>
          <w:color w:val="000000"/>
          <w:sz w:val="20"/>
        </w:rPr>
      </w:pPr>
      <w:bookmarkStart w:id="18" w:name="item1_legal_proceedings"/>
      <w:bookmarkEnd w:id="18"/>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are not, and the Investment Advisor is not, currently subject to any material legal proceedings.</w:t>
      </w:r>
    </w:p>
    <w:p>
      <w:pPr>
        <w:pStyle w:val="TextBody"/>
        <w:bidi w:val="0"/>
        <w:jc w:val="both"/>
        <w:rPr/>
      </w:pPr>
      <w:r>
        <w:rPr/>
        <w:t> </w:t>
      </w:r>
    </w:p>
    <w:p>
      <w:pPr>
        <w:pStyle w:val="TextBody"/>
        <w:bidi w:val="0"/>
        <w:jc w:val="both"/>
        <w:rPr>
          <w:rFonts w:ascii="Times New Roman" w:hAnsi="Times New Roman"/>
          <w:sz w:val="20"/>
        </w:rPr>
      </w:pPr>
      <w:bookmarkStart w:id="19" w:name="item1a_risk_factors"/>
      <w:bookmarkEnd w:id="19"/>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Except for the risk factors set forth below, there have been no material changes to the risk factors previously disclosed under "Item 1A. Risk Factors” previously disclosed in our Annual Report on Form 10-K for the year ended December 31, 2022</w:t>
      </w:r>
      <w:r>
        <w:rPr>
          <w:rFonts w:ascii="Times New Roman" w:hAnsi="Times New Roman"/>
          <w:color w:val="000000"/>
          <w:sz w:val="20"/>
        </w:rPr>
        <w:t xml:space="preserve"> </w:t>
      </w:r>
      <w:r>
        <w:rPr>
          <w:rFonts w:ascii="Times New Roman" w:hAnsi="Times New Roman"/>
          <w:b w:val="false"/>
          <w:color w:val="000000"/>
          <w:sz w:val="20"/>
        </w:rPr>
        <w:t>filed with the SEC on March 2, 2023, which are incorporated herein by reference. The risk factors therein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alternative reference rates that have replaced LIBOR in our credit arrangements and other financial instruments may not yield the same or similar economic results as LIBOR over the life of such transactions.</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London Interbank Offered Rate (“LIBOR”) is an index rate that historically was widely used in lending transactions and was a common reference rate for setting the floating interest rate on private loans. LIBOR was typically the reference rate used in floating-rate loans extended to our portfolio companies.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ICE Benchmark Administration (“IBA”) (the entity that is responsible for calculating LIBOR) ceased providing overnight, one, three, six and twelve months USD LIBOR tenors on June 30, 2023. In addition, the United Kingdom’s Financial Conduct Authority (“FCA”), which oversees the IBA, now prohibits entities supervised by the FCA from using LIBORs, including USD LIBOR, except in very limited circumstances.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In the United States, the Secured Overnight Financing Rate (“SOFR”) is the preferred alternative rate for LIBOR. SOFR is a measure of the cost of borrowing cash overnight, collateralized by U.S. Treasury securities, and is based on directly observable U.S. Treasury-backed repurchase transactions. SOFR is published by the Federal Reserve Bank of New York each U.S. Government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Securities Business Day, for transactions made on the immediately preceding U.S. Government Securities Business Day. Alternative reference rates that may replace LIBOR, including SOFR for USD transactions, may not yield the same or similar economic results as LIBOR over the lives of such transactions.</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of the filing date of this Quarterly Report on Form 10-Q, substantially all of our loans that referenced LIBOR have been amended to reference the forward-looking term rate published by CME Group Benchmark Administration Limited based on SOFR (“CME Term SOFR”) or CME Term SOFR plus a fixed spread adjustment. CME Term SOFR rates are forward-looking rates that are derived by compounding projected overnight SOFR rates over one, three, and six months taking into account the values of multiple consecutive, executed, one-month and three-month CME Group traded SOFR futures contracts and, in some cases, over-the-counter SOFR Overnight Indexed Swaps as an indicator of CME Term SOFR reference rate values. CME Term SOFR and the inputs on which it is based are derived from SOFR. Since CME Term SOFR is a relatively new market rate, there will likely be no established trading market for credit agreements or other financial instruments when they are issued, and an established market may never develop or may not be liquid. Market terms for instruments referencing CME Term SOFR rates may be lower than those of later-issued CME Term SOFR indexed instruments. Similarly, if CME Term SOFR does not prove to be widely used, the trading price of instruments referencing CME Term SOFR may be lower than those of instruments indexed to indices that are more widely used. Further, the composition and characteristics of SOFR and CME Term SOFR are not the same as those of LIBOR. Even with the application of a fixed spread adjustment, LIBOR and CME Term SOFR will not have the same composition and characteristics, and there can be no assurance that the replacement rate, as so adjusted, will be a direct substitute for LIBOR.</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There can be no guarantee that SOFR will not be discontinued or fundamentally altered in a manner that is materially adverse to the interests of investors in loans referencing SOFR. If the manner in which SOFR or CME Term SOFR is calculated is changed, that change may result in a reduction of the amount of interest payable on such loans and the trading prices of the SOFR Loans. In addition, there can be no guarantee that loans referencing SOFR or CME Term SOFR will continue to reference those rates until maturity or that, in the future, our loans will reference benchmark rates other than CME Term SOFR. Should any of these events occur, our loans, and the yield generated thereby, could be affected. Specifically, the anticipated yield on our loans may not be fully realized and our loans may be subject to increased pricing volatility and market risk.</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Our business is dependent on bank relationships and recent strain on the banking system may adversely impact us.</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financial markets recently have encountered volatility associated with concerns about the balance sheets of banks, especially small and regional banks that may have significant losses associated with investments that make it difficult to fund demands to withdraw deposits and other liquidity needs. Although the federal government has announced measures to assist these banks and protect depositors, some banks have already been impacted and others may be materially and adversely impacted. Our business is dependent on bank relationships, including small and regional banks, and we are proactively monitoring the financial health of banks with which we (or our portfolio companies) do or may in the future do business. To the extent that our portfolio companies work with banks that are negatively impacted by the foregoing, such portfolio companies’ ability to access their own cash, cash equivalents and investments may be threatened. In addition, such affected portfolio companies may not be able to enter into new banking arrangements or credit facilities, or receive the benefits of their existing banking arrangements or facilities. Any such developments could harm our business, financial condition, and operating results, and prevent us from fully implementing our investment plan. Continued strain on the banking system may adversely impact our business, financial condition and results of operations.</w:t>
      </w:r>
    </w:p>
    <w:p>
      <w:pPr>
        <w:pStyle w:val="TextBody"/>
        <w:bidi w:val="0"/>
        <w:jc w:val="both"/>
        <w:rPr/>
      </w:pPr>
      <w:r>
        <w:rPr/>
        <w:t> </w:t>
      </w:r>
    </w:p>
    <w:p>
      <w:pPr>
        <w:pStyle w:val="TextBody"/>
        <w:bidi w:val="0"/>
        <w:jc w:val="both"/>
        <w:rPr>
          <w:rFonts w:ascii="Times New Roman" w:hAnsi="Times New Roman"/>
          <w:sz w:val="20"/>
        </w:rPr>
      </w:pPr>
      <w:bookmarkStart w:id="20" w:name="item2_unregistered_sales_equity"/>
      <w:bookmarkEnd w:id="20"/>
      <w:r>
        <w:rPr>
          <w:rFonts w:ascii="Times New Roman" w:hAnsi="Times New Roman"/>
          <w:b/>
          <w:color w:val="000000"/>
          <w:sz w:val="20"/>
        </w:rPr>
        <w:t>Item 2. Unregistered Sales of Equity</w:t>
      </w:r>
      <w:r>
        <w:rPr>
          <w:rFonts w:ascii="Times New Roman" w:hAnsi="Times New Roman"/>
          <w:color w:val="000000"/>
          <w:sz w:val="20"/>
        </w:rPr>
        <w:t xml:space="preserve"> </w:t>
      </w:r>
      <w:r>
        <w:rPr>
          <w:rFonts w:ascii="Times New Roman" w:hAnsi="Times New Roman"/>
          <w:b/>
          <w:color w:val="000000"/>
          <w:sz w:val="20"/>
        </w:rPr>
        <w:t>Securities and Use of Proceeds.</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Sales of Unregistered Securities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Issuer Purchases of Equity Securities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30, 2023, the Board extended the Stock Repurchase Program through December 31, 2024, or until the approved dollar amount has been used to repurchase shares. The Stock Repurchase Program does not require us to repurchase any specific number of shares and we cannot assure that any shares will be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repurchased under the Stock Repurchase Program. The Stock Repurchase Program may be suspended, extended, modified or discontinued at any time.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bookmarkStart w:id="21" w:name="item3_defaults_upon_senior_securities"/>
      <w:bookmarkEnd w:id="2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Defaults Upon Senior Securities.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jc w:val="both"/>
        <w:rPr/>
      </w:pPr>
      <w:r>
        <w:rPr/>
        <w:t> </w:t>
      </w:r>
    </w:p>
    <w:p>
      <w:pPr>
        <w:pStyle w:val="TextBody"/>
        <w:bidi w:val="0"/>
        <w:jc w:val="both"/>
        <w:rPr>
          <w:rFonts w:ascii="Times New Roman" w:hAnsi="Times New Roman"/>
          <w:sz w:val="20"/>
        </w:rPr>
      </w:pPr>
      <w:bookmarkStart w:id="22" w:name="item4_mine_safety_disclosures"/>
      <w:bookmarkEnd w:id="22"/>
      <w:r>
        <w:rPr>
          <w:rFonts w:ascii="Times New Roman" w:hAnsi="Times New Roman"/>
          <w:b/>
          <w:color w:val="000000"/>
          <w:sz w:val="20"/>
        </w:rPr>
        <w:t>Item 4. Mine Safety Disclosures</w:t>
      </w:r>
      <w:r>
        <w:rPr>
          <w:rFonts w:ascii="Times New Roman" w:hAnsi="Times New Roman"/>
          <w:b/>
          <w:i/>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jc w:val="both"/>
        <w:rPr/>
      </w:pPr>
      <w:r>
        <w:rPr/>
        <w:t> </w:t>
      </w:r>
    </w:p>
    <w:p>
      <w:pPr>
        <w:pStyle w:val="TextBody"/>
        <w:bidi w:val="0"/>
        <w:jc w:val="both"/>
        <w:rPr>
          <w:rFonts w:ascii="Times New Roman" w:hAnsi="Times New Roman"/>
          <w:b/>
          <w:color w:val="000000"/>
          <w:sz w:val="20"/>
        </w:rPr>
      </w:pPr>
      <w:bookmarkStart w:id="23" w:name="item5_other_information"/>
      <w:bookmarkEnd w:id="23"/>
      <w:r>
        <w:rPr>
          <w:rFonts w:ascii="Times New Roman" w:hAnsi="Times New Roman"/>
          <w:b/>
          <w:color w:val="000000"/>
          <w:sz w:val="20"/>
        </w:rPr>
        <w:t>Item 5. Other Information.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4"/>
        <w:gridCol w:w="9901"/>
      </w:tblGrid>
      <w:tr>
        <w:trPr/>
        <w:tc>
          <w:tcPr>
            <w:tcW w:w="304" w:type="dxa"/>
            <w:tcBorders/>
            <w:vAlign w:val="center"/>
          </w:tcPr>
          <w:p>
            <w:pPr>
              <w:pStyle w:val="TableContents"/>
              <w:bidi w:val="0"/>
              <w:spacing w:before="0" w:after="283"/>
              <w:jc w:val="left"/>
              <w:rPr>
                <w:sz w:val="4"/>
                <w:szCs w:val="4"/>
              </w:rPr>
            </w:pPr>
            <w:r>
              <w:rPr>
                <w:sz w:val="4"/>
                <w:szCs w:val="4"/>
              </w:rPr>
            </w:r>
          </w:p>
        </w:tc>
        <w:tc>
          <w:tcPr>
            <w:tcW w:w="9901" w:type="dxa"/>
            <w:tcBorders/>
            <w:vAlign w:val="center"/>
          </w:tcPr>
          <w:p>
            <w:pPr>
              <w:pStyle w:val="TableContents"/>
              <w:bidi w:val="0"/>
              <w:spacing w:before="0" w:after="283"/>
              <w:jc w:val="left"/>
              <w:rPr>
                <w:sz w:val="4"/>
                <w:szCs w:val="4"/>
              </w:rPr>
            </w:pPr>
            <w:r>
              <w:rPr>
                <w:sz w:val="4"/>
                <w:szCs w:val="4"/>
              </w:rPr>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None.</w:t>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None.</w:t>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w:t>
            </w:r>
          </w:p>
        </w:tc>
        <w:tc>
          <w:tcPr>
            <w:tcW w:w="9901" w:type="dxa"/>
            <w:tcBorders/>
            <w:tcMar>
              <w:top w:w="0" w:type="dxa"/>
              <w:left w:w="0" w:type="dxa"/>
              <w:bottom w:w="0" w:type="dxa"/>
              <w:right w:w="0" w:type="dxa"/>
            </w:tcMar>
            <w:vAlign w:val="center"/>
          </w:tcPr>
          <w:p>
            <w:pPr>
              <w:pStyle w:val="TableContents"/>
              <w:bidi w:val="0"/>
              <w:jc w:val="both"/>
              <w:rPr>
                <w:rFonts w:ascii="Times New Roman" w:hAnsi="Times New Roman"/>
                <w:b w:val="false"/>
                <w:color w:val="000000"/>
                <w:sz w:val="20"/>
              </w:rPr>
            </w:pPr>
            <w:r>
              <w:rPr>
                <w:rFonts w:ascii="Times New Roman" w:hAnsi="Times New Roman"/>
                <w:b w:val="false"/>
                <w:color w:val="000000"/>
                <w:sz w:val="20"/>
              </w:rPr>
              <w:t>For the period covered by this Quarterly Report on Form 10-Q, no director or officer of the Company has entered into any (i) contract, instruction or written plan for the purchase or sale of securities of the Company intended to satisfy the affirmative defense conditions of Rule 10b5-1(c) under the Exchange Act or (ii) any non-Rule 10b5-1 trading arrangement.</w:t>
            </w:r>
          </w:p>
          <w:p>
            <w:pPr>
              <w:pStyle w:val="TableContents"/>
              <w:bidi w:val="0"/>
              <w:jc w:val="both"/>
              <w:rPr/>
            </w:pPr>
            <w:r>
              <w:rPr/>
              <w:t> </w:t>
            </w:r>
          </w:p>
          <w:p>
            <w:pPr>
              <w:pStyle w:val="TableContents"/>
              <w:bidi w:val="0"/>
              <w:spacing w:before="0" w:after="283"/>
              <w:jc w:val="both"/>
              <w:rPr>
                <w:rFonts w:ascii="Times New Roman" w:hAnsi="Times New Roman"/>
                <w:sz w:val="20"/>
              </w:rPr>
            </w:pPr>
            <w:r>
              <w:rPr>
                <w:rFonts w:ascii="Times New Roman" w:hAnsi="Times New Roman"/>
                <w:b w:val="false"/>
                <w:color w:val="000000"/>
                <w:sz w:val="20"/>
              </w:rPr>
              <w:t>The Company has adopted</w:t>
            </w:r>
            <w:r>
              <w:rPr>
                <w:rFonts w:ascii="Times New Roman" w:hAnsi="Times New Roman"/>
                <w:color w:val="000000"/>
                <w:sz w:val="20"/>
              </w:rPr>
              <w:t> </w:t>
            </w:r>
            <w:r>
              <w:rPr>
                <w:rFonts w:ascii="Times New Roman" w:hAnsi="Times New Roman"/>
                <w:b w:val="false"/>
                <w:color w:val="000000"/>
                <w:sz w:val="20"/>
              </w:rPr>
              <w:t>insider trading policies and procedures governing the purchase, sale, and disposition of the Company’s securities by officers and directors of the Company that are reasonably designed to promote compliance with insider trading laws, rules and regulations.</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4" w:name="item6_exhibits"/>
      <w:bookmarkEnd w:id="24"/>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146"/>
        <w:gridCol w:w="9230"/>
      </w:tblGrid>
      <w:tr>
        <w:trPr/>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0" w:type="dxa"/>
            <w:tcBorders/>
            <w:vAlign w:val="center"/>
          </w:tcPr>
          <w:p>
            <w:pPr>
              <w:pStyle w:val="TableContents"/>
              <w:bidi w:val="0"/>
              <w:spacing w:before="0" w:after="283"/>
              <w:jc w:val="left"/>
              <w:rPr>
                <w:sz w:val="4"/>
                <w:szCs w:val="4"/>
              </w:rPr>
            </w:pPr>
            <w:r>
              <w:rPr>
                <w:sz w:val="4"/>
                <w:szCs w:val="4"/>
              </w:rPr>
            </w:r>
          </w:p>
        </w:tc>
      </w:tr>
      <w:tr>
        <w:trPr/>
        <w:tc>
          <w:tcPr>
            <w:tcW w:w="8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3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Articles of Amendment and Restatement of the Registrant (Filed as Exhibit (a)(1) to Pre-Effective Amendment No. 2 to the Registrant’s Registration Statement on Form N-2 (File No. 333-172550) filed with the U.S. Securities and Exchange Commission on April 29, 2011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Bylaws of the Registrant (Filed as Exhibit (b)(1) to Pre-Effective Amendment No. 2 to the Registrant’s Registration Statement on Form N-2 (File No. 333-172550) filed with the U.S. Securities and Exchange Commission on April 29, 2011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Form of Stock Certificate of the Registrant (Filed as Exhibit (d) to Pre-Effective Amendment No. 2 to the Registrant’s Registration Statement on Form N-2 (File No. 333-172550) filed with the U.S. Securities and Exchange Commission on April 29, 2011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Agreement to Furnish Certain Instruments (Filed as Exhibit (f)(2) to Pre-Effective Amendment No. 3 to the Registrant’s Registration Statement on Form N-2 (File No. 333-172550) filed with the U.S. Securities and Exchange Commission on May 26, 2011 and incorporated herein by reference)</w:t>
              </w:r>
            </w:hyperlink>
            <w:r>
              <w:rPr>
                <w:rFonts w:ascii="Times New Roman" w:hAnsi="Times New Roman"/>
                <w:b w:val="false"/>
                <w:color w:val="000000"/>
                <w:sz w:val="20"/>
              </w:rPr>
              <w:t>.</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b w:val="false"/>
                  <w:color w:val="0000FF"/>
                  <w:sz w:val="20"/>
                  <w:u w:val="single"/>
                </w:rPr>
                <w:t>Form of Indenture (Filed as Exhibit (d)(5) to Post-Effective Amendment No. 2 to the Registrant’s Registration Statement on Form N-2 (File No. 333-202531) filed with the U.S. Securities and Exchange Commission on April 29, 2016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b w:val="false"/>
                  <w:color w:val="0000FF"/>
                  <w:sz w:val="20"/>
                  <w:u w:val="single"/>
                </w:rPr>
                <w:t>Fourth Supplemental Indenture dated as of December 23, 2020 between Fidus Investment Corporation and U.S. Bank National Association, as trustee (Filed as Exhibit 4.1 to the Registrant’s Current report on Form 8-K filed with the U.S. Securities and Exchange Commission on December 23, 2020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b w:val="false"/>
                  <w:color w:val="0000FF"/>
                  <w:sz w:val="20"/>
                  <w:u w:val="single"/>
                </w:rPr>
                <w:t>Form of Global Note with respect to the 4.75% Notes due 2026 (Filed as Exhibit 4.1 to the Registrant’s Current report on Form 8-K filed with the U.S. Securities and Exchange Commission on December 23, 2020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b w:val="false"/>
                  <w:color w:val="0000FF"/>
                  <w:sz w:val="20"/>
                  <w:u w:val="single"/>
                </w:rPr>
                <w:t>Fifth Supplemental Indenture dated as of October 8, 2021 between Fidus Investment Corporation and U.S. Bank National Association, as trustee (Filed as Exhibit 4.1 to the Registrant’s Current report on Form 8-K filed with the U.S. Securities and Exchange Commission on October 8, 2021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b w:val="false"/>
                  <w:color w:val="0000FF"/>
                  <w:sz w:val="20"/>
                  <w:u w:val="single"/>
                </w:rPr>
                <w:t>Form of Global Note with respect to the 3.50% Notes due 2026 (Filed as Exhibit 4.1 to the Registrant’s Current report on Form 8-K filed with the U.S. Securities and Exchange Commission on October 8, 2021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hyperlink w:anchor="fdus-ex31_1.htm">
              <w:r>
                <w:rPr>
                  <w:rStyle w:val="InternetLink"/>
                  <w:rFonts w:ascii="Times New Roman" w:hAnsi="Times New Roman"/>
                  <w:b w:val="false"/>
                  <w:color w:val="0000FF"/>
                  <w:sz w:val="20"/>
                  <w:u w:val="single"/>
                </w:rPr>
                <w:t>Chief Executive Officer Certification Pursuant to Rule 13a-14 of the Securities Exchange Act of 1934, as adopted pursuant to Section 302 of the Sarbanes-Oxley Act of 2002.*</w:t>
              </w:r>
            </w:hyperlink>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hyperlink w:anchor="fdus-ex31_2.htm">
              <w:r>
                <w:rPr>
                  <w:rStyle w:val="InternetLink"/>
                  <w:rFonts w:ascii="Times New Roman" w:hAnsi="Times New Roman"/>
                  <w:b w:val="false"/>
                  <w:color w:val="0000FF"/>
                  <w:sz w:val="20"/>
                  <w:u w:val="single"/>
                </w:rPr>
                <w:t>Chief Financial Officer Certification Pursuant to Rule 13a-14 of the Securities Exchange Act of 1934, as adopted pursuant to Section 302 of the Sarbanes-Oxley Act of 2002.*</w:t>
              </w:r>
            </w:hyperlink>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hyperlink w:anchor="fdus-ex32_1.htm">
              <w:r>
                <w:rPr>
                  <w:rStyle w:val="InternetLink"/>
                  <w:rFonts w:ascii="Times New Roman" w:hAnsi="Times New Roman"/>
                  <w:b w:val="false"/>
                  <w:color w:val="0000FF"/>
                  <w:sz w:val="20"/>
                  <w:u w:val="single"/>
                </w:rPr>
                <w:t>Certification pursuant to Section 1350, Chapter 63 of Title 18, United States Code, as adopted pursuant to Section 906 of the Sarbanes-Oxley Act of 2002.*</w:t>
              </w:r>
            </w:hyperlink>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88" w:type="dxa"/>
        <w:jc w:val="left"/>
        <w:tblInd w:w="0" w:type="dxa"/>
        <w:tblLayout w:type="fixed"/>
        <w:tblCellMar>
          <w:top w:w="28" w:type="dxa"/>
          <w:left w:w="28" w:type="dxa"/>
          <w:bottom w:w="28" w:type="dxa"/>
          <w:right w:w="28" w:type="dxa"/>
        </w:tblCellMar>
      </w:tblPr>
      <w:tblGrid>
        <w:gridCol w:w="436"/>
        <w:gridCol w:w="146"/>
        <w:gridCol w:w="6706"/>
      </w:tblGrid>
      <w:tr>
        <w:trPr/>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*Filed herewith.</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867" w:type="dxa"/>
        <w:jc w:val="left"/>
        <w:tblInd w:w="0" w:type="dxa"/>
        <w:tblLayout w:type="fixed"/>
        <w:tblCellMar>
          <w:top w:w="28" w:type="dxa"/>
          <w:left w:w="28" w:type="dxa"/>
          <w:bottom w:w="28" w:type="dxa"/>
          <w:right w:w="28" w:type="dxa"/>
        </w:tblCellMar>
      </w:tblPr>
      <w:tblGrid>
        <w:gridCol w:w="2101"/>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FIDUS INVESTMENT CORPORATION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Date: November 2, 2023</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u w:val="single"/>
              </w:rPr>
            </w:pPr>
            <w:r>
              <w:rPr>
                <w:rFonts w:ascii="Times New Roman" w:hAnsi="Times New Roman"/>
                <w:b w:val="false"/>
                <w:color w:val="000000"/>
                <w:sz w:val="20"/>
                <w:u w:val="single"/>
              </w:rPr>
              <w:t>/s/ EDWARD H. ROSS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Edward H. Ross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Chairman and 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u w:val="single"/>
              </w:rPr>
            </w:pPr>
            <w:r>
              <w:rPr>
                <w:rFonts w:ascii="Times New Roman" w:hAnsi="Times New Roman"/>
                <w:b w:val="false"/>
                <w:color w:val="000000"/>
                <w:sz w:val="20"/>
                <w:u w:val="single"/>
              </w:rPr>
              <w:t>/s/ SHELBY E. SHERARD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Shelby E. Sherard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val="false"/>
                <w:color w:val="000000"/>
                <w:sz w:val="20"/>
              </w:rPr>
              <w:t>Chief Financial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bookmarkStart w:id="26" w:name="fdus-ex31_1.htm"/>
      <w:bookmarkStart w:id="27" w:name="ksfdus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 Chief Executive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Edward H. Ross, as Chief Executive Officer of Fidus Investment Corporation, certify that: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Fidus Investment Corporation;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Date: November 2, 2023</w:t>
      </w:r>
    </w:p>
    <w:p>
      <w:pPr>
        <w:pStyle w:val="TextBody"/>
        <w:bidi w:val="0"/>
        <w:jc w:val="left"/>
        <w:rPr/>
      </w:pPr>
      <w:r>
        <w:rPr/>
        <w:t> </w:t>
      </w:r>
    </w:p>
    <w:p>
      <w:pPr>
        <w:pStyle w:val="TextBody"/>
        <w:bidi w:val="0"/>
        <w:jc w:val="left"/>
        <w:rPr>
          <w:rFonts w:ascii="Times New Roman" w:hAnsi="Times New Roman"/>
          <w:b w:val="false"/>
          <w:color w:val="000000"/>
          <w:sz w:val="20"/>
          <w:u w:val="single"/>
        </w:rPr>
      </w:pPr>
      <w:r>
        <w:rPr>
          <w:rFonts w:ascii="Times New Roman" w:hAnsi="Times New Roman"/>
          <w:b w:val="false"/>
          <w:color w:val="000000"/>
          <w:sz w:val="20"/>
          <w:u w:val="single"/>
        </w:rPr>
        <w:t xml:space="preserve">/s/ EDWARD H. ROSS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Edward H. Ross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Chairman and Chief Executive Officer</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fdus-ex31_2.htm"/>
      <w:bookmarkStart w:id="29" w:name="ksfdus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 Chief Financial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Shelby E. Sherard, as Chief Financial Officer of Fidus Investment Corporation, certify that: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Fidus Investment Corporation;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Date: November 2, 2023</w:t>
      </w:r>
    </w:p>
    <w:p>
      <w:pPr>
        <w:pStyle w:val="TextBody"/>
        <w:bidi w:val="0"/>
        <w:jc w:val="left"/>
        <w:rPr/>
      </w:pPr>
      <w:r>
        <w:rPr/>
        <w:t> </w:t>
      </w:r>
    </w:p>
    <w:p>
      <w:pPr>
        <w:pStyle w:val="TextBody"/>
        <w:bidi w:val="0"/>
        <w:jc w:val="left"/>
        <w:rPr>
          <w:rFonts w:ascii="Times New Roman" w:hAnsi="Times New Roman"/>
          <w:b w:val="false"/>
          <w:color w:val="000000"/>
          <w:sz w:val="20"/>
          <w:u w:val="single"/>
        </w:rPr>
      </w:pPr>
      <w:r>
        <w:rPr>
          <w:rFonts w:ascii="Times New Roman" w:hAnsi="Times New Roman"/>
          <w:b w:val="false"/>
          <w:color w:val="000000"/>
          <w:sz w:val="20"/>
          <w:u w:val="single"/>
        </w:rPr>
        <w:t xml:space="preserve">/s/ SHELBY E. SHERARD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Shelby E. Sherard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Chief Financial Officer</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(Principal Financial and Accounting Officer)</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fdus-ex32_1.htm"/>
      <w:bookmarkStart w:id="31" w:name="ksfdus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of Fidus Investment Corporation (the “Company”) for the quarterly period ended September 30, 2023,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(1) The Report fully complies with the requirements of Section 13(a) or 15(d) of the Securities Exchange Act of 1934; and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(2) The information contained in the Report fairly presents, in all material respects, the financial condition and results of operations of the Company.</w:t>
      </w:r>
    </w:p>
    <w:p>
      <w:pPr>
        <w:pStyle w:val="TextBody"/>
        <w:bidi w:val="0"/>
        <w:jc w:val="both"/>
        <w:rPr/>
      </w:pPr>
      <w:r>
        <w:rPr/>
        <w:t> </w:t>
      </w:r>
    </w:p>
    <w:tbl>
      <w:tblPr>
        <w:tblW w:w="5867" w:type="dxa"/>
        <w:jc w:val="left"/>
        <w:tblInd w:w="0" w:type="dxa"/>
        <w:tblLayout w:type="fixed"/>
        <w:tblCellMar>
          <w:top w:w="28" w:type="dxa"/>
          <w:left w:w="28" w:type="dxa"/>
          <w:bottom w:w="28" w:type="dxa"/>
          <w:right w:w="28" w:type="dxa"/>
        </w:tblCellMar>
      </w:tblPr>
      <w:tblGrid>
        <w:gridCol w:w="2101"/>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u w:val="single"/>
              </w:rPr>
            </w:pPr>
            <w:r>
              <w:rPr>
                <w:rFonts w:ascii="Times New Roman" w:hAnsi="Times New Roman"/>
                <w:b w:val="false"/>
                <w:color w:val="000000"/>
                <w:sz w:val="20"/>
                <w:u w:val="single"/>
              </w:rPr>
              <w:t>/s/ EDWARD H. ROSS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Edward H. Ross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Chairman and 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u w:val="single"/>
              </w:rPr>
            </w:pPr>
            <w:r>
              <w:rPr>
                <w:rFonts w:ascii="Times New Roman" w:hAnsi="Times New Roman"/>
                <w:b w:val="false"/>
                <w:color w:val="000000"/>
                <w:sz w:val="20"/>
                <w:u w:val="single"/>
              </w:rPr>
              <w:t>/s/ SHELBY E. SHERARD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Shelby E. Sherard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jc w:val="left"/>
        <w:rPr/>
      </w:pPr>
      <w:r>
        <w:rPr/>
        <w:t> </w:t>
      </w:r>
    </w:p>
    <w:p>
      <w:pPr>
        <w:pStyle w:val="TextBody"/>
        <w:bidi w:val="0"/>
        <w:spacing w:before="180" w:after="283"/>
        <w:jc w:val="left"/>
        <w:rPr/>
      </w:pPr>
      <w:r>
        <w:rPr/>
        <w:t> </w:t>
      </w:r>
    </w:p>
    <w:p>
      <w:pPr>
        <w:pStyle w:val="TextBody"/>
        <w:bidi w:val="0"/>
        <w:jc w:val="left"/>
        <w:rPr/>
      </w:pPr>
      <w:r>
        <w:rPr/>
        <w:t> </w:t>
      </w:r>
    </w:p>
    <w:p>
      <w:pPr>
        <w:pStyle w:val="TextBody"/>
        <w:bidi w:val="0"/>
        <w:jc w:val="both"/>
        <w:rPr/>
      </w:pPr>
      <w:r>
        <w:rPr/>
        <w:t> </w:t>
      </w:r>
    </w:p>
    <w:p>
      <w:pPr>
        <w:pStyle w:val="TextBody"/>
        <w:bidi w:val="0"/>
        <w:spacing w:before="0" w:after="18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3363/000095012311041885/w81466a2exv99wxayx1y.htm" TargetMode="External"/><Relationship Id="rId3" Type="http://schemas.openxmlformats.org/officeDocument/2006/relationships/hyperlink" Target="https://www.sec.gov/Archives/edgar/data/1513363/000095012311041885/w81466a2exv99wxbyx1y.htm" TargetMode="External"/><Relationship Id="rId4" Type="http://schemas.openxmlformats.org/officeDocument/2006/relationships/hyperlink" Target="https://www.sec.gov/Archives/edgar/data/1513363/000095012311041885/w81466a2exv99wxdy.htm" TargetMode="External"/><Relationship Id="rId5" Type="http://schemas.openxmlformats.org/officeDocument/2006/relationships/hyperlink" Target="https://www.sec.gov/Archives/edgar/data/1513363/000095012311054001/w81466a3exv99wxfyx2y.htm" TargetMode="External"/><Relationship Id="rId6" Type="http://schemas.openxmlformats.org/officeDocument/2006/relationships/hyperlink" Target="https://www.sec.gov/Archives/edgar/data/1513363/000119312516569246/d141023dex99d5.htm" TargetMode="External"/><Relationship Id="rId7" Type="http://schemas.openxmlformats.org/officeDocument/2006/relationships/hyperlink" Target="https://www.sec.gov/Archives/edgar/data/1513363/000119312520325989/d97521dex41.htm" TargetMode="External"/><Relationship Id="rId8" Type="http://schemas.openxmlformats.org/officeDocument/2006/relationships/hyperlink" Target="https://www.sec.gov/Archives/edgar/data/1513363/000119312520325989/d97521dex41.htm" TargetMode="External"/><Relationship Id="rId9" Type="http://schemas.openxmlformats.org/officeDocument/2006/relationships/hyperlink" Target="https://www.sec.gov/Archives/edgar/data/0001513363/000119312521295460/d193806dex41.htm" TargetMode="External"/><Relationship Id="rId10" Type="http://schemas.openxmlformats.org/officeDocument/2006/relationships/hyperlink" Target="https://www.sec.gov/Archives/edgar/data/0001513363/000119312521295460/d193806dex4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48450</Words>
  <Characters>263171</Characters>
  <CharactersWithSpaces>322160</CharactersWithSpaces>
  <Paragraphs>26735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