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94233d40appa.htm"/>
      <w:bookmarkStart w:id="1" w:name="ksd194233d40appa"/>
      <w:bookmarkEnd w:id="0"/>
      <w:bookmarkEnd w:id="1"/>
      <w:r>
        <w:rPr>
          <w:rFonts w:ascii="Times New Roman" w:hAnsi="Times New Roman"/>
          <w:b/>
          <w:sz w:val="20"/>
        </w:rPr>
        <w:t xml:space="preserve">File No. 812-16082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U.S. 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EXPEDITED REVIEW REQUESTED UNDER 17 CFR 270.0-5(d)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In the Matter of the Application of: </w:t>
      </w:r>
    </w:p>
    <w:p>
      <w:pPr>
        <w:pStyle w:val="TextBody"/>
        <w:bidi w:val="0"/>
        <w:spacing w:before="240" w:after="0"/>
        <w:jc w:val="center"/>
        <w:rPr>
          <w:rFonts w:ascii="Times New Roman" w:hAnsi="Times New Roman"/>
          <w:b/>
          <w:sz w:val="20"/>
        </w:rPr>
      </w:pPr>
      <w:r>
        <w:rPr>
          <w:rFonts w:ascii="Times New Roman" w:hAnsi="Times New Roman"/>
          <w:b/>
          <w:sz w:val="20"/>
        </w:rPr>
        <w:t xml:space="preserve">FIDUS INVESTMENT CORPORATION, FIDUS CREDIT OPPORTUNITIES, L.P., FIDUS EQUITY </w:t>
      </w:r>
    </w:p>
    <w:p>
      <w:pPr>
        <w:pStyle w:val="TextBody"/>
        <w:bidi w:val="0"/>
        <w:spacing w:before="0" w:after="0"/>
        <w:jc w:val="center"/>
        <w:rPr>
          <w:rFonts w:ascii="Times New Roman" w:hAnsi="Times New Roman"/>
          <w:b/>
          <w:sz w:val="20"/>
        </w:rPr>
      </w:pPr>
      <w:r>
        <w:rPr>
          <w:rFonts w:ascii="Times New Roman" w:hAnsi="Times New Roman"/>
          <w:b/>
          <w:sz w:val="20"/>
        </w:rPr>
        <w:t xml:space="preserve">OPPORTUNITIES FUND, L.P., FIDUS MEZZANINE CAPITAL, L.P., FIDUS MEZZANINE CAPITAL II, </w:t>
      </w:r>
    </w:p>
    <w:p>
      <w:pPr>
        <w:pStyle w:val="TextBody"/>
        <w:bidi w:val="0"/>
        <w:spacing w:before="0" w:after="0"/>
        <w:jc w:val="center"/>
        <w:rPr>
          <w:rFonts w:ascii="Times New Roman" w:hAnsi="Times New Roman"/>
          <w:b/>
          <w:sz w:val="20"/>
        </w:rPr>
      </w:pPr>
      <w:r>
        <w:rPr>
          <w:rFonts w:ascii="Times New Roman" w:hAnsi="Times New Roman"/>
          <w:b/>
          <w:sz w:val="20"/>
        </w:rPr>
        <w:t xml:space="preserve">L.P., FIDUS MEZZANINE CAPITAL III, L.P., FIDUS MEZZANINE CAPITAL IV, L.P., FIC FUNDING, </w:t>
      </w:r>
    </w:p>
    <w:p>
      <w:pPr>
        <w:pStyle w:val="TextBody"/>
        <w:bidi w:val="0"/>
        <w:spacing w:before="0" w:after="0"/>
        <w:jc w:val="center"/>
        <w:rPr>
          <w:rFonts w:ascii="Times New Roman" w:hAnsi="Times New Roman"/>
          <w:b/>
          <w:sz w:val="20"/>
        </w:rPr>
      </w:pPr>
      <w:r>
        <w:rPr>
          <w:rFonts w:ascii="Times New Roman" w:hAnsi="Times New Roman"/>
          <w:b/>
          <w:sz w:val="20"/>
        </w:rPr>
        <w:t xml:space="preserve">LLC, FIDUS INVESTMENT HOLDINGS, INC., AND FIDUS INVESTMENT ADVISORS, LLC </w:t>
      </w:r>
    </w:p>
    <w:p>
      <w:pPr>
        <w:pStyle w:val="TextBody"/>
        <w:bidi w:val="0"/>
        <w:spacing w:before="240" w:after="0"/>
        <w:jc w:val="center"/>
        <w:rPr>
          <w:rFonts w:ascii="Times New Roman" w:hAnsi="Times New Roman"/>
          <w:b/>
          <w:sz w:val="20"/>
        </w:rPr>
      </w:pPr>
      <w:r>
        <w:rPr>
          <w:rFonts w:ascii="Times New Roman" w:hAnsi="Times New Roman"/>
          <w:b/>
          <w:sz w:val="20"/>
        </w:rPr>
        <w:t xml:space="preserve">1603 Orrington Avenue, Suite 1005 </w:t>
      </w:r>
    </w:p>
    <w:p>
      <w:pPr>
        <w:pStyle w:val="TextBody"/>
        <w:bidi w:val="0"/>
        <w:spacing w:before="0" w:after="0"/>
        <w:jc w:val="center"/>
        <w:rPr>
          <w:rFonts w:ascii="Times New Roman" w:hAnsi="Times New Roman"/>
          <w:b/>
          <w:sz w:val="20"/>
        </w:rPr>
      </w:pPr>
      <w:r>
        <w:rPr>
          <w:rFonts w:ascii="Times New Roman" w:hAnsi="Times New Roman"/>
          <w:b/>
          <w:sz w:val="20"/>
        </w:rPr>
        <w:t xml:space="preserve">Evanston, Illinois 60201 </w:t>
      </w:r>
    </w:p>
    <w:p>
      <w:pPr>
        <w:pStyle w:val="TextBody"/>
        <w:bidi w:val="0"/>
        <w:spacing w:before="0" w:after="0"/>
        <w:jc w:val="center"/>
        <w:rPr>
          <w:rFonts w:ascii="Times New Roman" w:hAnsi="Times New Roman"/>
          <w:b/>
          <w:sz w:val="20"/>
        </w:rPr>
      </w:pPr>
      <w:r>
        <w:rPr>
          <w:rFonts w:ascii="Times New Roman" w:hAnsi="Times New Roman"/>
          <w:b/>
          <w:sz w:val="20"/>
        </w:rPr>
        <w:t xml:space="preserve">(847) 859-3940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1 TO THE APPLICATION FOR AN ORDER PURSUANT TO SECTIONS 17(d) AND </w:t>
      </w:r>
    </w:p>
    <w:p>
      <w:pPr>
        <w:pStyle w:val="TextBody"/>
        <w:bidi w:val="0"/>
        <w:spacing w:before="0" w:after="0"/>
        <w:jc w:val="center"/>
        <w:rPr>
          <w:rFonts w:ascii="Times New Roman" w:hAnsi="Times New Roman"/>
          <w:b/>
          <w:sz w:val="20"/>
        </w:rPr>
      </w:pPr>
      <w:r>
        <w:rPr>
          <w:rFonts w:ascii="Times New Roman" w:hAnsi="Times New Roman"/>
          <w:b/>
          <w:sz w:val="20"/>
        </w:rPr>
        <w:t xml:space="preserve">57(i) OF THE INVESTMENT COMPANY ACT OF 1940 AND RULE 17d-1 UNDER THE INVESTMENT </w:t>
      </w:r>
    </w:p>
    <w:p>
      <w:pPr>
        <w:pStyle w:val="TextBody"/>
        <w:bidi w:val="0"/>
        <w:spacing w:before="0" w:after="0"/>
        <w:jc w:val="center"/>
        <w:rPr>
          <w:rFonts w:ascii="Times New Roman" w:hAnsi="Times New Roman"/>
          <w:b/>
          <w:sz w:val="20"/>
        </w:rPr>
      </w:pPr>
      <w:r>
        <w:rPr>
          <w:rFonts w:ascii="Times New Roman" w:hAnsi="Times New Roman"/>
          <w:b/>
          <w:sz w:val="20"/>
        </w:rPr>
        <w:t xml:space="preserve">COMPANY ACT OF 1940 PERMITTING CERTAIN JOINT TRANSACTIONS OTHERWISE PROHIBITED BY </w:t>
      </w:r>
    </w:p>
    <w:p>
      <w:pPr>
        <w:pStyle w:val="TextBody"/>
        <w:bidi w:val="0"/>
        <w:spacing w:before="0" w:after="0"/>
        <w:jc w:val="center"/>
        <w:rPr>
          <w:rFonts w:ascii="Times New Roman" w:hAnsi="Times New Roman"/>
          <w:b/>
          <w:sz w:val="20"/>
        </w:rPr>
      </w:pPr>
      <w:r>
        <w:rPr>
          <w:rFonts w:ascii="Times New Roman" w:hAnsi="Times New Roman"/>
          <w:b/>
          <w:sz w:val="20"/>
        </w:rPr>
        <w:t xml:space="preserve">SECTIONS 17(d) AND 57(a)(4) OF AND RULE 17d-1 UNDER THE INVESTMENT COMPANY ACT OF 1940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All Communications, Notices and Orders to: </w:t>
      </w:r>
    </w:p>
    <w:p>
      <w:pPr>
        <w:pStyle w:val="TextBody"/>
        <w:bidi w:val="0"/>
        <w:spacing w:before="240" w:after="0"/>
        <w:jc w:val="center"/>
        <w:rPr>
          <w:rFonts w:ascii="Times New Roman" w:hAnsi="Times New Roman"/>
          <w:b/>
          <w:sz w:val="20"/>
        </w:rPr>
      </w:pPr>
      <w:r>
        <w:rPr>
          <w:rFonts w:ascii="Times New Roman" w:hAnsi="Times New Roman"/>
          <w:b/>
          <w:sz w:val="20"/>
        </w:rPr>
        <w:t xml:space="preserve">Edward H. Ross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Fidus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1603 Orrington Avenue, Suite 1005 </w:t>
      </w:r>
    </w:p>
    <w:p>
      <w:pPr>
        <w:pStyle w:val="TextBody"/>
        <w:bidi w:val="0"/>
        <w:spacing w:before="0" w:after="0"/>
        <w:jc w:val="center"/>
        <w:rPr>
          <w:rFonts w:ascii="Times New Roman" w:hAnsi="Times New Roman"/>
          <w:b/>
          <w:sz w:val="20"/>
        </w:rPr>
      </w:pPr>
      <w:r>
        <w:rPr>
          <w:rFonts w:ascii="Times New Roman" w:hAnsi="Times New Roman"/>
          <w:b/>
          <w:sz w:val="20"/>
        </w:rPr>
        <w:t xml:space="preserve">Evanston, Illinois 60201 </w:t>
      </w:r>
    </w:p>
    <w:p>
      <w:pPr>
        <w:pStyle w:val="TextBody"/>
        <w:bidi w:val="0"/>
        <w:spacing w:before="0" w:after="0"/>
        <w:jc w:val="center"/>
        <w:rPr>
          <w:rFonts w:ascii="Times New Roman" w:hAnsi="Times New Roman"/>
          <w:b/>
          <w:sz w:val="20"/>
        </w:rPr>
      </w:pPr>
      <w:r>
        <w:rPr>
          <w:rFonts w:ascii="Times New Roman" w:hAnsi="Times New Roman"/>
          <w:b/>
          <w:sz w:val="20"/>
        </w:rPr>
        <w:t xml:space="preserve">(847) 859-3940 </w:t>
      </w:r>
    </w:p>
    <w:p>
      <w:pPr>
        <w:pStyle w:val="TextBody"/>
        <w:bidi w:val="0"/>
        <w:spacing w:before="0" w:after="0"/>
        <w:jc w:val="center"/>
        <w:rPr>
          <w:rFonts w:ascii="Times New Roman" w:hAnsi="Times New Roman"/>
          <w:b/>
          <w:sz w:val="20"/>
        </w:rPr>
      </w:pPr>
      <w:r>
        <w:rPr>
          <w:rFonts w:ascii="Times New Roman" w:hAnsi="Times New Roman"/>
          <w:b/>
          <w:sz w:val="20"/>
          <w:u w:val="single"/>
        </w:rPr>
        <w:t>eross@fidusinv.com</w:t>
      </w:r>
      <w:r>
        <w:rPr>
          <w:rFonts w:ascii="Times New Roman" w:hAnsi="Times New Roman"/>
          <w:b/>
          <w:sz w:val="20"/>
        </w:rPr>
        <w:t xml:space="preserv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Steven B. Boehm </w:t>
      </w:r>
    </w:p>
    <w:p>
      <w:pPr>
        <w:pStyle w:val="TextBody"/>
        <w:bidi w:val="0"/>
        <w:spacing w:before="0" w:after="0"/>
        <w:jc w:val="center"/>
        <w:rPr>
          <w:rFonts w:ascii="Times New Roman" w:hAnsi="Times New Roman"/>
          <w:b/>
          <w:sz w:val="20"/>
        </w:rPr>
      </w:pPr>
      <w:r>
        <w:rPr>
          <w:rFonts w:ascii="Times New Roman" w:hAnsi="Times New Roman"/>
          <w:b/>
          <w:sz w:val="20"/>
        </w:rPr>
        <w:t xml:space="preserve">Anne G. Oberndorf </w:t>
      </w:r>
    </w:p>
    <w:p>
      <w:pPr>
        <w:pStyle w:val="TextBody"/>
        <w:bidi w:val="0"/>
        <w:spacing w:before="0" w:after="0"/>
        <w:jc w:val="center"/>
        <w:rPr>
          <w:rFonts w:ascii="Times New Roman" w:hAnsi="Times New Roman"/>
          <w:b/>
          <w:sz w:val="20"/>
        </w:rPr>
      </w:pPr>
      <w:r>
        <w:rPr>
          <w:rFonts w:ascii="Times New Roman" w:hAnsi="Times New Roman"/>
          <w:b/>
          <w:sz w:val="20"/>
        </w:rPr>
        <w:t xml:space="preserve">Payam Siadatpour </w:t>
      </w:r>
    </w:p>
    <w:p>
      <w:pPr>
        <w:pStyle w:val="TextBody"/>
        <w:bidi w:val="0"/>
        <w:spacing w:before="0" w:after="0"/>
        <w:jc w:val="center"/>
        <w:rPr>
          <w:rFonts w:ascii="Times New Roman" w:hAnsi="Times New Roman"/>
          <w:b/>
          <w:sz w:val="20"/>
        </w:rPr>
      </w:pPr>
      <w:r>
        <w:rPr>
          <w:rFonts w:ascii="Times New Roman" w:hAnsi="Times New Roman"/>
          <w:b/>
          <w:sz w:val="20"/>
        </w:rPr>
        <w:t xml:space="preserve">Eversheds Sutherland (US) LLP </w:t>
      </w:r>
    </w:p>
    <w:p>
      <w:pPr>
        <w:pStyle w:val="TextBody"/>
        <w:bidi w:val="0"/>
        <w:spacing w:before="0" w:after="0"/>
        <w:jc w:val="center"/>
        <w:rPr>
          <w:rFonts w:ascii="Times New Roman" w:hAnsi="Times New Roman"/>
          <w:b/>
          <w:sz w:val="20"/>
        </w:rPr>
      </w:pPr>
      <w:r>
        <w:rPr>
          <w:rFonts w:ascii="Times New Roman" w:hAnsi="Times New Roman"/>
          <w:b/>
          <w:sz w:val="20"/>
        </w:rPr>
        <w:t xml:space="preserve">700 6th Street, N.W.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20001 </w:t>
      </w:r>
    </w:p>
    <w:p>
      <w:pPr>
        <w:pStyle w:val="TextBody"/>
        <w:bidi w:val="0"/>
        <w:spacing w:before="0" w:after="0"/>
        <w:jc w:val="center"/>
        <w:rPr>
          <w:rFonts w:ascii="Times New Roman" w:hAnsi="Times New Roman"/>
          <w:b/>
          <w:sz w:val="20"/>
        </w:rPr>
      </w:pPr>
      <w:r>
        <w:rPr>
          <w:rFonts w:ascii="Times New Roman" w:hAnsi="Times New Roman"/>
          <w:b/>
          <w:sz w:val="20"/>
        </w:rPr>
        <w:t xml:space="preserve">(202) 383-0100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stevenboehm@eversheds-sutherland.us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anneoberndorf@eversheds-sutherland.us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payamsiadatpour@eversheds-sutherland.us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21,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SUMMARY OF APPLCIATION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following entities hereby request an order (the “</w:t>
      </w:r>
      <w:r>
        <w:rPr>
          <w:rFonts w:ascii="Times New Roman" w:hAnsi="Times New Roman"/>
          <w:b/>
          <w:i/>
          <w:sz w:val="20"/>
        </w:rPr>
        <w:t>Order</w:t>
      </w:r>
      <w:r>
        <w:rPr>
          <w:rFonts w:ascii="Times New Roman" w:hAnsi="Times New Roman"/>
          <w:sz w:val="20"/>
        </w:rPr>
        <w:t>”) of the U.S. Securities and Exchange Commission (the “</w:t>
      </w:r>
      <w:r>
        <w:rPr>
          <w:rFonts w:ascii="Times New Roman" w:hAnsi="Times New Roman"/>
          <w:b/>
          <w:i/>
          <w:sz w:val="20"/>
        </w:rPr>
        <w:t>SEC</w:t>
      </w:r>
      <w:r>
        <w:rPr>
          <w:rFonts w:ascii="Times New Roman" w:hAnsi="Times New Roman"/>
          <w:sz w:val="20"/>
        </w:rPr>
        <w:t>” or “</w:t>
      </w:r>
      <w:r>
        <w:rPr>
          <w:rFonts w:ascii="Times New Roman" w:hAnsi="Times New Roman"/>
          <w:b/>
          <w:i/>
          <w:sz w:val="20"/>
        </w:rPr>
        <w:t>Commission</w:t>
      </w:r>
      <w:r>
        <w:rPr>
          <w:rFonts w:ascii="Times New Roman" w:hAnsi="Times New Roman"/>
          <w:sz w:val="20"/>
        </w:rPr>
        <w:t>”) under Sections 17(d) and 57(i) of the Investment Company Act of 1940, as amended (the “</w:t>
      </w:r>
      <w:r>
        <w:rPr>
          <w:rFonts w:ascii="Times New Roman" w:hAnsi="Times New Roman"/>
          <w:b/>
          <w:i/>
          <w:sz w:val="20"/>
        </w:rPr>
        <w:t>1940 Act</w:t>
      </w:r>
      <w:r>
        <w:rPr>
          <w:rFonts w:ascii="Times New Roman" w:hAnsi="Times New Roman"/>
          <w:sz w:val="20"/>
        </w:rPr>
        <w:t>”),1 and Rule 17d-1, permitting certain joint transactions otherwise prohibited by Sections 17(d) and 57(a)(4) of the 1940 Act and Rule 17d-1 thereunder. The Order would supersede the exemptive order issued by the Commission on August 29, 2024 (the “</w:t>
      </w:r>
      <w:r>
        <w:rPr>
          <w:rFonts w:ascii="Times New Roman" w:hAnsi="Times New Roman"/>
          <w:b/>
          <w:i/>
          <w:sz w:val="20"/>
        </w:rPr>
        <w:t>Prior Order</w:t>
      </w:r>
      <w:r>
        <w:rPr>
          <w:rFonts w:ascii="Times New Roman" w:hAnsi="Times New Roman"/>
          <w:sz w:val="20"/>
        </w:rPr>
        <w:t xml:space="preserve">”)2 that was granted pursuant to Sections 17(d), 57(i) and Rule 17d-1, with the result that no person will continue to rely on the Prior Order if the Order is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Fidus Investment Corporation (the “</w:t>
            </w:r>
            <w:r>
              <w:rPr>
                <w:rFonts w:ascii="Times New Roman" w:hAnsi="Times New Roman"/>
                <w:b/>
                <w:i/>
                <w:sz w:val="20"/>
              </w:rPr>
              <w:t>Existing Regulated Fund</w:t>
            </w:r>
            <w:r>
              <w:rPr>
                <w:rFonts w:ascii="Times New Roman" w:hAnsi="Times New Roman"/>
                <w:sz w:val="20"/>
              </w:rPr>
              <w:t>”), a corporation formed under the General Corporate Laws of the State of Maryland for the purpose of operating as an externally-managed, non-diversified, closed-end management investment company that has elected to be regulated as a business development company (“</w:t>
            </w:r>
            <w:r>
              <w:rPr>
                <w:rFonts w:ascii="Times New Roman" w:hAnsi="Times New Roman"/>
                <w:b/>
                <w:i/>
                <w:sz w:val="20"/>
              </w:rPr>
              <w:t>BDC</w:t>
            </w:r>
            <w:r>
              <w:rPr>
                <w:rFonts w:ascii="Times New Roman" w:hAnsi="Times New Roman"/>
                <w:sz w:val="20"/>
              </w:rPr>
              <w:t xml:space="preserve">”) under the 1940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Certain vehicles (as identified on </w:t>
            </w:r>
            <w:r>
              <w:rPr>
                <w:rFonts w:ascii="Times New Roman" w:hAnsi="Times New Roman"/>
                <w:sz w:val="20"/>
                <w:u w:val="single"/>
              </w:rPr>
              <w:t>Schedule A</w:t>
            </w:r>
            <w:r>
              <w:rPr>
                <w:rFonts w:ascii="Times New Roman" w:hAnsi="Times New Roman"/>
                <w:sz w:val="20"/>
              </w:rPr>
              <w:t> hereto) (the “</w:t>
            </w:r>
            <w:r>
              <w:rPr>
                <w:rFonts w:ascii="Times New Roman" w:hAnsi="Times New Roman"/>
                <w:b/>
                <w:i/>
                <w:sz w:val="20"/>
              </w:rPr>
              <w:t>Existing Wholly-Owned Subsidiaries</w:t>
            </w:r>
            <w:r>
              <w:rPr>
                <w:rFonts w:ascii="Times New Roman" w:hAnsi="Times New Roman"/>
                <w:sz w:val="20"/>
              </w:rPr>
              <w:t xml:space="preserve">”), each of which is a separate and distinct legal entity and each of which is a Wholly-Owned Investment Sub (as defined below) of the Existing Regulated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Fidus Investment Advisors, LLC, and its successors3 (the “</w:t>
            </w:r>
            <w:r>
              <w:rPr>
                <w:rFonts w:ascii="Times New Roman" w:hAnsi="Times New Roman"/>
                <w:b/>
                <w:i/>
                <w:sz w:val="20"/>
              </w:rPr>
              <w:t>Existing Adviser</w:t>
            </w:r>
            <w:r>
              <w:rPr>
                <w:rFonts w:ascii="Times New Roman" w:hAnsi="Times New Roman"/>
                <w:sz w:val="20"/>
              </w:rPr>
              <w:t>”), an investment adviser registered with the Commission under the Investment Advisers Act of 1940 (the “</w:t>
            </w:r>
            <w:r>
              <w:rPr>
                <w:rFonts w:ascii="Times New Roman" w:hAnsi="Times New Roman"/>
                <w:b/>
                <w:i/>
                <w:sz w:val="20"/>
              </w:rPr>
              <w:t>Advisers Act</w:t>
            </w:r>
            <w:r>
              <w:rPr>
                <w:rFonts w:ascii="Times New Roman" w:hAnsi="Times New Roman"/>
                <w:sz w:val="20"/>
              </w:rPr>
              <w:t xml:space="preserve">”), which serves as the investment adviser to the Existing Regulated Fund and the Existing Affiliated Funds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investment vehicles (as identified on </w:t>
            </w:r>
            <w:r>
              <w:rPr>
                <w:rFonts w:ascii="Times New Roman" w:hAnsi="Times New Roman"/>
                <w:sz w:val="20"/>
                <w:u w:val="single"/>
              </w:rPr>
              <w:t>Schedule B</w:t>
            </w:r>
            <w:r>
              <w:rPr>
                <w:rFonts w:ascii="Times New Roman" w:hAnsi="Times New Roman"/>
                <w:sz w:val="20"/>
              </w:rPr>
              <w:t> hereto), each of which is a separate and distinct legal entity and each of which would be an investment company but for Section 3(c)(7) of the 1940 Act (the “</w:t>
            </w:r>
            <w:r>
              <w:rPr>
                <w:rFonts w:ascii="Times New Roman" w:hAnsi="Times New Roman"/>
                <w:b/>
                <w:i/>
                <w:sz w:val="20"/>
              </w:rPr>
              <w:t>Existing Affiliated Funds</w:t>
            </w:r>
            <w:r>
              <w:rPr>
                <w:rFonts w:ascii="Times New Roman" w:hAnsi="Times New Roman"/>
                <w:sz w:val="20"/>
              </w:rPr>
              <w:t>” and collectively with the Existing Regulated Fund, the Existing Wholly-Owned Subsidiaries, and the Existing Adviser, the “</w:t>
            </w:r>
            <w:r>
              <w:rPr>
                <w:rFonts w:ascii="Times New Roman" w:hAnsi="Times New Roman"/>
                <w:b/>
                <w:i/>
                <w:sz w:val="20"/>
              </w:rPr>
              <w:t>Applicants</w:t>
            </w:r>
            <w:r>
              <w:rPr>
                <w:rFonts w:ascii="Times New Roman" w:hAnsi="Times New Roman"/>
                <w:sz w:val="20"/>
              </w:rPr>
              <w:t xml:space="preserve">”).4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all section and rule references herein are to the 1940 Act and rules promulgated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Fidus Investment Corporation, et al. (File No. 812-15496) Release No. IC-35289 (August 2, 2024) (notice), Release No. IC-35309 (August 29, 2024) (order).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b/>
                <w:i/>
                <w:sz w:val="20"/>
              </w:rPr>
              <w:t>successor</w:t>
            </w:r>
            <w:r>
              <w:rPr>
                <w:rFonts w:ascii="Times New Roman" w:hAnsi="Times New Roman"/>
                <w:sz w:val="20"/>
              </w:rPr>
              <w:t xml:space="preserve">” means an entity that results from a reorganization into another jurisdiction or change in the type of business organization.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existing entities that currently intend to rely upon the requested Order have been named as Applicants. Any other existing or future entity that subsequently relies on the Order will comply with the terms and conditions of the Application.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relief requested in this application for the Order (the “</w:t>
      </w:r>
      <w:r>
        <w:rPr>
          <w:rFonts w:ascii="Times New Roman" w:hAnsi="Times New Roman"/>
          <w:b/>
          <w:i/>
          <w:sz w:val="20"/>
        </w:rPr>
        <w:t>Application</w:t>
      </w:r>
      <w:r>
        <w:rPr>
          <w:rFonts w:ascii="Times New Roman" w:hAnsi="Times New Roman"/>
          <w:sz w:val="20"/>
        </w:rPr>
        <w:t>”) would allow a Regulated Fund5 and one or more Affiliated Entities6 to engage in Co-Investment Transactions7 subject to the terms and conditions described herein. The Regulated Funds and Affiliated Entities that participate in a Co-Investment Transaction are collectively referred to herein as “</w:t>
      </w:r>
      <w:r>
        <w:rPr>
          <w:rFonts w:ascii="Times New Roman" w:hAnsi="Times New Roman"/>
          <w:b/>
          <w:i/>
          <w:sz w:val="20"/>
        </w:rPr>
        <w:t>Participants</w:t>
      </w:r>
      <w:r>
        <w:rPr>
          <w:rFonts w:ascii="Times New Roman" w:hAnsi="Times New Roman"/>
          <w:sz w:val="20"/>
        </w:rPr>
        <w:t xml:space="preserve">.”8 The Applicants do not seek relief for transactions effected consistent with Commission staff no-action positions.9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GENERAL DESCRIPTION OF THE APPLICANTS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Existing Regulated Fund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Existing Regulated Fund was organized under the General Corporate Laws of the state of Maryland on February 14, 2011, for the purpose of operating as an externally-managed, non-diversified, closed-end management investment company that has elected to be regulated as a business development company under the 1940 Act.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pPr>
            <w:r>
              <w:rPr/>
              <w:t>“</w:t>
            </w:r>
            <w:r>
              <w:rPr>
                <w:rFonts w:ascii="Times New Roman" w:hAnsi="Times New Roman"/>
                <w:b/>
                <w:i/>
                <w:sz w:val="20"/>
              </w:rPr>
              <w:t>Regulated Fund</w:t>
            </w:r>
            <w:r>
              <w:rPr>
                <w:rFonts w:ascii="Times New Roman" w:hAnsi="Times New Roman"/>
                <w:sz w:val="20"/>
              </w:rPr>
              <w:t>” means the Existing Regulated Fund and any Future Regulated Funds. “</w:t>
            </w:r>
            <w:r>
              <w:rPr>
                <w:rFonts w:ascii="Times New Roman" w:hAnsi="Times New Roman"/>
                <w:b/>
                <w:i/>
                <w:sz w:val="20"/>
              </w:rPr>
              <w:t>Future Regulated Fund</w:t>
            </w:r>
            <w:r>
              <w:rPr>
                <w:rFonts w:ascii="Times New Roman" w:hAnsi="Times New Roman"/>
                <w:sz w:val="20"/>
              </w:rPr>
              <w:t xml:space="preserve">”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hAnsi="Times New Roman"/>
                <w:b/>
                <w:i/>
                <w:sz w:val="20"/>
              </w:rPr>
              <w:t>Wholly-Owned Investment Sub</w:t>
            </w:r>
            <w:r>
              <w:rPr>
                <w:rFonts w:ascii="Times New Roman" w:hAnsi="Times New Roman"/>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hAnsi="Times New Roman"/>
                <w:b/>
                <w:i/>
                <w:sz w:val="20"/>
              </w:rPr>
              <w:t>Joint Venture</w:t>
            </w:r>
            <w:r>
              <w:rPr>
                <w:rFonts w:ascii="Times New Roman" w:hAnsi="Times New Roman"/>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hAnsi="Times New Roman"/>
                <w:b/>
                <w:i/>
                <w:sz w:val="20"/>
              </w:rPr>
              <w:t>BDC Downstream Fund</w:t>
            </w:r>
            <w:r>
              <w:rPr>
                <w:rFonts w:ascii="Times New Roman" w:hAnsi="Times New Roman"/>
                <w:sz w:val="20"/>
              </w:rPr>
              <w:t xml:space="preserve">”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pPr>
            <w:r>
              <w:rPr/>
              <w:t>“</w:t>
            </w:r>
            <w:r>
              <w:rPr>
                <w:rFonts w:ascii="Times New Roman" w:hAnsi="Times New Roman"/>
                <w:b/>
                <w:i/>
                <w:sz w:val="20"/>
              </w:rPr>
              <w:t>Affiliated Entity</w:t>
            </w:r>
            <w:r>
              <w:rPr>
                <w:rFonts w:ascii="Times New Roman" w:hAnsi="Times New Roman"/>
                <w:sz w:val="20"/>
              </w:rPr>
              <w:t xml:space="preserve">”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an entity described in clause (b) is not advised by an Adviser, such entity shall be deemed to be an Adviser for purposes of the conditions.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7 </w:t>
            </w:r>
          </w:p>
        </w:tc>
        <w:tc>
          <w:tcPr>
            <w:tcW w:w="9799" w:type="dxa"/>
            <w:tcBorders/>
          </w:tcPr>
          <w:p>
            <w:pPr>
              <w:pStyle w:val="TableContents"/>
              <w:bidi w:val="0"/>
              <w:spacing w:before="0" w:after="0"/>
              <w:jc w:val="left"/>
              <w:rPr/>
            </w:pPr>
            <w:r>
              <w:rPr/>
              <w:t>“</w:t>
            </w:r>
            <w:r>
              <w:rPr>
                <w:rFonts w:ascii="Times New Roman" w:hAnsi="Times New Roman"/>
                <w:b/>
                <w:i/>
                <w:sz w:val="20"/>
              </w:rPr>
              <w:t>Co-Investment Transaction</w:t>
            </w:r>
            <w:r>
              <w:rPr>
                <w:rFonts w:ascii="Times New Roman" w:hAnsi="Times New Roman"/>
                <w:sz w:val="20"/>
              </w:rPr>
              <w:t xml:space="preserve">” means the acquisition or Disposition of securities of an issuer in a transaction effected in reliance on the Order or previously granted relief.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pPr>
            <w:r>
              <w:rPr/>
              <w:t>“</w:t>
            </w:r>
            <w:r>
              <w:rPr>
                <w:rFonts w:ascii="Times New Roman" w:hAnsi="Times New Roman"/>
                <w:b/>
                <w:i/>
                <w:sz w:val="20"/>
              </w:rPr>
              <w:t>Adviser</w:t>
            </w:r>
            <w:r>
              <w:rPr>
                <w:rFonts w:ascii="Times New Roman" w:hAnsi="Times New Roman"/>
                <w:sz w:val="20"/>
              </w:rPr>
              <w:t xml:space="preserve">” means the Existing Adviser, and any other investment adviser controlling, controlled by, or under common control with the Existing Adviser. The term “Adviser” also includes any internally-managed Regulated Fund.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Massachusetts Mutual Life Insurance Co. (pub. avail. June 7, 2000), Massachusetts Mutual Life Insurance Co. (pub. avail. July 28, 2000) and SMC Capital, Inc. (pub. avail. Sept. 5, 1995).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Existing Regulated Fund completed its initial public offering on June 24, 2011, and its common stock is traded on the NASDAQ Global Market under the symbol “FDUS.” The Existing Regulated Fund has elected and intends to qualify annually to be treated as a regulated investment company under Sub-Chapter M of the Internal Revenue Code of 1986, as amended. The Existing Regulated Fund’s principal place of business is 1603 Orrington Avenue, Suite 1005, Evanston, Illinois 60201. </w:t>
      </w:r>
    </w:p>
    <w:p>
      <w:pPr>
        <w:pStyle w:val="TextBody"/>
        <w:bidi w:val="0"/>
        <w:spacing w:before="240" w:after="0"/>
        <w:jc w:val="left"/>
        <w:rPr>
          <w:rFonts w:ascii="Times New Roman" w:hAnsi="Times New Roman"/>
          <w:sz w:val="20"/>
        </w:rPr>
      </w:pPr>
      <w:r>
        <w:rPr>
          <w:rFonts w:ascii="Times New Roman" w:hAnsi="Times New Roman"/>
          <w:sz w:val="20"/>
        </w:rPr>
        <w:t>The Existing Regulated Fund’s investment objective is to provide attractive risk-adjusted returns by generating both current income from its debt investments and capital appreciation from its equity related investments. The Existing Regulated Fund may invest in the equity securities of our portfolio companies, such as preferred stock, common stock, warrants and other equity interests, either directly or in conjunction with its debt investments. The Existing Regulated Fund has a five-member board (the “</w:t>
      </w:r>
      <w:r>
        <w:rPr>
          <w:rFonts w:ascii="Times New Roman" w:hAnsi="Times New Roman"/>
          <w:b/>
          <w:i/>
          <w:sz w:val="20"/>
        </w:rPr>
        <w:t>Existing Regulated Fund Board</w:t>
      </w:r>
      <w:r>
        <w:rPr>
          <w:rFonts w:ascii="Times New Roman" w:hAnsi="Times New Roman"/>
          <w:sz w:val="20"/>
        </w:rPr>
        <w:t>,” and, together with any Future Regulated Fund’s board of directors, the “</w:t>
      </w:r>
      <w:r>
        <w:rPr>
          <w:rFonts w:ascii="Times New Roman" w:hAnsi="Times New Roman"/>
          <w:b/>
          <w:i/>
          <w:sz w:val="20"/>
        </w:rPr>
        <w:t>Board</w:t>
      </w:r>
      <w:r>
        <w:rPr>
          <w:rFonts w:ascii="Times New Roman" w:hAnsi="Times New Roman"/>
          <w:sz w:val="20"/>
        </w:rPr>
        <w:t xml:space="preserve">”), of which three members are not “interested” persons of the Existing Fund within the meaning of Section 2(a)(19) of the 1940 Act.10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Existing Wholly-Owned Subsidiaries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the Existing Wholly-Owned Subsidiaries is a direct or indirect wholly-owned subsidiary of the Existing Regulated Fund whose sole business purpose is to hold one or more investments on behalf of the Existing Regulated Fund. Each of the Existing Wholly-Owned Subsidiaries is a separate and distinct legal entity. The Existing Wholly-Owned Subsidiaries have investment objectives and strategies that are substantially the same as, or a subset of, those of the Existing Regulated Fund. The Existing Wholly-Owned Subsidiaries are not registered investment companies or business development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Existing Affiliated Funds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Existing Affiliated Funds are investment funds, each of whose investment adviser is the Existing Adviser and each of which would be an investment company but for Section 3(c)(7) of the 1940 Act.11 A list of the Existing Affiliated Funds and their respective investment adviser is included on </w:t>
      </w:r>
      <w:r>
        <w:rPr>
          <w:rFonts w:ascii="Times New Roman" w:hAnsi="Times New Roman"/>
          <w:sz w:val="20"/>
          <w:u w:val="single"/>
        </w:rPr>
        <w:t>Schedule B</w:t>
      </w:r>
      <w:r>
        <w:rPr>
          <w:rFonts w:ascii="Times New Roman" w:hAnsi="Times New Roman"/>
          <w:sz w:val="20"/>
        </w:rPr>
        <w:t xml:space="preserve">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Existing Adviser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Existing Adviser was organized as a limited liability company under the laws of the state of Delaware, and is privately held. </w:t>
      </w:r>
    </w:p>
    <w:p>
      <w:pPr>
        <w:pStyle w:val="TextBody"/>
        <w:bidi w:val="0"/>
        <w:spacing w:before="240" w:after="0"/>
        <w:jc w:val="left"/>
        <w:rPr>
          <w:rFonts w:ascii="Times New Roman" w:hAnsi="Times New Roman"/>
          <w:sz w:val="20"/>
        </w:rPr>
      </w:pPr>
      <w:r>
        <w:rPr>
          <w:rFonts w:ascii="Times New Roman" w:hAnsi="Times New Roman"/>
          <w:sz w:val="20"/>
        </w:rPr>
        <w:t xml:space="preserve">The Existing Adviser is registered with the Commission as an investment adviser under the Advisers Act. The Existing Adviser manages the consolidated assets of the Existing Regulated Fund and serves as the investment adviser to the Existing Regulated Fund pursuant to the terms of an investment advisory agreement that has been approved by the Board. The Existing Adviser also advises the Existing Affiliated Funds.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ORDER REQUESTED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Applicants request an Order of the Commission under Sections 17(d) and 57(i) of the 1940 Act and Rule 17d-1 thereunder to permit, subject to the terms and conditions set forth below in this Application (the “</w:t>
      </w:r>
      <w:r>
        <w:rPr>
          <w:rFonts w:ascii="Times New Roman" w:hAnsi="Times New Roman"/>
          <w:b/>
          <w:i/>
          <w:sz w:val="20"/>
        </w:rPr>
        <w:t>Conditions</w:t>
      </w:r>
      <w:r>
        <w:rPr>
          <w:rFonts w:ascii="Times New Roman" w:hAnsi="Times New Roman"/>
          <w:sz w:val="20"/>
        </w:rPr>
        <w:t xml:space="preserve">”), each Regulated Fund to be able to participate with one or more Affiliated Entities in Co-Investment Transactions otherwise prohibited by Sections 17(d) and 57(a)(4) of the 1940 Act and Rule 17d-1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Applicable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each Future Regulated Fund will consist of a majority of members who are not “interested persons” of such Future Regulated Fund within the meaning of Section 2(a)(19) of the 1940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future, an Existing Affiliated Fund may register as an investment company under the 1940 Act and, if so registered, will be considered a Regulated Fund for purposes of this application.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plan”12 in which the fund is a participant without first obtaining an order from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 </w:t>
      </w:r>
    </w:p>
    <w:p>
      <w:pPr>
        <w:pStyle w:val="TextBody"/>
        <w:bidi w:val="0"/>
        <w:spacing w:before="240" w:after="0"/>
        <w:jc w:val="left"/>
        <w:rPr>
          <w:rFonts w:ascii="Times New Roman" w:hAnsi="Times New Roman"/>
          <w:sz w:val="20"/>
        </w:rPr>
      </w:pPr>
      <w:r>
        <w:rPr>
          <w:rFonts w:ascii="Times New Roman" w:hAnsi="Times New Roman"/>
          <w:sz w:val="20"/>
        </w:rPr>
        <w:t xml:space="preserve">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Need for Relief</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closed-end fund or a business development company, respectively, including a sub-adviser. Thus, an Adviser and any Affiliated Entities that it advises could be deemed to be persons related to Regulated Funds in a manner described by Sections 17(d) and 57(b). With respect to the Existing Adviser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the Existing Adviser,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Conditions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Applicants agree that any Order granting the requested relief will be subject to the following Conditions.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and any affiliated person of or principal underwriter for such registered company, or any affiliated person of such a person or principal underwriter, have a joint or a joint and several participation, or share in the profits of such enterprise or undertaking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Same Terms.</w:t>
      </w:r>
      <w:r>
        <w:rPr>
          <w:rFonts w:ascii="Times New Roman" w:hAnsi="Times New Roman"/>
          <w:sz w:val="20"/>
        </w:rPr>
        <w:t xml:space="preserve">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person.13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Existing Investments in the Issuer</w:t>
      </w:r>
      <w:r>
        <w:rPr>
          <w:rFonts w:ascii="Times New Roman" w:hAnsi="Times New Roman"/>
          <w:sz w:val="20"/>
        </w:rPr>
        <w:t>. Prior to a Regulated Fund acquiring in a Co-Investment Transaction a security of an issuer in which an Affiliated Entity has an existing interest in such issuer, the “required majority,” as defined in Section 57(o) of the 1940 Act,14 of the Regulated Fund (“</w:t>
      </w:r>
      <w:r>
        <w:rPr>
          <w:rFonts w:ascii="Times New Roman" w:hAnsi="Times New Roman"/>
          <w:b/>
          <w:i/>
          <w:sz w:val="20"/>
        </w:rPr>
        <w:t>Required Majority</w:t>
      </w:r>
      <w:r>
        <w:rPr>
          <w:rFonts w:ascii="Times New Roman" w:hAnsi="Times New Roman"/>
          <w:sz w:val="20"/>
        </w:rPr>
        <w:t xml:space="preserve">”) will take the steps set forth in Section 57(f) of the 1940 Act,15 unless: (i) the Regulated Fund already holds the same security as each such Affiliated Entity; and (ii) the Regulated Fund and each other Affiliated Entity holding the security is participating in the acquisition in approximate proportion to its then-current holdings.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Related Expenses</w:t>
      </w:r>
      <w:r>
        <w:rPr>
          <w:rFonts w:ascii="Times New Roman" w:hAnsi="Times New Roman"/>
          <w:sz w:val="20"/>
        </w:rPr>
        <w:t xml:space="preserve">.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be.16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Remuneration</w:t>
      </w:r>
      <w:r>
        <w:rPr>
          <w:rFonts w:ascii="Times New Roman" w:hAnsi="Times New Roman"/>
          <w:sz w:val="20"/>
        </w:rPr>
        <w:t xml:space="preserve">. Any transaction fee17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 Board can also, consistent with applicable fund documents, facilitate this opportunity by delegating the authority to veto the selection of such person to a committee of the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of an individual Participant that are incurred solely by the Participant due to its unique circumstances (such as legal and compliance expenses) will be borne by such Participant.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Applicants are not requesting and the Commission is not providing any relief for transaction fees received in connection with any Co-Investment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Co-Investment Policies</w:t>
      </w:r>
      <w:r>
        <w:rPr>
          <w:rFonts w:ascii="Times New Roman" w:hAnsi="Times New Roman"/>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hAnsi="Times New Roman"/>
          <w:b/>
          <w:i/>
          <w:sz w:val="20"/>
        </w:rPr>
        <w:t>Co-Investment Policies</w:t>
      </w:r>
      <w:r>
        <w:rPr>
          <w:rFonts w:ascii="Times New Roman" w:hAnsi="Times New Roman"/>
          <w:sz w:val="20"/>
        </w:rPr>
        <w:t xml:space="preserve">”). Each Adviser (and each Affiliated Entity that is not advised by an Adviser) will provide its Co-Investment Policies to the Regulated Funds and will notify the Regulated Funds of any material changes thereto.18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Dispositions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any Disposition19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(b)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Security.20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 xml:space="preserve">Board Oversight </w:t>
      </w:r>
    </w:p>
    <w:p>
      <w:pPr>
        <w:pStyle w:val="TextBody"/>
        <w:bidi w:val="0"/>
        <w:spacing w:before="120" w:after="0"/>
        <w:jc w:val="left"/>
        <w:rPr>
          <w:rFonts w:ascii="Times New Roman" w:hAnsi="Times New Roman"/>
          <w:sz w:val="20"/>
        </w:rPr>
      </w:pPr>
      <w:r>
        <w:rPr>
          <w:rFonts w:ascii="Times New Roman" w:hAnsi="Times New Roman"/>
          <w:sz w:val="20"/>
        </w:rPr>
        <w:t xml:space="preserve">(a) Each Regulated Fund’s directors will oversee the Regulated Fund’s participation in the co-investment program in the exercise of their reasonable business judgment. </w:t>
      </w:r>
    </w:p>
    <w:p>
      <w:pPr>
        <w:pStyle w:val="TextBody"/>
        <w:bidi w:val="0"/>
        <w:spacing w:before="120" w:after="0"/>
        <w:jc w:val="left"/>
        <w:rPr>
          <w:rFonts w:ascii="Times New Roman" w:hAnsi="Times New Roman"/>
          <w:sz w:val="20"/>
        </w:rPr>
      </w:pPr>
      <w:r>
        <w:rPr>
          <w:rFonts w:ascii="Times New Roman" w:hAnsi="Times New Roman"/>
          <w:sz w:val="20"/>
        </w:rPr>
        <w:t xml:space="preserve">(b)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 </w:t>
      </w:r>
    </w:p>
    <w:p>
      <w:pPr>
        <w:pStyle w:val="TextBody"/>
        <w:bidi w:val="0"/>
        <w:spacing w:before="120" w:after="0"/>
        <w:jc w:val="left"/>
        <w:rPr>
          <w:rFonts w:ascii="Times New Roman" w:hAnsi="Times New Roman"/>
          <w:sz w:val="20"/>
        </w:rPr>
      </w:pPr>
      <w:r>
        <w:rPr>
          <w:rFonts w:ascii="Times New Roman" w:hAnsi="Times New Roman"/>
          <w:sz w:val="20"/>
        </w:rPr>
        <w:t xml:space="preserve">(c)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 </w:t>
      </w:r>
    </w:p>
    <w:p>
      <w:pPr>
        <w:pStyle w:val="TextBody"/>
        <w:bidi w:val="0"/>
        <w:spacing w:before="120" w:after="0"/>
        <w:jc w:val="left"/>
        <w:rPr>
          <w:rFonts w:ascii="Times New Roman" w:hAnsi="Times New Roman"/>
          <w:sz w:val="20"/>
        </w:rPr>
      </w:pPr>
      <w:r>
        <w:rPr>
          <w:rFonts w:ascii="Times New Roman" w:hAnsi="Times New Roman"/>
          <w:sz w:val="20"/>
        </w:rPr>
        <w:t xml:space="preserve">(d)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Entities may adopt shared Co-Investment Policies.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19 </w:t>
            </w:r>
          </w:p>
        </w:tc>
        <w:tc>
          <w:tcPr>
            <w:tcW w:w="9798" w:type="dxa"/>
            <w:tcBorders/>
          </w:tcPr>
          <w:p>
            <w:pPr>
              <w:pStyle w:val="TableContents"/>
              <w:bidi w:val="0"/>
              <w:spacing w:before="0" w:after="0"/>
              <w:jc w:val="left"/>
              <w:rPr/>
            </w:pPr>
            <w:r>
              <w:rPr/>
              <w:t>“</w:t>
            </w:r>
            <w:r>
              <w:rPr>
                <w:rFonts w:ascii="Times New Roman" w:hAnsi="Times New Roman"/>
                <w:b/>
                <w:i/>
                <w:sz w:val="20"/>
              </w:rPr>
              <w:t>Disposition</w:t>
            </w:r>
            <w:r>
              <w:rPr>
                <w:rFonts w:ascii="Times New Roman" w:hAnsi="Times New Roman"/>
                <w:sz w:val="20"/>
              </w:rPr>
              <w:t xml:space="preserve">” means the sale, exchange, transfer or other disposition of an interest in a security of an issuer.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20 </w:t>
            </w:r>
          </w:p>
        </w:tc>
        <w:tc>
          <w:tcPr>
            <w:tcW w:w="9797" w:type="dxa"/>
            <w:tcBorders/>
          </w:tcPr>
          <w:p>
            <w:pPr>
              <w:pStyle w:val="TableContents"/>
              <w:bidi w:val="0"/>
              <w:spacing w:before="0" w:after="0"/>
              <w:jc w:val="left"/>
              <w:rPr/>
            </w:pPr>
            <w:r>
              <w:rPr/>
              <w:t>“</w:t>
            </w:r>
            <w:r>
              <w:rPr>
                <w:rFonts w:ascii="Times New Roman" w:hAnsi="Times New Roman"/>
                <w:b/>
                <w:i/>
                <w:sz w:val="20"/>
              </w:rPr>
              <w:t>Tradable Security</w:t>
            </w:r>
            <w:r>
              <w:rPr>
                <w:rFonts w:ascii="Times New Roman" w:hAnsi="Times New Roman"/>
                <w:sz w:val="20"/>
              </w:rPr>
              <w:t xml:space="preserve">”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Recordkeeping</w:t>
      </w:r>
      <w:r>
        <w:rPr>
          <w:rFonts w:ascii="Times New Roman" w:hAnsi="Times New Roman"/>
          <w:sz w:val="20"/>
        </w:rPr>
        <w:t xml:space="preserve">.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57(f).21 </w:t>
      </w:r>
    </w:p>
    <w:p>
      <w:pPr>
        <w:pStyle w:val="TextBody"/>
        <w:bidi w:val="0"/>
        <w:spacing w:before="120" w:after="0"/>
        <w:jc w:val="left"/>
        <w:rPr>
          <w:rFonts w:ascii="Times New Roman" w:hAnsi="Times New Roman"/>
          <w:sz w:val="20"/>
        </w:rPr>
      </w:pPr>
      <w:r>
        <w:rPr>
          <w:rFonts w:ascii="Times New Roman" w:hAnsi="Times New Roman"/>
          <w:sz w:val="20"/>
        </w:rPr>
        <w:t xml:space="preserve">9. In the event that the Commission adopts a rule under the 1940 Act allowing co-investments of the type described in this Application, any relief granted by the Order will expire on the effective date of that rule.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STATEMENT IN SUPPORT OF RELIEF REQUESTED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Potential Benefits to the Regulated Funds and their Shareholders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Shareholder Protections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PRECEDENTS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Commission has previously issued orders permitting certain investment companies subject to regulation under the 1940 Act and their affiliated persons to be able to participate in Co-Investment Transactions (the “</w:t>
      </w:r>
      <w:r>
        <w:rPr>
          <w:rFonts w:ascii="Times New Roman" w:hAnsi="Times New Roman"/>
          <w:b/>
          <w:i/>
          <w:sz w:val="20"/>
        </w:rPr>
        <w:t>Existing Orders</w:t>
      </w:r>
      <w:r>
        <w:rPr>
          <w:rFonts w:ascii="Times New Roman" w:hAnsi="Times New Roman"/>
          <w:sz w:val="20"/>
        </w:rPr>
        <w:t xml:space="preserve">”).22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FS Credit Opportunities Corp., et al. (File No. 812-15706), Release No. IC-35520 (April 3, 2025) (notice), Release No. IC-35561 (April 29, 2025) (order); Sixth Street Specialty Lending, Inc. et al. (File No.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PROCEDURAL MATTERS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Communications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Please address all communications concerning this Application, the Notice and the Order to: </w:t>
      </w:r>
    </w:p>
    <w:p>
      <w:pPr>
        <w:pStyle w:val="TextBody"/>
        <w:bidi w:val="0"/>
        <w:spacing w:before="240" w:after="0"/>
        <w:jc w:val="center"/>
        <w:rPr>
          <w:rFonts w:ascii="Times New Roman" w:hAnsi="Times New Roman"/>
          <w:sz w:val="20"/>
        </w:rPr>
      </w:pPr>
      <w:r>
        <w:rPr>
          <w:rFonts w:ascii="Times New Roman" w:hAnsi="Times New Roman"/>
          <w:sz w:val="20"/>
        </w:rPr>
        <w:t xml:space="preserve">Edward H. Ross </w:t>
      </w:r>
    </w:p>
    <w:p>
      <w:pPr>
        <w:pStyle w:val="TextBody"/>
        <w:bidi w:val="0"/>
        <w:spacing w:before="0" w:after="0"/>
        <w:jc w:val="center"/>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center"/>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center"/>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center"/>
        <w:rPr>
          <w:rFonts w:ascii="Times New Roman" w:hAnsi="Times New Roman"/>
          <w:sz w:val="20"/>
        </w:rPr>
      </w:pPr>
      <w:r>
        <w:rPr>
          <w:rFonts w:ascii="Times New Roman" w:hAnsi="Times New Roman"/>
          <w:sz w:val="20"/>
          <w:u w:val="single"/>
        </w:rPr>
        <w:t>eross@fidusinv.com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address any questions, and a copy of any communications, concerning this Application, the Notice, and the Order to: </w:t>
      </w:r>
    </w:p>
    <w:p>
      <w:pPr>
        <w:pStyle w:val="TextBody"/>
        <w:bidi w:val="0"/>
        <w:spacing w:before="240" w:after="0"/>
        <w:jc w:val="center"/>
        <w:rPr>
          <w:rFonts w:ascii="Times New Roman" w:hAnsi="Times New Roman"/>
          <w:sz w:val="20"/>
        </w:rPr>
      </w:pPr>
      <w:r>
        <w:rPr>
          <w:rFonts w:ascii="Times New Roman" w:hAnsi="Times New Roman"/>
          <w:sz w:val="20"/>
        </w:rPr>
        <w:t xml:space="preserve">Steven B. Boehm </w:t>
      </w:r>
    </w:p>
    <w:p>
      <w:pPr>
        <w:pStyle w:val="TextBody"/>
        <w:bidi w:val="0"/>
        <w:spacing w:before="0" w:after="0"/>
        <w:jc w:val="center"/>
        <w:rPr>
          <w:rFonts w:ascii="Times New Roman" w:hAnsi="Times New Roman"/>
          <w:sz w:val="20"/>
        </w:rPr>
      </w:pPr>
      <w:r>
        <w:rPr>
          <w:rFonts w:ascii="Times New Roman" w:hAnsi="Times New Roman"/>
          <w:sz w:val="20"/>
        </w:rPr>
        <w:t xml:space="preserve">Anne G. Oberndorf </w:t>
      </w:r>
    </w:p>
    <w:p>
      <w:pPr>
        <w:pStyle w:val="TextBody"/>
        <w:bidi w:val="0"/>
        <w:spacing w:before="0" w:after="0"/>
        <w:jc w:val="center"/>
        <w:rPr>
          <w:rFonts w:ascii="Times New Roman" w:hAnsi="Times New Roman"/>
          <w:sz w:val="20"/>
        </w:rPr>
      </w:pPr>
      <w:r>
        <w:rPr>
          <w:rFonts w:ascii="Times New Roman" w:hAnsi="Times New Roman"/>
          <w:sz w:val="20"/>
        </w:rPr>
        <w:t xml:space="preserve">Payam Siadatpour </w:t>
      </w:r>
    </w:p>
    <w:p>
      <w:pPr>
        <w:pStyle w:val="TextBody"/>
        <w:bidi w:val="0"/>
        <w:spacing w:before="0" w:after="0"/>
        <w:jc w:val="center"/>
        <w:rPr>
          <w:rFonts w:ascii="Times New Roman" w:hAnsi="Times New Roman"/>
          <w:sz w:val="20"/>
        </w:rPr>
      </w:pPr>
      <w:r>
        <w:rPr>
          <w:rFonts w:ascii="Times New Roman" w:hAnsi="Times New Roman"/>
          <w:sz w:val="20"/>
        </w:rPr>
        <w:t xml:space="preserve">Sara Sabour Nasseri, Esq. </w:t>
      </w:r>
    </w:p>
    <w:p>
      <w:pPr>
        <w:pStyle w:val="TextBody"/>
        <w:bidi w:val="0"/>
        <w:spacing w:before="0" w:after="0"/>
        <w:jc w:val="center"/>
        <w:rPr>
          <w:rFonts w:ascii="Times New Roman" w:hAnsi="Times New Roman"/>
          <w:sz w:val="20"/>
        </w:rPr>
      </w:pPr>
      <w:r>
        <w:rPr>
          <w:rFonts w:ascii="Times New Roman" w:hAnsi="Times New Roman"/>
          <w:sz w:val="20"/>
        </w:rPr>
        <w:t xml:space="preserve">Eversheds Sutherland (US) LLP </w:t>
      </w:r>
    </w:p>
    <w:p>
      <w:pPr>
        <w:pStyle w:val="TextBody"/>
        <w:bidi w:val="0"/>
        <w:spacing w:before="0" w:after="0"/>
        <w:jc w:val="center"/>
        <w:rPr>
          <w:rFonts w:ascii="Times New Roman" w:hAnsi="Times New Roman"/>
          <w:sz w:val="20"/>
        </w:rPr>
      </w:pPr>
      <w:r>
        <w:rPr>
          <w:rFonts w:ascii="Times New Roman" w:hAnsi="Times New Roman"/>
          <w:sz w:val="20"/>
        </w:rPr>
        <w:t xml:space="preserve">700 6th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center"/>
        <w:rPr>
          <w:rFonts w:ascii="Times New Roman" w:hAnsi="Times New Roman"/>
          <w:sz w:val="20"/>
        </w:rPr>
      </w:pPr>
      <w:r>
        <w:rPr>
          <w:rFonts w:ascii="Times New Roman" w:hAnsi="Times New Roman"/>
          <w:sz w:val="20"/>
        </w:rPr>
        <w:t xml:space="preserve">(202) 383-0100 </w:t>
      </w:r>
    </w:p>
    <w:p>
      <w:pPr>
        <w:pStyle w:val="TextBody"/>
        <w:bidi w:val="0"/>
        <w:spacing w:before="0" w:after="0"/>
        <w:jc w:val="center"/>
        <w:rPr>
          <w:rFonts w:ascii="Times New Roman" w:hAnsi="Times New Roman"/>
          <w:sz w:val="20"/>
        </w:rPr>
      </w:pPr>
      <w:r>
        <w:rPr>
          <w:rFonts w:ascii="Times New Roman" w:hAnsi="Times New Roman"/>
          <w:sz w:val="20"/>
          <w:u w:val="single"/>
        </w:rPr>
        <w:t>stevenboehm@eversheds-sutherland.us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u w:val="single"/>
        </w:rPr>
        <w:t>anneoberndorf@eversheds-sutherland.us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u w:val="single"/>
        </w:rPr>
        <w:t>payamsiadatpour@eversheds-sutherland.us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Authorizations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filing of this Application for the Order sought hereby and the taking of all acts reasonably necessary to obtain the relief requested herein was authorized by the Board of the Existing Regulated Fund pursuant to resolutions duly adopted by the Board. Copies of the resolutions are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0-2(c), Applicants hereby state that each Applicant has authorized to cause to be prepared and to execute and file with the Commission this Application and any amendment thereto for an order pursuant to Sections 17(d) and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requirements for a request for expedited review of this Application, marked copies of two recent applications seeking the same relief as Applicants that are substantially identical as required by Rule 0-5(e) of the 1940 Act are attached as Exhibit C. In accordance with Rule 0-5(f)(2)(i)(A) under the 1940 Act, included as Exhibit D to this Application is a marked copy of the Application showing changes from the Application filed with the Commission on August 28, 2026.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have caused this Application to be duly signed on their behalf on the 21st day of October,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98"/>
        <w:gridCol w:w="77"/>
        <w:gridCol w:w="3507"/>
      </w:tblGrid>
      <w:tr>
        <w:trPr/>
        <w:tc>
          <w:tcPr>
            <w:tcW w:w="498"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CORPORATION</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Name: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ADVISORS, LLC</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Name: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WHOLLY-OWNED SUBSIDIARIES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MEZZANINE CAPITAL, L.P.</w:t>
            </w:r>
          </w:p>
        </w:tc>
      </w:tr>
      <w:tr>
        <w:trPr/>
        <w:tc>
          <w:tcPr>
            <w:tcW w:w="4082" w:type="dxa"/>
            <w:gridSpan w:val="3"/>
            <w:tcBorders/>
          </w:tcPr>
          <w:p>
            <w:pPr>
              <w:pStyle w:val="TableContents"/>
              <w:bidi w:val="0"/>
              <w:spacing w:before="0" w:after="283"/>
              <w:jc w:val="left"/>
              <w:rPr/>
            </w:pPr>
            <w:r>
              <w:rPr/>
              <w:t>FIDUS MEZZANINE CAPITAL II, L.P.</w:t>
            </w:r>
          </w:p>
        </w:tc>
      </w:tr>
      <w:tr>
        <w:trPr/>
        <w:tc>
          <w:tcPr>
            <w:tcW w:w="4082" w:type="dxa"/>
            <w:gridSpan w:val="3"/>
            <w:tcBorders/>
          </w:tcPr>
          <w:p>
            <w:pPr>
              <w:pStyle w:val="TableContents"/>
              <w:bidi w:val="0"/>
              <w:spacing w:before="0" w:after="283"/>
              <w:jc w:val="left"/>
              <w:rPr/>
            </w:pPr>
            <w:r>
              <w:rPr/>
              <w:t>FIDUS MEZZANINE CAPITAL III, L.P.</w:t>
            </w:r>
          </w:p>
        </w:tc>
      </w:tr>
      <w:tr>
        <w:trPr/>
        <w:tc>
          <w:tcPr>
            <w:tcW w:w="4082" w:type="dxa"/>
            <w:gridSpan w:val="3"/>
            <w:tcBorders/>
          </w:tcPr>
          <w:p>
            <w:pPr>
              <w:pStyle w:val="TableContents"/>
              <w:bidi w:val="0"/>
              <w:spacing w:before="0" w:after="283"/>
              <w:jc w:val="left"/>
              <w:rPr/>
            </w:pPr>
            <w:r>
              <w:rPr/>
              <w:t>FIDUS MEZZANINE CAPITAL IV, L.P.</w:t>
            </w:r>
          </w:p>
        </w:tc>
      </w:tr>
      <w:tr>
        <w:trPr/>
        <w:tc>
          <w:tcPr>
            <w:tcW w:w="4082" w:type="dxa"/>
            <w:gridSpan w:val="3"/>
            <w:tcBorders/>
          </w:tcPr>
          <w:p>
            <w:pPr>
              <w:pStyle w:val="TableContents"/>
              <w:bidi w:val="0"/>
              <w:spacing w:before="0" w:after="283"/>
              <w:jc w:val="left"/>
              <w:rPr/>
            </w:pPr>
            <w:r>
              <w:rPr/>
              <w:t>FIC FUNDING, LLC</w:t>
            </w:r>
          </w:p>
        </w:tc>
      </w:tr>
      <w:tr>
        <w:trPr/>
        <w:tc>
          <w:tcPr>
            <w:tcW w:w="4082" w:type="dxa"/>
            <w:gridSpan w:val="3"/>
            <w:tcBorders/>
          </w:tcPr>
          <w:p>
            <w:pPr>
              <w:pStyle w:val="TableContents"/>
              <w:bidi w:val="0"/>
              <w:spacing w:before="0" w:after="283"/>
              <w:jc w:val="left"/>
              <w:rPr/>
            </w:pPr>
            <w:r>
              <w:rPr/>
              <w:t>FIDUS INVESTMENT HOLDINGS, INC.</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Name: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AFFILIATED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FIDUS CREDIT OPPORTUNITIES, L.P.</w:t>
            </w:r>
          </w:p>
          <w:p>
            <w:pPr>
              <w:pStyle w:val="TableContents"/>
              <w:bidi w:val="0"/>
              <w:spacing w:before="0" w:after="20"/>
              <w:jc w:val="left"/>
              <w:rPr>
                <w:rFonts w:ascii="Times New Roman" w:hAnsi="Times New Roman"/>
                <w:sz w:val="20"/>
              </w:rPr>
            </w:pPr>
            <w:r>
              <w:rPr>
                <w:rFonts w:ascii="Times New Roman" w:hAnsi="Times New Roman"/>
                <w:sz w:val="20"/>
              </w:rPr>
              <w:t>FIDUS EQUITY OPPORTUNITIES FUND, L.P.</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Name: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Title: 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480" w:after="0"/>
        <w:jc w:val="center"/>
        <w:rPr>
          <w:rFonts w:ascii="Times New Roman" w:hAnsi="Times New Roman"/>
          <w:sz w:val="20"/>
        </w:rPr>
      </w:pPr>
      <w:r>
        <w:rPr>
          <w:rFonts w:ascii="Times New Roman" w:hAnsi="Times New Roman"/>
          <w:sz w:val="20"/>
        </w:rPr>
        <w:t xml:space="preserve">Verification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states that he has duly executed the attached Application, dated October 21, 2026, for and on behalf of the Applicants, as the case may be, that he holds the office with each such entity as indicated below, and that all actions by stockholders, officers, directors, and other bodies necessary to authorize the undersigned to execute and file such Application have been taken. The undersigned further states that he is familiar with the instrument and the contents thereof, and that the facts set forth therein are true to the best of his or her knowledge, information, and belief.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0"/>
        <w:gridCol w:w="60"/>
        <w:gridCol w:w="690"/>
        <w:gridCol w:w="60"/>
        <w:gridCol w:w="288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FIDUS INVESTMENT CORPORATION</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Chief Executive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FIDUS INVESTMENT ADVISORS, LLC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Chief Executive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EXISTING WHOLLY-OWNED SUBSIDIARIES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FIDUS MEZZANINE CAPITAL, L.P.</w:t>
            </w:r>
          </w:p>
        </w:tc>
      </w:tr>
      <w:tr>
        <w:trPr/>
        <w:tc>
          <w:tcPr>
            <w:tcW w:w="4082" w:type="dxa"/>
            <w:gridSpan w:val="5"/>
            <w:tcBorders/>
          </w:tcPr>
          <w:p>
            <w:pPr>
              <w:pStyle w:val="TableContents"/>
              <w:bidi w:val="0"/>
              <w:spacing w:before="0" w:after="283"/>
              <w:jc w:val="left"/>
              <w:rPr/>
            </w:pPr>
            <w:r>
              <w:rPr/>
              <w:t>FIDUS MEZZANINE CAPITAL II, L.P.</w:t>
            </w:r>
          </w:p>
        </w:tc>
      </w:tr>
      <w:tr>
        <w:trPr/>
        <w:tc>
          <w:tcPr>
            <w:tcW w:w="4082" w:type="dxa"/>
            <w:gridSpan w:val="5"/>
            <w:tcBorders/>
          </w:tcPr>
          <w:p>
            <w:pPr>
              <w:pStyle w:val="TableContents"/>
              <w:bidi w:val="0"/>
              <w:spacing w:before="0" w:after="283"/>
              <w:jc w:val="left"/>
              <w:rPr/>
            </w:pPr>
            <w:r>
              <w:rPr/>
              <w:t>FIDUS MEZZANINE CAPITAL III, L.P.</w:t>
            </w:r>
          </w:p>
        </w:tc>
      </w:tr>
      <w:tr>
        <w:trPr/>
        <w:tc>
          <w:tcPr>
            <w:tcW w:w="4082" w:type="dxa"/>
            <w:gridSpan w:val="5"/>
            <w:tcBorders/>
          </w:tcPr>
          <w:p>
            <w:pPr>
              <w:pStyle w:val="TableContents"/>
              <w:bidi w:val="0"/>
              <w:spacing w:before="0" w:after="283"/>
              <w:jc w:val="left"/>
              <w:rPr/>
            </w:pPr>
            <w:r>
              <w:rPr/>
              <w:t>FIDUS MEZZANINE CAPITAL IV, L.P.</w:t>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FIC FUNDING, LLC</w:t>
            </w:r>
          </w:p>
          <w:p>
            <w:pPr>
              <w:pStyle w:val="TableContents"/>
              <w:bidi w:val="0"/>
              <w:spacing w:before="0" w:after="20"/>
              <w:jc w:val="left"/>
              <w:rPr>
                <w:rFonts w:ascii="Times New Roman" w:hAnsi="Times New Roman"/>
                <w:sz w:val="20"/>
              </w:rPr>
            </w:pPr>
            <w:r>
              <w:rPr>
                <w:rFonts w:ascii="Times New Roman" w:hAnsi="Times New Roman"/>
                <w:sz w:val="20"/>
              </w:rPr>
              <w:t>FIDUS INVESTMENT HOLDINGS,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EXISTING AFFILIATED FUNDS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FIDUS CREDIT OPPORTUNITIES, L.P.</w:t>
            </w:r>
          </w:p>
          <w:p>
            <w:pPr>
              <w:pStyle w:val="TableContents"/>
              <w:bidi w:val="0"/>
              <w:spacing w:before="0" w:after="20"/>
              <w:jc w:val="left"/>
              <w:rPr>
                <w:rFonts w:ascii="Times New Roman" w:hAnsi="Times New Roman"/>
                <w:sz w:val="20"/>
              </w:rPr>
            </w:pPr>
            <w:r>
              <w:rPr>
                <w:rFonts w:ascii="Times New Roman" w:hAnsi="Times New Roman"/>
                <w:sz w:val="20"/>
              </w:rPr>
              <w:t>FIDUS EQUITY OPPORTUNITIES FUND, L.P.</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480" w:after="0"/>
        <w:jc w:val="center"/>
        <w:rPr>
          <w:rFonts w:ascii="Times New Roman" w:hAnsi="Times New Roman"/>
          <w:b/>
          <w:sz w:val="20"/>
        </w:rPr>
      </w:pPr>
      <w:r>
        <w:rPr>
          <w:rFonts w:ascii="Times New Roman" w:hAnsi="Times New Roman"/>
          <w:b/>
          <w:sz w:val="20"/>
        </w:rPr>
        <w:t xml:space="preserve">Resolutions of the Board of Directors (the “Board”) of </w:t>
      </w:r>
    </w:p>
    <w:p>
      <w:pPr>
        <w:pStyle w:val="TextBody"/>
        <w:bidi w:val="0"/>
        <w:spacing w:before="0" w:after="0"/>
        <w:jc w:val="center"/>
        <w:rPr>
          <w:rFonts w:ascii="Times New Roman" w:hAnsi="Times New Roman"/>
          <w:b/>
          <w:sz w:val="20"/>
        </w:rPr>
      </w:pPr>
      <w:r>
        <w:rPr>
          <w:rFonts w:ascii="Times New Roman" w:hAnsi="Times New Roman"/>
          <w:b/>
          <w:sz w:val="20"/>
        </w:rPr>
        <w:t xml:space="preserve">Fidus Investment Corporation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has reviewed the Co-Investment Exemptive Application (the “</w:t>
      </w:r>
      <w:r>
        <w:rPr>
          <w:rFonts w:ascii="Times New Roman" w:hAnsi="Times New Roman"/>
          <w:b/>
          <w:i/>
          <w:sz w:val="20"/>
        </w:rPr>
        <w:t>Exemptive Application</w:t>
      </w:r>
      <w:r>
        <w:rPr>
          <w:rFonts w:ascii="Times New Roman" w:hAnsi="Times New Roman"/>
          <w:sz w:val="20"/>
        </w:rPr>
        <w:t>”), a copy of which is attached hereto as Exhibit A, for an order of the U.S. Securities and Exchange Commission (the “</w:t>
      </w:r>
      <w:r>
        <w:rPr>
          <w:rFonts w:ascii="Times New Roman" w:hAnsi="Times New Roman"/>
          <w:b/>
          <w:i/>
          <w:sz w:val="20"/>
        </w:rPr>
        <w:t>SEC</w:t>
      </w:r>
      <w:r>
        <w:rPr>
          <w:rFonts w:ascii="Times New Roman" w:hAnsi="Times New Roman"/>
          <w:sz w:val="20"/>
        </w:rPr>
        <w:t>”) pursuant to Sections 17(d) and 57(i) of the Investment Company Act of 1940, as amended (the “</w:t>
      </w:r>
      <w:r>
        <w:rPr>
          <w:rFonts w:ascii="Times New Roman" w:hAnsi="Times New Roman"/>
          <w:b/>
          <w:i/>
          <w:sz w:val="20"/>
        </w:rPr>
        <w:t>1940 Act</w:t>
      </w:r>
      <w:r>
        <w:rPr>
          <w:rFonts w:ascii="Times New Roman" w:hAnsi="Times New Roman"/>
          <w:sz w:val="20"/>
        </w:rPr>
        <w:t xml:space="preserve">”), and Rule 17d-1 thereunder permitting certain joint transactions that otherwise may be prohibited by Sections 17(d) and 57(a)(4) of the 1940 Act and Rule 17d-1 thereunder;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deems it advisable and in the best interest of the Company that the Company file the Exemptive Application.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Board shall be, and hereby is, authorized, empowered and directed, in the name and on behalf of the Company, to cause to be executed, delivered and filed with the SEC the Exemptive Application, in substantially the form provided to the Board;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(as defined below) shall be, and hereby are, authorized, empowered and directed, in the name and on behalf of the Company, to cause to be made, executed, delivered and filed with the SEC any amendments to the Exemptive Application, together with such exhibits and other documents thereto, as are satisfactory in form and substance to counsel to the Company in order to effectuate the foregoing, such determination to be conclusively evidenced by the taking of any such action;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all acts and things previously done by the Authorized Officers, on or prior to the date hereof, in the name and on behalf of the Company in connection with the foregoing resolutions are in all respects authorized, ratified, approved, confirmed and adopted as the acts and deeds by and on behalf of the Company;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that each of Chief Executive Officer and Chief Financial Officer of the Company (the “</w:t>
      </w:r>
      <w:r>
        <w:rPr>
          <w:rFonts w:ascii="Times New Roman" w:hAnsi="Times New Roman"/>
          <w:b/>
          <w:i/>
          <w:sz w:val="20"/>
        </w:rPr>
        <w:t>Authorized Officers</w:t>
      </w:r>
      <w:r>
        <w:rPr>
          <w:rFonts w:ascii="Times New Roman" w:hAnsi="Times New Roman"/>
          <w:sz w:val="20"/>
        </w:rPr>
        <w:t xml:space="preserve">”) be, and hereby is, authorized, empowered and directed to certify and deliver copies of these resolutions to such governmental bodies, agencies, persons, firms or corporations as the Authorized Officer may deem necessary and to identify by such Authorized Officer’s signature or certificate, or in such form as may be required, the documents and instruments presented to and approved herein and to furnish evidence of the approval of any document, instrument or provision or any addition, deletion or change in any document or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u w:val="single"/>
        </w:rPr>
        <w:t>Schedule A – Existing Wholly-Owned Subsidiaries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Existing Wholly-Owned Subsidiaries of Fidus Investment Corporation </w:t>
      </w:r>
    </w:p>
    <w:p>
      <w:pPr>
        <w:pStyle w:val="TextBody"/>
        <w:bidi w:val="0"/>
        <w:spacing w:before="120" w:after="0"/>
        <w:jc w:val="left"/>
        <w:rPr>
          <w:rFonts w:ascii="Times New Roman" w:hAnsi="Times New Roman"/>
          <w:sz w:val="20"/>
        </w:rPr>
      </w:pPr>
      <w:r>
        <w:rPr>
          <w:rFonts w:ascii="Times New Roman" w:hAnsi="Times New Roman"/>
          <w:sz w:val="20"/>
        </w:rPr>
        <w:t xml:space="preserve">Fidus Mezzanine Capital,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II,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III,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IV, L.P. </w:t>
      </w:r>
    </w:p>
    <w:p>
      <w:pPr>
        <w:pStyle w:val="TextBody"/>
        <w:bidi w:val="0"/>
        <w:spacing w:before="0" w:after="0"/>
        <w:jc w:val="left"/>
        <w:rPr>
          <w:rFonts w:ascii="Times New Roman" w:hAnsi="Times New Roman"/>
          <w:sz w:val="20"/>
        </w:rPr>
      </w:pPr>
      <w:r>
        <w:rPr>
          <w:rFonts w:ascii="Times New Roman" w:hAnsi="Times New Roman"/>
          <w:sz w:val="20"/>
        </w:rPr>
        <w:t xml:space="preserve">FIC Funding, LLC </w:t>
      </w:r>
    </w:p>
    <w:p>
      <w:pPr>
        <w:pStyle w:val="TextBody"/>
        <w:bidi w:val="0"/>
        <w:spacing w:before="0" w:after="0"/>
        <w:jc w:val="left"/>
        <w:rPr>
          <w:rFonts w:ascii="Times New Roman" w:hAnsi="Times New Roman"/>
          <w:sz w:val="20"/>
        </w:rPr>
      </w:pPr>
      <w:r>
        <w:rPr>
          <w:rFonts w:ascii="Times New Roman" w:hAnsi="Times New Roman"/>
          <w:sz w:val="20"/>
        </w:rPr>
        <w:t xml:space="preserve">Fidus Investment Holdings,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u w:val="single"/>
        </w:rPr>
        <w:t>Schedule B – Existing Affiliated Funds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Existing Affiliated Funds Advised by Fidus Investment Advisors, LLC: </w:t>
      </w:r>
    </w:p>
    <w:p>
      <w:pPr>
        <w:pStyle w:val="TextBody"/>
        <w:bidi w:val="0"/>
        <w:spacing w:before="120" w:after="0"/>
        <w:jc w:val="left"/>
        <w:rPr>
          <w:rFonts w:ascii="Times New Roman" w:hAnsi="Times New Roman"/>
          <w:sz w:val="20"/>
        </w:rPr>
      </w:pPr>
      <w:r>
        <w:rPr>
          <w:rFonts w:ascii="Times New Roman" w:hAnsi="Times New Roman"/>
          <w:sz w:val="20"/>
        </w:rPr>
        <w:t xml:space="preserve">Fidus Credit Opportunities, L.P. </w:t>
      </w:r>
    </w:p>
    <w:p>
      <w:pPr>
        <w:pStyle w:val="TextBody"/>
        <w:bidi w:val="0"/>
        <w:spacing w:before="0" w:after="0"/>
        <w:jc w:val="left"/>
        <w:rPr>
          <w:rFonts w:ascii="Times New Roman" w:hAnsi="Times New Roman"/>
          <w:sz w:val="20"/>
        </w:rPr>
      </w:pPr>
      <w:r>
        <w:rPr>
          <w:rFonts w:ascii="Times New Roman" w:hAnsi="Times New Roman"/>
          <w:sz w:val="20"/>
        </w:rPr>
        <w:t xml:space="preserve">Fidus Equity Opportunities Fund, 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Marked Copies of Amendment No. 1 Showing Changes from the Final Versions of the Two Applications </w:t>
      </w:r>
    </w:p>
    <w:p>
      <w:pPr>
        <w:pStyle w:val="TextBody"/>
        <w:bidi w:val="0"/>
        <w:spacing w:before="0" w:after="0"/>
        <w:jc w:val="center"/>
        <w:rPr>
          <w:rFonts w:ascii="Times New Roman" w:hAnsi="Times New Roman"/>
          <w:b/>
          <w:sz w:val="20"/>
        </w:rPr>
      </w:pPr>
      <w:r>
        <w:rPr>
          <w:rFonts w:ascii="Times New Roman" w:hAnsi="Times New Roman"/>
          <w:b/>
          <w:sz w:val="20"/>
        </w:rPr>
        <w:t xml:space="preserve">Identified as Substantially Identical Under Rule 0-5(e)(3)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color w:val="0000FF"/>
          <w:sz w:val="20"/>
          <w:u w:val="single"/>
          <w:bdr w:val="double" w:sz="2" w:space="1" w:color="000000"/>
        </w:rPr>
        <w:t>File No. 812-16082</w:t>
      </w:r>
      <w:r>
        <w:rPr>
          <w:rFonts w:ascii="Times New Roman" w:hAnsi="Times New Roman"/>
          <w:b/>
          <w:sz w:val="20"/>
        </w:rPr>
        <w:t xml:space="preserve"> </w:t>
      </w:r>
    </w:p>
    <w:p>
      <w:pPr>
        <w:pStyle w:val="TextBody"/>
        <w:bidi w:val="0"/>
        <w:spacing w:before="240" w:after="0"/>
        <w:jc w:val="left"/>
        <w:rPr>
          <w:rFonts w:ascii="Times New Roman" w:hAnsi="Times New Roman"/>
          <w:strike/>
          <w:color w:val="FF0000"/>
          <w:sz w:val="20"/>
        </w:rPr>
      </w:pPr>
      <w:r>
        <w:rPr>
          <w:rFonts w:ascii="Times New Roman" w:hAnsi="Times New Roman"/>
          <w:strike/>
          <w:color w:val="FF0000"/>
          <w:sz w:val="20"/>
        </w:rPr>
        <w:t xml:space="preserve">File No. 812-15960 </w:t>
      </w:r>
    </w:p>
    <w:p>
      <w:pPr>
        <w:pStyle w:val="TextBody"/>
        <w:bidi w:val="0"/>
        <w:spacing w:before="240" w:after="0"/>
        <w:jc w:val="center"/>
        <w:rPr>
          <w:rFonts w:ascii="Times New Roman" w:hAnsi="Times New Roman"/>
          <w:b/>
          <w:sz w:val="20"/>
        </w:rPr>
      </w:pPr>
      <w:r>
        <w:rPr>
          <w:rFonts w:ascii="Times New Roman" w:hAnsi="Times New Roman"/>
          <w:b/>
          <w:sz w:val="20"/>
        </w:rPr>
        <w:t xml:space="preserve">U.S. 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EXPEDITED REVIEW REQUESTED UNDER 17 CFR 270.0-5(d)</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In the Matter of the Application of: </w:t>
      </w:r>
    </w:p>
    <w:p>
      <w:pPr>
        <w:pStyle w:val="TextBody"/>
        <w:bidi w:val="0"/>
        <w:spacing w:before="0" w:after="0"/>
        <w:jc w:val="center"/>
        <w:rPr>
          <w:rFonts w:ascii="Times New Roman" w:hAnsi="Times New Roman"/>
          <w:b/>
          <w:sz w:val="24"/>
        </w:rPr>
      </w:pPr>
      <w:r>
        <w:rPr>
          <w:rFonts w:ascii="Times New Roman" w:hAnsi="Times New Roman"/>
          <w:b/>
          <w:strike/>
          <w:color w:val="FF0000"/>
          <w:sz w:val="24"/>
        </w:rPr>
        <w:t>Keystone Private Income Fund, Keystone National Group, LLC, Keystone Private Market Opportunities IX (Q), LP, Keystone Private Market Opportunities IX, LP, Keystone Real Estate Lending Fund, LLC, Keystone Real Estate Investment Trust, LLC</w:t>
      </w:r>
      <w:r>
        <w:rPr>
          <w:rFonts w:ascii="Times New Roman" w:hAnsi="Times New Roman"/>
          <w:b/>
          <w:sz w:val="24"/>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FIDUS INVESTMENT CORPORATION, FIDUS CREDIT OPPORTUNITIES, L.P., FIDUS EQUITY OPPORTUNITIES FUND, L.P., FIDUS MEZZANINE CAPITAL, L.P., FIDUS MEZZANINE CAPITAL II, L.P., FIDUS MEZZANINE CAPITAL III, L.P., FIDUS MEZZANINE CAPITAL IV, L.P., FIC FUNDING, LLC, FIDUS INVESTMENT HOLDINGS, INC., AND FIDUS INVESTMENT ADVISORS, LLC</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trike/>
          <w:color w:val="FF0000"/>
          <w:sz w:val="20"/>
        </w:rPr>
        <w:t>60 E. South Temple</w:t>
      </w:r>
      <w:r>
        <w:rPr>
          <w:rFonts w:ascii="Times New Roman" w:hAnsi="Times New Roman"/>
          <w:color w:val="0000FF"/>
          <w:sz w:val="20"/>
          <w:u w:val="single"/>
          <w:bdr w:val="double" w:sz="2" w:space="1" w:color="000000"/>
        </w:rPr>
        <w:t>1603 Orrington Avenue</w:t>
      </w:r>
      <w:r>
        <w:rPr>
          <w:rFonts w:ascii="Times New Roman" w:hAnsi="Times New Roman"/>
          <w:sz w:val="20"/>
        </w:rPr>
        <w:t>, Suite</w:t>
      </w:r>
      <w:r>
        <w:rPr>
          <w:rFonts w:ascii="Times New Roman" w:hAnsi="Times New Roman"/>
          <w:strike/>
          <w:color w:val="FF0000"/>
          <w:sz w:val="20"/>
        </w:rPr>
        <w:t xml:space="preserve"> 2100</w:t>
      </w:r>
      <w:r>
        <w:rPr>
          <w:rFonts w:ascii="Times New Roman" w:hAnsi="Times New Roman"/>
          <w:color w:val="0000FF"/>
          <w:sz w:val="20"/>
          <w:u w:val="single"/>
          <w:bdr w:val="double" w:sz="2" w:space="1" w:color="000000"/>
        </w:rPr>
        <w:t>1005</w:t>
      </w:r>
      <w:r>
        <w:rPr>
          <w:rFonts w:ascii="Times New Roman" w:hAnsi="Times New Roman"/>
          <w:strike/>
          <w:color w:val="FF0000"/>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Salt Lake City, Utah 84111</w:t>
      </w: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1</w:t>
      </w:r>
      <w:r>
        <w:rPr>
          <w:rFonts w:ascii="Times New Roman" w:hAnsi="Times New Roman"/>
          <w:sz w:val="20"/>
        </w:rPr>
        <w:t xml:space="preserve"> TO THE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All Communications, Notices and Orders to: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Edward H. Ross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Fidus Investment Corporation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1603 Orrington Avenue, Suite 1005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eross@fidusinv.com</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J. Troy Beatty</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General Counsel</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60 E. South Temple, Suite 2100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Salt Lake City, Utah 84111</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(925) 480-6050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u w:val="single"/>
        </w:rPr>
        <w:t>troy@keystonenational.com</w:t>
      </w:r>
      <w:r>
        <w:rPr>
          <w:rFonts w:ascii="Times New Roman" w:hAnsi="Times New Roman"/>
          <w:b/>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trike/>
          <w:color w:val="FF0000"/>
          <w:sz w:val="20"/>
        </w:rPr>
        <w:t>James E. Anderson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Haofei Liu</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Willkie Farr &amp; Gallagher LLP</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1875 K St NW</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Washington, DC 20006</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(202) 303-1000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u w:val="single"/>
        </w:rPr>
        <w:t>JAnderson@willkie.com</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Steven B. Boehm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Anne G. Oberndorf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Payam Siadatpour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Eversheds Sutherland (US)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700 6th Street, N.W.</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Washington, D.C. 20001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(202) 383-0100</w:t>
      </w:r>
      <w:r>
        <w:rPr>
          <w:rFonts w:ascii="Times New Roman" w:hAnsi="Times New Roman"/>
          <w:sz w:val="20"/>
        </w:rPr>
        <w:t xml:space="preserve">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stevenboehm@eversheds-sutherland.us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anneoberndorf@eversheds-sutherland.us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payamsiadatpour@eversheds-sutherland.us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trike/>
          <w:color w:val="FF0000"/>
          <w:sz w:val="20"/>
        </w:rPr>
        <w:t>May 8</w:t>
      </w:r>
      <w:r>
        <w:rPr>
          <w:rFonts w:ascii="Times New Roman" w:hAnsi="Times New Roman"/>
          <w:color w:val="0000FF"/>
          <w:sz w:val="20"/>
          <w:u w:val="single"/>
          <w:bdr w:val="double" w:sz="2" w:space="1" w:color="000000"/>
        </w:rPr>
        <w:t>October 21</w:t>
      </w:r>
      <w:r>
        <w:rPr>
          <w:rFonts w:ascii="Times New Roman" w:hAnsi="Times New Roman"/>
          <w:sz w:val="20"/>
        </w:rPr>
        <w:t xml:space="preserve">,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9"/>
        <w:gridCol w:w="120"/>
        <w:gridCol w:w="114"/>
        <w:gridCol w:w="120"/>
        <w:gridCol w:w="4782"/>
      </w:tblGrid>
      <w:tr>
        <w:trPr/>
        <w:tc>
          <w:tcPr>
            <w:tcW w:w="50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82"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b/>
                <w:strike/>
                <w:color w:val="FF0000"/>
              </w:rPr>
            </w:pPr>
            <w:r>
              <w:rPr>
                <w:b/>
                <w:strike/>
                <w:color w:val="FF0000"/>
              </w:rPr>
              <w:t>UNITED STATES OF AMERICA</w:t>
            </w:r>
          </w:p>
        </w:tc>
      </w:tr>
      <w:tr>
        <w:trPr/>
        <w:tc>
          <w:tcPr>
            <w:tcW w:w="10205" w:type="dxa"/>
            <w:gridSpan w:val="5"/>
            <w:tcBorders/>
          </w:tcPr>
          <w:p>
            <w:pPr>
              <w:pStyle w:val="TableContents"/>
              <w:bidi w:val="0"/>
              <w:spacing w:before="0" w:after="283"/>
              <w:jc w:val="center"/>
              <w:rPr>
                <w:b/>
                <w:strike/>
                <w:color w:val="FF0000"/>
              </w:rPr>
            </w:pPr>
            <w:r>
              <w:rPr>
                <w:b/>
                <w:strike/>
                <w:color w:val="FF0000"/>
              </w:rPr>
              <w:t>BEFORE THE</w:t>
            </w:r>
          </w:p>
        </w:tc>
      </w:tr>
      <w:tr>
        <w:trPr/>
        <w:tc>
          <w:tcPr>
            <w:tcW w:w="10205" w:type="dxa"/>
            <w:gridSpan w:val="5"/>
            <w:tcBorders/>
          </w:tcPr>
          <w:p>
            <w:pPr>
              <w:pStyle w:val="TableContents"/>
              <w:pBdr>
                <w:bottom w:val="single" w:sz="2" w:space="1" w:color="000000"/>
              </w:pBdr>
              <w:bidi w:val="0"/>
              <w:spacing w:before="0" w:after="20"/>
              <w:jc w:val="center"/>
              <w:rPr>
                <w:rFonts w:ascii="Times New Roman" w:hAnsi="Times New Roman"/>
                <w:b/>
                <w:strike/>
                <w:color w:val="FF0000"/>
                <w:sz w:val="20"/>
              </w:rPr>
            </w:pPr>
            <w:r>
              <w:rPr>
                <w:rFonts w:ascii="Times New Roman" w:hAnsi="Times New Roman"/>
                <w:b/>
                <w:strike/>
                <w:color w:val="FF0000"/>
                <w:sz w:val="20"/>
              </w:rPr>
              <w:t>SECURITIES AND EXCHANGE COMMISSION</w:t>
            </w:r>
          </w:p>
        </w:tc>
      </w:tr>
      <w:tr>
        <w:trPr/>
        <w:tc>
          <w:tcPr>
            <w:tcW w:w="50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sz w:val="4"/>
                <w:szCs w:val="4"/>
              </w:rPr>
            </w:pPr>
            <w:r>
              <w:rPr>
                <w:sz w:val="4"/>
                <w:szCs w:val="4"/>
              </w:rPr>
            </w:r>
          </w:p>
        </w:tc>
      </w:tr>
      <w:tr>
        <w:trPr/>
        <w:tc>
          <w:tcPr>
            <w:tcW w:w="5069" w:type="dxa"/>
            <w:tcBorders/>
          </w:tcPr>
          <w:p>
            <w:pPr>
              <w:pStyle w:val="TableContents"/>
              <w:bidi w:val="0"/>
              <w:spacing w:before="0" w:after="283"/>
              <w:jc w:val="left"/>
              <w:rPr>
                <w:b/>
                <w:strike/>
                <w:color w:val="FF0000"/>
              </w:rPr>
            </w:pPr>
            <w:r>
              <w:rPr>
                <w:b/>
                <w:strike/>
                <w:color w:val="FF0000"/>
              </w:rPr>
              <w:t>IN THE MATTER OF</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AMENDMENT NO. 2 TO THE</w:t>
            </w:r>
          </w:p>
        </w:tc>
      </w:tr>
      <w:tr>
        <w:trPr/>
        <w:tc>
          <w:tcPr>
            <w:tcW w:w="50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APPLICATION FOR AN ORDER</w:t>
            </w:r>
          </w:p>
        </w:tc>
      </w:tr>
      <w:tr>
        <w:trPr/>
        <w:tc>
          <w:tcPr>
            <w:tcW w:w="5069" w:type="dxa"/>
            <w:tcBorders/>
          </w:tcPr>
          <w:p>
            <w:pPr>
              <w:pStyle w:val="TableContents"/>
              <w:bidi w:val="0"/>
              <w:spacing w:before="0" w:after="283"/>
              <w:jc w:val="left"/>
              <w:rPr>
                <w:b/>
                <w:strike/>
                <w:color w:val="FF0000"/>
              </w:rPr>
            </w:pPr>
            <w:r>
              <w:rPr>
                <w:b/>
                <w:strike/>
                <w:color w:val="FF0000"/>
              </w:rPr>
              <w:t>KEYSTONE PRIVATE INCOME FUND,</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PURSUANT TO SECTIONS 17(d) AND</w:t>
            </w:r>
          </w:p>
        </w:tc>
      </w:tr>
      <w:tr>
        <w:trPr/>
        <w:tc>
          <w:tcPr>
            <w:tcW w:w="5069" w:type="dxa"/>
            <w:tcBorders/>
          </w:tcPr>
          <w:p>
            <w:pPr>
              <w:pStyle w:val="TableContents"/>
              <w:bidi w:val="0"/>
              <w:spacing w:before="0" w:after="283"/>
              <w:jc w:val="left"/>
              <w:rPr>
                <w:b/>
                <w:strike/>
                <w:color w:val="FF0000"/>
              </w:rPr>
            </w:pPr>
            <w:r>
              <w:rPr>
                <w:b/>
                <w:strike/>
                <w:color w:val="FF0000"/>
              </w:rPr>
              <w:t>KEYSTONE NATIONAL GROUP, LLC,</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rPr>
            </w:pPr>
            <w:r>
              <w:rPr>
                <w:b/>
                <w:strike/>
                <w:color w:val="FF0000"/>
              </w:rPr>
              <w:t>57(i) OF THE INVESTMENT</w:t>
            </w:r>
            <w:r>
              <w:rPr>
                <w:b/>
              </w:rPr>
              <w:t xml:space="preserve"> </w:t>
            </w:r>
          </w:p>
        </w:tc>
      </w:tr>
      <w:tr>
        <w:trPr/>
        <w:tc>
          <w:tcPr>
            <w:tcW w:w="5069" w:type="dxa"/>
            <w:tcBorders/>
          </w:tcPr>
          <w:p>
            <w:pPr>
              <w:pStyle w:val="TableContents"/>
              <w:bidi w:val="0"/>
              <w:spacing w:before="0" w:after="283"/>
              <w:jc w:val="left"/>
              <w:rPr>
                <w:b/>
                <w:strike/>
                <w:color w:val="FF0000"/>
              </w:rPr>
            </w:pPr>
            <w:r>
              <w:rPr>
                <w:b/>
                <w:strike/>
                <w:color w:val="FF0000"/>
              </w:rPr>
              <w:t>KEYSTONE PRIVATE MARKET</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COMPANY ACT OF 1940 AND RULE</w:t>
            </w:r>
          </w:p>
        </w:tc>
      </w:tr>
      <w:tr>
        <w:trPr/>
        <w:tc>
          <w:tcPr>
            <w:tcW w:w="5069" w:type="dxa"/>
            <w:tcBorders/>
          </w:tcPr>
          <w:p>
            <w:pPr>
              <w:pStyle w:val="TableContents"/>
              <w:bidi w:val="0"/>
              <w:spacing w:before="0" w:after="283"/>
              <w:jc w:val="left"/>
              <w:rPr>
                <w:b/>
                <w:strike/>
                <w:color w:val="FF0000"/>
              </w:rPr>
            </w:pPr>
            <w:r>
              <w:rPr>
                <w:b/>
                <w:strike/>
                <w:color w:val="FF0000"/>
              </w:rPr>
              <w:t>OPPORTUNITIES IX (Q), LP,</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17d-1 UNDER THE INVESTMENT</w:t>
            </w:r>
          </w:p>
        </w:tc>
      </w:tr>
      <w:tr>
        <w:trPr/>
        <w:tc>
          <w:tcPr>
            <w:tcW w:w="5069" w:type="dxa"/>
            <w:tcBorders/>
          </w:tcPr>
          <w:p>
            <w:pPr>
              <w:pStyle w:val="TableContents"/>
              <w:bidi w:val="0"/>
              <w:spacing w:before="0" w:after="283"/>
              <w:jc w:val="left"/>
              <w:rPr>
                <w:b/>
                <w:strike/>
                <w:color w:val="FF0000"/>
              </w:rPr>
            </w:pPr>
            <w:r>
              <w:rPr>
                <w:b/>
                <w:strike/>
                <w:color w:val="FF0000"/>
              </w:rPr>
              <w:t>KEYSTONE PRIVATE MARKET</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COMPANY ACT OF 1940</w:t>
            </w:r>
          </w:p>
        </w:tc>
      </w:tr>
      <w:tr>
        <w:trPr/>
        <w:tc>
          <w:tcPr>
            <w:tcW w:w="5069" w:type="dxa"/>
            <w:tcBorders/>
          </w:tcPr>
          <w:p>
            <w:pPr>
              <w:pStyle w:val="TableContents"/>
              <w:bidi w:val="0"/>
              <w:spacing w:before="0" w:after="283"/>
              <w:jc w:val="left"/>
              <w:rPr>
                <w:b/>
                <w:strike/>
                <w:color w:val="FF0000"/>
              </w:rPr>
            </w:pPr>
            <w:r>
              <w:rPr>
                <w:b/>
                <w:strike/>
                <w:color w:val="FF0000"/>
              </w:rPr>
              <w:t>OPPORTUNITIES IX, LP, KEYSTONE</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PERMITTING CERTAIN JOINT</w:t>
            </w:r>
          </w:p>
        </w:tc>
      </w:tr>
      <w:tr>
        <w:trPr/>
        <w:tc>
          <w:tcPr>
            <w:tcW w:w="5069" w:type="dxa"/>
            <w:tcBorders/>
          </w:tcPr>
          <w:p>
            <w:pPr>
              <w:pStyle w:val="TableContents"/>
              <w:bidi w:val="0"/>
              <w:spacing w:before="0" w:after="283"/>
              <w:jc w:val="left"/>
              <w:rPr>
                <w:b/>
                <w:strike/>
                <w:color w:val="FF0000"/>
              </w:rPr>
            </w:pPr>
            <w:r>
              <w:rPr>
                <w:b/>
                <w:strike/>
                <w:color w:val="FF0000"/>
              </w:rPr>
              <w:t>REAL ESTATE LENDING FUND, LLC,</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TRANSACTIONS OTHERWISE</w:t>
            </w:r>
          </w:p>
        </w:tc>
      </w:tr>
      <w:tr>
        <w:trPr/>
        <w:tc>
          <w:tcPr>
            <w:tcW w:w="5069" w:type="dxa"/>
            <w:tcBorders/>
          </w:tcPr>
          <w:p>
            <w:pPr>
              <w:pStyle w:val="TableContents"/>
              <w:bidi w:val="0"/>
              <w:spacing w:before="0" w:after="283"/>
              <w:jc w:val="left"/>
              <w:rPr>
                <w:b/>
                <w:strike/>
                <w:color w:val="FF0000"/>
              </w:rPr>
            </w:pPr>
            <w:r>
              <w:rPr>
                <w:b/>
                <w:strike/>
                <w:color w:val="FF0000"/>
              </w:rPr>
              <w:t>KEYSTONE REAL ESTATE</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PROHIBITED BY SECTIONS 17(d)</w:t>
            </w:r>
          </w:p>
        </w:tc>
      </w:tr>
      <w:tr>
        <w:trPr/>
        <w:tc>
          <w:tcPr>
            <w:tcW w:w="5069" w:type="dxa"/>
            <w:tcBorders/>
          </w:tcPr>
          <w:p>
            <w:pPr>
              <w:pStyle w:val="TableContents"/>
              <w:bidi w:val="0"/>
              <w:spacing w:before="0" w:after="283"/>
              <w:jc w:val="left"/>
              <w:rPr>
                <w:b/>
                <w:strike/>
                <w:color w:val="FF0000"/>
              </w:rPr>
            </w:pPr>
            <w:r>
              <w:rPr>
                <w:b/>
                <w:strike/>
                <w:color w:val="FF0000"/>
              </w:rPr>
              <w:t>INVESTMENT TRUST, LLC</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AND 57(a)(4) OF AND RULE 17d-1</w:t>
            </w:r>
          </w:p>
        </w:tc>
      </w:tr>
      <w:tr>
        <w:trPr/>
        <w:tc>
          <w:tcPr>
            <w:tcW w:w="50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UNDER THE INVESTMENT</w:t>
            </w:r>
          </w:p>
        </w:tc>
      </w:tr>
      <w:tr>
        <w:trPr/>
        <w:tc>
          <w:tcPr>
            <w:tcW w:w="5069" w:type="dxa"/>
            <w:tcBorders/>
          </w:tcPr>
          <w:p>
            <w:pPr>
              <w:pStyle w:val="TableContents"/>
              <w:bidi w:val="0"/>
              <w:spacing w:before="0" w:after="283"/>
              <w:jc w:val="left"/>
              <w:rPr>
                <w:b/>
                <w:strike/>
                <w:color w:val="FF0000"/>
              </w:rPr>
            </w:pPr>
            <w:r>
              <w:rPr>
                <w:b/>
                <w:strike/>
                <w:color w:val="FF0000"/>
              </w:rPr>
              <w:t>60 E. South Temple, Suite 2100</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b/>
                <w:strike/>
                <w:color w:val="FF0000"/>
              </w:rPr>
            </w:pPr>
            <w:r>
              <w:rPr>
                <w:b/>
                <w:strike/>
                <w:color w:val="FF0000"/>
              </w:rPr>
              <w:t>COMPANY ACT OF 1940</w:t>
            </w:r>
          </w:p>
        </w:tc>
      </w:tr>
      <w:tr>
        <w:trPr/>
        <w:tc>
          <w:tcPr>
            <w:tcW w:w="5069" w:type="dxa"/>
            <w:tcBorders/>
          </w:tcPr>
          <w:p>
            <w:pPr>
              <w:pStyle w:val="TableContents"/>
              <w:bidi w:val="0"/>
              <w:spacing w:before="0" w:after="283"/>
              <w:jc w:val="left"/>
              <w:rPr>
                <w:b/>
                <w:strike/>
                <w:color w:val="FF0000"/>
              </w:rPr>
            </w:pPr>
            <w:r>
              <w:rPr>
                <w:b/>
                <w:strike/>
                <w:color w:val="FF0000"/>
              </w:rPr>
              <w:t>Salt Lake City, Utah 84111</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sz w:val="4"/>
                <w:szCs w:val="4"/>
              </w:rPr>
            </w:pPr>
            <w:r>
              <w:rPr>
                <w:sz w:val="4"/>
                <w:szCs w:val="4"/>
              </w:rPr>
            </w:r>
          </w:p>
        </w:tc>
      </w:tr>
      <w:tr>
        <w:trPr>
          <w:trHeight w:val="120" w:hRule="atLeast"/>
        </w:trPr>
        <w:tc>
          <w:tcPr>
            <w:tcW w:w="5069" w:type="dxa"/>
            <w:tcBorders/>
            <w:vAlign w:val="center"/>
          </w:tcPr>
          <w:p>
            <w:pPr>
              <w:pStyle w:val="TableContents"/>
              <w:bidi w:val="0"/>
              <w:spacing w:before="0" w:after="283"/>
              <w:jc w:val="left"/>
              <w:rPr>
                <w:sz w:val="4"/>
                <w:szCs w:val="4"/>
              </w:rPr>
            </w:pPr>
            <w:r>
              <w:rPr>
                <w:sz w:val="4"/>
                <w:szCs w:val="4"/>
              </w:rPr>
            </w:r>
          </w:p>
        </w:tc>
        <w:tc>
          <w:tcPr>
            <w:tcW w:w="234" w:type="dxa"/>
            <w:gridSpan w:val="2"/>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r>
      <w:tr>
        <w:trPr/>
        <w:tc>
          <w:tcPr>
            <w:tcW w:w="5069" w:type="dxa"/>
            <w:tcBorders/>
          </w:tcPr>
          <w:p>
            <w:pPr>
              <w:pStyle w:val="TableContents"/>
              <w:bidi w:val="0"/>
              <w:spacing w:before="0" w:after="283"/>
              <w:jc w:val="left"/>
              <w:rPr>
                <w:b/>
                <w:strike/>
                <w:color w:val="FF0000"/>
              </w:rPr>
            </w:pPr>
            <w:r>
              <w:rPr>
                <w:b/>
                <w:strike/>
                <w:color w:val="FF0000"/>
              </w:rPr>
              <w:t>File No. 812-15960</w:t>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sz w:val="4"/>
                <w:szCs w:val="4"/>
              </w:rPr>
            </w:pPr>
            <w:r>
              <w:rPr>
                <w:sz w:val="4"/>
                <w:szCs w:val="4"/>
              </w:rPr>
            </w:r>
          </w:p>
        </w:tc>
      </w:tr>
      <w:tr>
        <w:trPr>
          <w:trHeight w:val="120" w:hRule="atLeast"/>
        </w:trPr>
        <w:tc>
          <w:tcPr>
            <w:tcW w:w="5069" w:type="dxa"/>
            <w:tcBorders/>
            <w:vAlign w:val="center"/>
          </w:tcPr>
          <w:p>
            <w:pPr>
              <w:pStyle w:val="TableContents"/>
              <w:bidi w:val="0"/>
              <w:spacing w:before="0" w:after="283"/>
              <w:jc w:val="left"/>
              <w:rPr>
                <w:sz w:val="4"/>
                <w:szCs w:val="4"/>
              </w:rPr>
            </w:pPr>
            <w:r>
              <w:rPr>
                <w:sz w:val="4"/>
                <w:szCs w:val="4"/>
              </w:rPr>
            </w:r>
          </w:p>
        </w:tc>
        <w:tc>
          <w:tcPr>
            <w:tcW w:w="234" w:type="dxa"/>
            <w:gridSpan w:val="2"/>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r>
      <w:tr>
        <w:trPr/>
        <w:tc>
          <w:tcPr>
            <w:tcW w:w="50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4" w:type="dxa"/>
            <w:tcBorders/>
          </w:tcPr>
          <w:p>
            <w:pPr>
              <w:pStyle w:val="TableContents"/>
              <w:bidi w:val="0"/>
              <w:spacing w:before="0" w:after="283"/>
              <w:jc w:val="left"/>
              <w:rPr>
                <w:b/>
                <w:strike/>
                <w:color w:val="FF0000"/>
              </w:rPr>
            </w:pPr>
            <w:r>
              <w:rPr>
                <w:b/>
                <w:strike/>
                <w:color w:val="FF0000"/>
              </w:rPr>
              <w:t>:</w:t>
            </w:r>
          </w:p>
        </w:tc>
        <w:tc>
          <w:tcPr>
            <w:tcW w:w="120"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trike/>
          <w:color w:val="FF0000"/>
          <w:sz w:val="20"/>
        </w:rPr>
        <w:t>I.</w:t>
      </w:r>
      <w:r>
        <w:rPr>
          <w:rFonts w:ascii="Times New Roman" w:hAnsi="Times New Roman"/>
          <w:strike/>
          <w:color w:val="FF0000"/>
          <w:sz w:val="20"/>
        </w:rPr>
        <w:t xml:space="preserve"> </w:t>
      </w:r>
      <w:r>
        <w:rPr>
          <w:rFonts w:ascii="Times New Roman" w:hAnsi="Times New Roman"/>
          <w:b/>
          <w:strike/>
          <w:color w:val="FF0000"/>
          <w:sz w:val="20"/>
        </w:rPr>
        <w:t>SUMMARY OF APPLICATION</w:t>
      </w:r>
      <w:r>
        <w:rPr>
          <w:rFonts w:ascii="Times New Roman" w:hAnsi="Times New Roman"/>
          <w:color w:val="FF0000"/>
          <w:sz w:val="20"/>
        </w:rPr>
        <w:t xml:space="preserve"> </w:t>
      </w:r>
    </w:p>
    <w:p>
      <w:pPr>
        <w:pStyle w:val="TextBody"/>
        <w:bidi w:val="0"/>
        <w:spacing w:before="120" w:after="0"/>
        <w:jc w:val="left"/>
        <w:rPr>
          <w:rFonts w:ascii="Times New Roman" w:hAnsi="Times New Roman"/>
          <w:b/>
          <w:sz w:val="20"/>
        </w:rPr>
      </w:pPr>
      <w:r>
        <w:rPr>
          <w:rFonts w:ascii="Times New Roman" w:hAnsi="Times New Roman"/>
          <w:b/>
          <w:color w:val="0000FF"/>
          <w:sz w:val="20"/>
          <w:u w:val="single"/>
          <w:bdr w:val="double" w:sz="2" w:space="1" w:color="000000"/>
        </w:rPr>
        <w:t>I. SUMMARY OF APPLCIATION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following entities hereby request an order (the “</w:t>
      </w:r>
      <w:r>
        <w:rPr>
          <w:rFonts w:ascii="Times New Roman" w:hAnsi="Times New Roman"/>
          <w:b/>
          <w:i/>
          <w:sz w:val="20"/>
        </w:rPr>
        <w:t>Order</w:t>
      </w:r>
      <w:r>
        <w:rPr>
          <w:rFonts w:ascii="Times New Roman" w:hAnsi="Times New Roman"/>
          <w:sz w:val="20"/>
        </w:rPr>
        <w:t>”) of the U.S. Securities and Exchange Commission (the “</w:t>
      </w:r>
      <w:r>
        <w:rPr>
          <w:rFonts w:ascii="Times New Roman" w:hAnsi="Times New Roman"/>
          <w:b/>
          <w:i/>
          <w:sz w:val="20"/>
        </w:rPr>
        <w:t>SEC</w:t>
      </w:r>
      <w:r>
        <w:rPr>
          <w:rFonts w:ascii="Times New Roman" w:hAnsi="Times New Roman"/>
          <w:sz w:val="20"/>
        </w:rPr>
        <w:t>” or “</w:t>
      </w:r>
      <w:r>
        <w:rPr>
          <w:rFonts w:ascii="Times New Roman" w:hAnsi="Times New Roman"/>
          <w:b/>
          <w:i/>
          <w:sz w:val="20"/>
        </w:rPr>
        <w:t>Commission</w:t>
      </w:r>
      <w:r>
        <w:rPr>
          <w:rFonts w:ascii="Times New Roman" w:hAnsi="Times New Roman"/>
          <w:sz w:val="20"/>
        </w:rPr>
        <w:t>”) under Sections 17(d) and 57(i) of the Investment Company Act of 1940, as amended (the “</w:t>
      </w:r>
      <w:r>
        <w:rPr>
          <w:rFonts w:ascii="Times New Roman" w:hAnsi="Times New Roman"/>
          <w:b/>
          <w:i/>
          <w:sz w:val="20"/>
        </w:rPr>
        <w:t>1940 Act</w:t>
      </w:r>
      <w:r>
        <w:rPr>
          <w:rFonts w:ascii="Times New Roman" w:hAnsi="Times New Roman"/>
          <w:sz w:val="20"/>
        </w:rPr>
        <w:t>”),1 and Rule 17d-1, permitting certain joint transactions otherwise prohibited by Sections 17(d) and 57(a)(4) of the 1940 Act and Rule 17d-1 thereunder.</w:t>
      </w:r>
      <w:r>
        <w:rPr>
          <w:rFonts w:ascii="Times New Roman" w:hAnsi="Times New Roman"/>
          <w:color w:val="0000FF"/>
          <w:sz w:val="20"/>
          <w:u w:val="single"/>
          <w:bdr w:val="double" w:sz="2" w:space="1" w:color="000000"/>
        </w:rPr>
        <w:t xml:space="preserve"> The Order would supersede the exemptive order issued by the Commission on August 29, 2024 (the “</w:t>
      </w:r>
      <w:r>
        <w:rPr>
          <w:rFonts w:ascii="Times New Roman" w:hAnsi="Times New Roman"/>
          <w:b/>
          <w:i/>
          <w:color w:val="0000FF"/>
          <w:sz w:val="20"/>
          <w:u w:val="single"/>
          <w:bdr w:val="double" w:sz="2" w:space="1" w:color="000000"/>
        </w:rPr>
        <w:t>Prior Order</w:t>
      </w:r>
      <w:r>
        <w:rPr>
          <w:rFonts w:ascii="Times New Roman" w:hAnsi="Times New Roman"/>
          <w:color w:val="0000FF"/>
          <w:sz w:val="20"/>
          <w:u w:val="single"/>
          <w:bdr w:val="double" w:sz="2" w:space="1" w:color="000000"/>
        </w:rPr>
        <w:t>”)</w:t>
      </w:r>
      <w:r>
        <w:rPr>
          <w:rFonts w:ascii="Times New Roman" w:hAnsi="Times New Roman"/>
          <w:color w:val="0000FF"/>
          <w:sz w:val="13"/>
          <w:u w:val="single"/>
          <w:bdr w:val="double" w:sz="2" w:space="1" w:color="000000"/>
        </w:rPr>
        <w:t xml:space="preserve">2 </w:t>
      </w:r>
      <w:r>
        <w:rPr>
          <w:rFonts w:ascii="Times New Roman" w:hAnsi="Times New Roman"/>
          <w:color w:val="0000FF"/>
          <w:sz w:val="20"/>
          <w:u w:val="single"/>
          <w:bdr w:val="double" w:sz="2" w:space="1" w:color="000000"/>
        </w:rPr>
        <w:t xml:space="preserve">that was granted pursuant to Sections 17(d), 57(i) and Rule 17d-1, with the result that no person will continue to rely on the Prior Order if the Order is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strike/>
                <w:color w:val="FF0000"/>
              </w:rPr>
            </w:pPr>
            <w:r>
              <w:rPr>
                <w:strike/>
                <w:color w:val="FF0000"/>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Private Income Fund, a Delaware statutory trust which is an externally managed</w:t>
            </w:r>
            <w:r>
              <w:rPr>
                <w:rFonts w:ascii="Times New Roman" w:hAnsi="Times New Roman"/>
                <w:strike/>
                <w:color w:val="008000"/>
                <w:sz w:val="20"/>
              </w:rPr>
              <w:t xml:space="preserve">, closed-end management investment company that </w:t>
            </w:r>
            <w:r>
              <w:rPr>
                <w:rFonts w:ascii="Times New Roman" w:hAnsi="Times New Roman"/>
                <w:strike/>
                <w:color w:val="FF0000"/>
                <w:sz w:val="20"/>
              </w:rPr>
              <w:t>is registered under the 1940 Act (“</w:t>
            </w:r>
            <w:r>
              <w:rPr>
                <w:rFonts w:ascii="Times New Roman" w:hAnsi="Times New Roman"/>
                <w:b/>
                <w:i/>
                <w:strike/>
                <w:color w:val="FF0000"/>
                <w:sz w:val="20"/>
              </w:rPr>
              <w:t>Existing Regulated Fund</w:t>
            </w:r>
            <w:r>
              <w:rPr>
                <w:rFonts w:ascii="Times New Roman" w:hAnsi="Times New Roman"/>
                <w:strike/>
                <w:color w:val="FF0000"/>
                <w:sz w:val="20"/>
              </w:rPr>
              <w:t>” or “</w:t>
            </w:r>
            <w:r>
              <w:rPr>
                <w:rFonts w:ascii="Times New Roman" w:hAnsi="Times New Roman"/>
                <w:b/>
                <w:i/>
                <w:strike/>
                <w:color w:val="FF0000"/>
                <w:sz w:val="20"/>
              </w:rPr>
              <w:t>KPIF</w:t>
            </w:r>
            <w:r>
              <w:rPr>
                <w:rFonts w:ascii="Times New Roman" w:hAnsi="Times New Roman"/>
                <w:strike/>
                <w:color w:val="FF0000"/>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strike/>
                <w:color w:val="FF0000"/>
              </w:rPr>
            </w:pPr>
            <w:r>
              <w:rPr>
                <w:strike/>
                <w:color w:val="FF0000"/>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Private Market Opportunities IX (Q), LP, which is an entity whose investment adviser is Keystone National Group, LLC and that</w:t>
            </w:r>
            <w:r>
              <w:rPr>
                <w:rFonts w:ascii="Times New Roman" w:hAnsi="Times New Roman"/>
                <w:strike/>
                <w:color w:val="008000"/>
                <w:sz w:val="20"/>
              </w:rPr>
              <w:t xml:space="preserve"> would be an investment company but for Section 3(c)(7) of the 1940 Act</w:t>
            </w:r>
            <w:r>
              <w:rPr>
                <w:rFonts w:ascii="Times New Roman" w:hAnsi="Times New Roman"/>
                <w:strike/>
                <w:color w:val="FF0000"/>
                <w:sz w:val="20"/>
              </w:rPr>
              <w:t>; (“</w:t>
            </w:r>
            <w:r>
              <w:rPr>
                <w:rFonts w:ascii="Times New Roman" w:hAnsi="Times New Roman"/>
                <w:b/>
                <w:i/>
                <w:strike/>
                <w:color w:val="FF0000"/>
                <w:sz w:val="20"/>
              </w:rPr>
              <w:t>KPMO IX Q</w:t>
            </w:r>
            <w:r>
              <w:rPr>
                <w:rFonts w:ascii="Times New Roman" w:hAnsi="Times New Roman"/>
                <w:strike/>
                <w:color w:val="FF0000"/>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strike/>
                <w:color w:val="FF0000"/>
              </w:rPr>
            </w:pPr>
            <w:r>
              <w:rPr>
                <w:strike/>
                <w:color w:val="FF0000"/>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Private Market Opportunities IX, LP, which is an entity whose investment adviser is Keystone National Group, LLC and that would be an investment company but for Section 3(c)(1) of the 1940 Act (“</w:t>
            </w:r>
            <w:r>
              <w:rPr>
                <w:rFonts w:ascii="Times New Roman" w:hAnsi="Times New Roman"/>
                <w:b/>
                <w:i/>
                <w:strike/>
                <w:color w:val="FF0000"/>
                <w:sz w:val="20"/>
              </w:rPr>
              <w:t>KPMO IX</w:t>
            </w:r>
            <w:r>
              <w:rPr>
                <w:rFonts w:ascii="Times New Roman" w:hAnsi="Times New Roman"/>
                <w:strike/>
                <w:color w:val="FF0000"/>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strike/>
                <w:color w:val="FF0000"/>
              </w:rPr>
            </w:pPr>
            <w:r>
              <w:rPr>
                <w:strike/>
                <w:color w:val="FF0000"/>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Real Estate Lending Fund, LLC, which is an entity whose investment adviser is Keystone National Group, LLC and that would be an investment company but for Section 3(c)(5) of the 1940 Act (“</w:t>
            </w:r>
            <w:r>
              <w:rPr>
                <w:rFonts w:ascii="Times New Roman" w:hAnsi="Times New Roman"/>
                <w:b/>
                <w:i/>
                <w:strike/>
                <w:color w:val="FF0000"/>
                <w:sz w:val="20"/>
              </w:rPr>
              <w:t>KRELF</w:t>
            </w:r>
            <w:r>
              <w:rPr>
                <w:rFonts w:ascii="Times New Roman" w:hAnsi="Times New Roman"/>
                <w:strike/>
                <w:color w:val="FF0000"/>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strike/>
                <w:color w:val="FF0000"/>
              </w:rPr>
            </w:pPr>
            <w:r>
              <w:rPr>
                <w:strike/>
                <w:color w:val="FF0000"/>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Real Estate</w:t>
            </w:r>
            <w:r>
              <w:rPr>
                <w:rFonts w:ascii="Times New Roman" w:hAnsi="Times New Roman"/>
                <w:color w:val="0000FF"/>
                <w:sz w:val="20"/>
                <w:u w:val="single"/>
                <w:bdr w:val="double" w:sz="2" w:space="1" w:color="000000"/>
              </w:rPr>
              <w:t>Fidus</w:t>
            </w:r>
            <w:r>
              <w:rPr>
                <w:rFonts w:ascii="Times New Roman" w:hAnsi="Times New Roman"/>
                <w:sz w:val="20"/>
              </w:rPr>
              <w:t xml:space="preserve"> Investment</w:t>
            </w:r>
            <w:r>
              <w:rPr>
                <w:rFonts w:ascii="Times New Roman" w:hAnsi="Times New Roman"/>
                <w:strike/>
                <w:color w:val="FF0000"/>
                <w:sz w:val="20"/>
              </w:rPr>
              <w:t xml:space="preserve"> Trust, LLC, which is an entity whose investment adviser is Keystone National Group, LLC and that would be an</w:t>
            </w:r>
            <w:r>
              <w:rPr>
                <w:rFonts w:ascii="Times New Roman" w:hAnsi="Times New Roman"/>
                <w:color w:val="0000FF"/>
                <w:sz w:val="20"/>
                <w:u w:val="single"/>
                <w:bdr w:val="double" w:sz="2" w:space="1" w:color="000000"/>
              </w:rPr>
              <w:t>Corporation (the “</w:t>
            </w:r>
            <w:r>
              <w:rPr>
                <w:rFonts w:ascii="Times New Roman" w:hAnsi="Times New Roman"/>
                <w:b/>
                <w:i/>
                <w:color w:val="0000FF"/>
                <w:sz w:val="20"/>
                <w:u w:val="single"/>
                <w:bdr w:val="double" w:sz="2" w:space="1" w:color="000000"/>
              </w:rPr>
              <w:t>Existing Regulated Fund</w:t>
            </w:r>
            <w:r>
              <w:rPr>
                <w:rFonts w:ascii="Times New Roman" w:hAnsi="Times New Roman"/>
                <w:color w:val="0000FF"/>
                <w:sz w:val="20"/>
                <w:u w:val="single"/>
                <w:bdr w:val="double" w:sz="2" w:space="1" w:color="000000"/>
              </w:rPr>
              <w:t>”), a corporation formed under the General Corporate Laws of the State of Maryland for the purpose of operating as an externally-managed, non-diversified, closed-end management</w:t>
            </w:r>
            <w:r>
              <w:rPr>
                <w:rFonts w:ascii="Times New Roman" w:hAnsi="Times New Roman"/>
                <w:sz w:val="20"/>
              </w:rPr>
              <w:t xml:space="preserve"> investment company </w:t>
            </w:r>
            <w:r>
              <w:rPr>
                <w:rFonts w:ascii="Times New Roman" w:hAnsi="Times New Roman"/>
                <w:strike/>
                <w:color w:val="FF0000"/>
                <w:sz w:val="20"/>
              </w:rPr>
              <w:t>but for Section 3(c)(5) of</w:t>
            </w:r>
            <w:r>
              <w:rPr>
                <w:rFonts w:ascii="Times New Roman" w:hAnsi="Times New Roman"/>
                <w:color w:val="0000FF"/>
                <w:sz w:val="20"/>
                <w:u w:val="single"/>
                <w:bdr w:val="double" w:sz="2" w:space="1" w:color="000000"/>
              </w:rPr>
              <w:t>that has elected to be regulated as a business development company (“</w:t>
            </w:r>
            <w:r>
              <w:rPr>
                <w:rFonts w:ascii="Times New Roman" w:hAnsi="Times New Roman"/>
                <w:b/>
                <w:i/>
                <w:color w:val="0000FF"/>
                <w:sz w:val="20"/>
                <w:u w:val="single"/>
                <w:bdr w:val="double" w:sz="2" w:space="1" w:color="000000"/>
              </w:rPr>
              <w:t>BDC</w:t>
            </w:r>
            <w:r>
              <w:rPr>
                <w:rFonts w:ascii="Times New Roman" w:hAnsi="Times New Roman"/>
                <w:color w:val="0000FF"/>
                <w:sz w:val="20"/>
                <w:u w:val="single"/>
                <w:bdr w:val="double" w:sz="2" w:space="1" w:color="000000"/>
              </w:rPr>
              <w:t>”) under</w:t>
            </w:r>
            <w:r>
              <w:rPr>
                <w:rFonts w:ascii="Times New Roman" w:hAnsi="Times New Roman"/>
                <w:sz w:val="20"/>
              </w:rPr>
              <w:t xml:space="preserve"> the 1940 Act</w:t>
            </w:r>
            <w:r>
              <w:rPr>
                <w:rFonts w:ascii="Times New Roman" w:hAnsi="Times New Roman"/>
                <w:strike/>
                <w:color w:val="FF0000"/>
                <w:sz w:val="20"/>
              </w:rPr>
              <w:t xml:space="preserve"> (“</w:t>
            </w:r>
            <w:r>
              <w:rPr>
                <w:rFonts w:ascii="Times New Roman" w:hAnsi="Times New Roman"/>
                <w:b/>
                <w:i/>
                <w:strike/>
                <w:color w:val="FF0000"/>
                <w:sz w:val="20"/>
              </w:rPr>
              <w:t>KREIT</w:t>
            </w:r>
            <w:r>
              <w:rPr>
                <w:rFonts w:ascii="Times New Roman" w:hAnsi="Times New Roman"/>
                <w:strike/>
                <w:color w:val="FF0000"/>
                <w:sz w:val="20"/>
              </w:rPr>
              <w:t>” and, together with KPMO IX Q, KPMO IX, and KRELF, the “</w:t>
            </w:r>
            <w:r>
              <w:rPr>
                <w:rFonts w:ascii="Times New Roman" w:hAnsi="Times New Roman"/>
                <w:b/>
                <w:strike/>
                <w:color w:val="FF0000"/>
                <w:sz w:val="20"/>
              </w:rPr>
              <w:t>Existing Affiliated Entities</w:t>
            </w:r>
            <w:r>
              <w:rPr>
                <w:rFonts w:ascii="Times New Roman" w:hAnsi="Times New Roman"/>
                <w:strike/>
                <w:color w:val="FF0000"/>
                <w:sz w:val="20"/>
              </w:rPr>
              <w:t>”);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9797" w:type="dxa"/>
            <w:tcBorders/>
          </w:tcPr>
          <w:p>
            <w:pPr>
              <w:pStyle w:val="TableContents"/>
              <w:bidi w:val="0"/>
              <w:spacing w:before="0" w:after="0"/>
              <w:jc w:val="left"/>
              <w:rPr>
                <w:rFonts w:ascii="Times New Roman" w:hAnsi="Times New Roman"/>
              </w:rPr>
            </w:pPr>
            <w:r>
              <w:rPr>
                <w:rFonts w:ascii="Times New Roman" w:hAnsi="Times New Roman"/>
                <w:color w:val="0000FF"/>
                <w:u w:val="single"/>
                <w:bdr w:val="double" w:sz="2" w:space="1" w:color="000000"/>
              </w:rPr>
              <w:t>Certain vehicles (as identified on Schedule A hereto) (the “</w:t>
            </w:r>
            <w:r>
              <w:rPr>
                <w:rFonts w:ascii="Times New Roman" w:hAnsi="Times New Roman"/>
                <w:b/>
                <w:i/>
                <w:color w:val="0000FF"/>
                <w:u w:val="single"/>
                <w:bdr w:val="double" w:sz="2" w:space="1" w:color="000000"/>
              </w:rPr>
              <w:t>Existing Wholly-Owned Subsidiaries</w:t>
            </w:r>
            <w:r>
              <w:rPr>
                <w:rFonts w:ascii="Times New Roman" w:hAnsi="Times New Roman"/>
                <w:color w:val="0000FF"/>
                <w:u w:val="single"/>
                <w:bdr w:val="double" w:sz="2" w:space="1" w:color="000000"/>
              </w:rPr>
              <w:t>”), each of</w:t>
            </w:r>
            <w:r>
              <w:rPr>
                <w:rFonts w:ascii="Times New Roman" w:hAnsi="Times New Roman"/>
              </w:rPr>
              <w:t xml:space="preserve"> </w:t>
            </w:r>
            <w:r>
              <w:rPr>
                <w:rFonts w:ascii="Times New Roman" w:hAnsi="Times New Roman"/>
                <w:color w:val="0000FF"/>
                <w:u w:val="single"/>
                <w:bdr w:val="double" w:sz="2" w:space="1" w:color="000000"/>
              </w:rPr>
              <w:t>which is a separate and distinct legal entity and each of which is a Wholly-Owned Investment Sub (as defined below) of the Existing Regulated Fund.</w:t>
            </w:r>
            <w:r>
              <w:rPr>
                <w:rFonts w:ascii="Times New Roman" w:hAnsi="Times New Roman"/>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National Group</w:t>
            </w:r>
            <w:r>
              <w:rPr>
                <w:rFonts w:ascii="Times New Roman" w:hAnsi="Times New Roman"/>
                <w:color w:val="0000FF"/>
                <w:sz w:val="20"/>
                <w:u w:val="single"/>
                <w:bdr w:val="double" w:sz="2" w:space="1" w:color="000000"/>
              </w:rPr>
              <w:t>Fidus Investment Advisors</w:t>
            </w:r>
            <w:r>
              <w:rPr>
                <w:rFonts w:ascii="Times New Roman" w:hAnsi="Times New Roman"/>
                <w:sz w:val="20"/>
              </w:rPr>
              <w:t>, LLC</w:t>
            </w:r>
            <w:r>
              <w:rPr>
                <w:rFonts w:ascii="Times New Roman" w:hAnsi="Times New Roman"/>
                <w:color w:val="0000FF"/>
                <w:sz w:val="20"/>
                <w:u w:val="single"/>
                <w:bdr w:val="double" w:sz="2" w:space="1" w:color="000000"/>
              </w:rPr>
              <w:t>,</w:t>
            </w:r>
            <w:r>
              <w:rPr>
                <w:rFonts w:ascii="Times New Roman" w:hAnsi="Times New Roman"/>
                <w:sz w:val="20"/>
              </w:rPr>
              <w:t xml:space="preserve"> and its successors</w:t>
            </w:r>
            <w:r>
              <w:rPr>
                <w:rFonts w:ascii="Times New Roman" w:hAnsi="Times New Roman"/>
                <w:strike/>
                <w:color w:val="FF0000"/>
                <w:sz w:val="13"/>
              </w:rPr>
              <w:t>2</w:t>
            </w:r>
            <w:r>
              <w:rPr>
                <w:rFonts w:ascii="Times New Roman" w:hAnsi="Times New Roman"/>
                <w:color w:val="0000FF"/>
                <w:sz w:val="20"/>
                <w:u w:val="single"/>
                <w:bdr w:val="double" w:sz="2" w:space="1" w:color="000000"/>
              </w:rPr>
              <w:t xml:space="preserve">3 </w:t>
            </w:r>
            <w:r>
              <w:rPr>
                <w:rFonts w:ascii="Times New Roman" w:hAnsi="Times New Roman"/>
                <w:sz w:val="20"/>
              </w:rPr>
              <w:t>(</w:t>
            </w:r>
            <w:r>
              <w:rPr>
                <w:rFonts w:ascii="Times New Roman" w:hAnsi="Times New Roman"/>
                <w:strike/>
                <w:color w:val="FF0000"/>
                <w:sz w:val="20"/>
              </w:rPr>
              <w:t>collectively, “</w:t>
            </w:r>
            <w:r>
              <w:rPr>
                <w:rFonts w:ascii="Times New Roman" w:hAnsi="Times New Roman"/>
                <w:b/>
                <w:i/>
                <w:strike/>
                <w:color w:val="FF0000"/>
                <w:sz w:val="20"/>
              </w:rPr>
              <w:t>KNG</w:t>
            </w:r>
            <w:r>
              <w:rPr>
                <w:rFonts w:ascii="Times New Roman" w:hAnsi="Times New Roman"/>
                <w:color w:val="0000FF"/>
                <w:sz w:val="20"/>
                <w:u w:val="single"/>
                <w:bdr w:val="double" w:sz="2" w:space="1" w:color="000000"/>
              </w:rPr>
              <w:t>the “</w:t>
            </w:r>
            <w:r>
              <w:rPr>
                <w:rFonts w:ascii="Times New Roman" w:hAnsi="Times New Roman"/>
                <w:b/>
                <w:i/>
                <w:color w:val="0000FF"/>
                <w:sz w:val="20"/>
                <w:u w:val="single"/>
                <w:bdr w:val="double" w:sz="2" w:space="1" w:color="000000"/>
              </w:rPr>
              <w:t>Existing Adviser</w:t>
            </w:r>
            <w:r>
              <w:rPr>
                <w:rFonts w:ascii="Times New Roman" w:hAnsi="Times New Roman"/>
                <w:sz w:val="20"/>
              </w:rPr>
              <w:t>”), an investment adviser registered with the Commission under the Investment Advisers Act of 1940</w:t>
            </w:r>
            <w:r>
              <w:rPr>
                <w:rFonts w:ascii="Times New Roman" w:hAnsi="Times New Roman"/>
                <w:strike/>
                <w:color w:val="FF0000"/>
                <w:sz w:val="20"/>
              </w:rPr>
              <w:t>, as amended</w:t>
            </w:r>
            <w:r>
              <w:rPr>
                <w:rFonts w:ascii="Times New Roman" w:hAnsi="Times New Roman"/>
                <w:sz w:val="20"/>
              </w:rPr>
              <w:t xml:space="preserve"> (the “</w:t>
            </w:r>
            <w:r>
              <w:rPr>
                <w:rFonts w:ascii="Times New Roman" w:hAnsi="Times New Roman"/>
                <w:b/>
                <w:i/>
                <w:sz w:val="20"/>
              </w:rPr>
              <w:t>Advisers Act</w:t>
            </w:r>
            <w:r>
              <w:rPr>
                <w:rFonts w:ascii="Times New Roman" w:hAnsi="Times New Roman"/>
                <w:sz w:val="20"/>
              </w:rPr>
              <w:t>”), which serves as</w:t>
            </w:r>
            <w:r>
              <w:rPr>
                <w:rFonts w:ascii="Times New Roman" w:hAnsi="Times New Roman"/>
                <w:color w:val="0000FF"/>
                <w:sz w:val="20"/>
                <w:u w:val="single"/>
                <w:bdr w:val="double" w:sz="2" w:space="1" w:color="000000"/>
              </w:rPr>
              <w:t xml:space="preserve"> the</w:t>
            </w:r>
            <w:r>
              <w:rPr>
                <w:rFonts w:ascii="Times New Roman" w:hAnsi="Times New Roman"/>
                <w:sz w:val="20"/>
              </w:rPr>
              <w:t xml:space="preserve"> investment adviser to</w:t>
            </w:r>
            <w:r>
              <w:rPr>
                <w:rFonts w:ascii="Times New Roman" w:hAnsi="Times New Roman"/>
                <w:strike/>
                <w:color w:val="FF0000"/>
                <w:sz w:val="20"/>
              </w:rPr>
              <w:t xml:space="preserve"> each of</w:t>
            </w:r>
            <w:r>
              <w:rPr>
                <w:rFonts w:ascii="Times New Roman" w:hAnsi="Times New Roman"/>
                <w:sz w:val="20"/>
              </w:rPr>
              <w:t xml:space="preserve"> the Existing Regulated Fund and </w:t>
            </w:r>
            <w:r>
              <w:rPr>
                <w:rFonts w:ascii="Times New Roman" w:hAnsi="Times New Roman"/>
                <w:color w:val="0000FF"/>
                <w:sz w:val="20"/>
                <w:u w:val="single"/>
                <w:bdr w:val="double" w:sz="2" w:space="1" w:color="000000"/>
              </w:rPr>
              <w:t>the</w:t>
            </w:r>
            <w:r>
              <w:rPr>
                <w:rFonts w:ascii="Times New Roman" w:hAnsi="Times New Roman"/>
                <w:sz w:val="20"/>
              </w:rPr>
              <w:t xml:space="preserve"> Existing Affiliated </w:t>
            </w:r>
            <w:r>
              <w:rPr>
                <w:rFonts w:ascii="Times New Roman" w:hAnsi="Times New Roman"/>
                <w:strike/>
                <w:color w:val="FF0000"/>
                <w:sz w:val="20"/>
              </w:rPr>
              <w:t>Entities.</w:t>
            </w:r>
            <w:r>
              <w:rPr>
                <w:rFonts w:ascii="Times New Roman" w:hAnsi="Times New Roman"/>
                <w:color w:val="0000FF"/>
                <w:sz w:val="20"/>
                <w:u w:val="single"/>
                <w:bdr w:val="double" w:sz="2" w:space="1" w:color="000000"/>
              </w:rPr>
              <w:t>Funds (defined below);</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all section and rule references herein are to the 1940 Act and rules promulgated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Corporation, et al. (File No. 812-15496) Release No. IC-35289 (August 2, 2024) (notice), Release No. IC-35309 (August 29, 2024) (order).</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2</w:t>
            </w:r>
            <w:r>
              <w:rPr>
                <w:color w:val="0000FF"/>
                <w:u w:val="single"/>
                <w:bdr w:val="double" w:sz="2" w:space="1" w:color="000000"/>
              </w:rPr>
              <w:t xml:space="preserve">3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i/>
                <w:sz w:val="20"/>
              </w:rPr>
              <w:t>successor</w:t>
            </w:r>
            <w:r>
              <w:rPr>
                <w:rFonts w:ascii="Times New Roman" w:hAnsi="Times New Roman"/>
                <w:sz w:val="20"/>
              </w:rPr>
              <w:t xml:space="preserve">” means an entity that results from a reorganization into another jurisdiction or change in the type of business organization.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The Existing Regulated Fund, KNG and the Existing Affiliated Entities may be referred to herein as the “</w:t>
      </w:r>
      <w:r>
        <w:rPr>
          <w:rFonts w:ascii="Times New Roman" w:hAnsi="Times New Roman"/>
          <w:b/>
          <w:i/>
          <w:strike/>
          <w:color w:val="FF0000"/>
          <w:sz w:val="20"/>
        </w:rPr>
        <w:t>Applicants</w:t>
      </w:r>
      <w:r>
        <w:rPr>
          <w:rFonts w:ascii="Times New Roman" w:hAnsi="Times New Roman"/>
          <w:strike/>
          <w:color w:val="FF0000"/>
          <w:sz w:val="20"/>
        </w:rPr>
        <w:t>.”3</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investment vehicles (as identified on Schedule B hereto), each of which is a separate and distinct legal entity and each of which</w:t>
            </w:r>
            <w:r>
              <w:rPr>
                <w:rFonts w:ascii="Times New Roman" w:hAnsi="Times New Roman"/>
                <w:color w:val="008000"/>
                <w:sz w:val="20"/>
                <w:u w:val="single"/>
                <w:bdr w:val="double" w:sz="2" w:space="1" w:color="000000"/>
              </w:rPr>
              <w:t xml:space="preserve"> would be an investment company but for Section 3(c)(7) of the 1940 Act</w:t>
            </w:r>
            <w:r>
              <w:rPr>
                <w:rFonts w:ascii="Times New Roman" w:hAnsi="Times New Roman"/>
                <w:color w:val="0000FF"/>
                <w:sz w:val="20"/>
                <w:u w:val="single"/>
                <w:bdr w:val="double" w:sz="2" w:space="1" w:color="000000"/>
              </w:rPr>
              <w:t xml:space="preserve"> (the “</w:t>
            </w:r>
            <w:r>
              <w:rPr>
                <w:rFonts w:ascii="Times New Roman" w:hAnsi="Times New Roman"/>
                <w:b/>
                <w:i/>
                <w:color w:val="0000FF"/>
                <w:sz w:val="20"/>
                <w:u w:val="single"/>
                <w:bdr w:val="double" w:sz="2" w:space="1" w:color="000000"/>
              </w:rPr>
              <w:t>Existing Affiliated Funds</w:t>
            </w:r>
            <w:r>
              <w:rPr>
                <w:rFonts w:ascii="Times New Roman" w:hAnsi="Times New Roman"/>
                <w:color w:val="0000FF"/>
                <w:sz w:val="20"/>
                <w:u w:val="single"/>
                <w:bdr w:val="double" w:sz="2" w:space="1" w:color="000000"/>
              </w:rPr>
              <w:t>” and collectively with the Existing Regulated Fund, the Existing Wholly-Owned Subsidiaries, and the Existing Adviser, the “</w:t>
            </w:r>
            <w:r>
              <w:rPr>
                <w:rFonts w:ascii="Times New Roman" w:hAnsi="Times New Roman"/>
                <w:b/>
                <w:i/>
                <w:color w:val="0000FF"/>
                <w:sz w:val="20"/>
                <w:u w:val="single"/>
                <w:bdr w:val="double" w:sz="2" w:space="1" w:color="000000"/>
              </w:rPr>
              <w:t>Applicants</w:t>
            </w:r>
            <w:r>
              <w:rPr>
                <w:rFonts w:ascii="Times New Roman" w:hAnsi="Times New Roman"/>
                <w:color w:val="0000FF"/>
                <w:sz w:val="20"/>
                <w:u w:val="single"/>
                <w:bdr w:val="double" w:sz="2" w:space="1" w:color="000000"/>
              </w:rPr>
              <w:t>”).4</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strike/>
                <w:color w:val="FF0000"/>
                <w:sz w:val="13"/>
              </w:rPr>
              <w:t>3</w:t>
            </w: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trike/>
                <w:color w:val="008000"/>
                <w:sz w:val="20"/>
              </w:rPr>
              <w:t>All existing entities that currently intend to rely upon the requested Order have been named as Applicants. Any other existing or future entity that subsequently relies on the Order will comply with the terms and conditions of the Application.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color w:val="0000FF"/>
                <w:sz w:val="13"/>
                <w:u w:val="single"/>
                <w:bdr w:val="double" w:sz="2" w:space="1" w:color="000000"/>
              </w:rPr>
              <w:t>4</w:t>
            </w: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color w:val="008000"/>
                <w:sz w:val="20"/>
                <w:u w:val="single"/>
                <w:bdr w:val="double" w:sz="2" w:space="1" w:color="000000"/>
              </w:rPr>
              <w:t>All existing entities that currently intend to rely upon the requested Order have been named as Applicants. Any other existing or future entity that subsequently relies on the Order will comply with the terms and conditions of the Application.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relief requested in this application for the Order (the “</w:t>
      </w:r>
      <w:r>
        <w:rPr>
          <w:rFonts w:ascii="Times New Roman" w:hAnsi="Times New Roman"/>
          <w:b/>
          <w:i/>
          <w:sz w:val="20"/>
        </w:rPr>
        <w:t>Application</w:t>
      </w:r>
      <w:r>
        <w:rPr>
          <w:rFonts w:ascii="Times New Roman" w:hAnsi="Times New Roman"/>
          <w:sz w:val="20"/>
        </w:rPr>
        <w:t>”) would allow a Regulated Fund</w:t>
      </w:r>
      <w:r>
        <w:rPr>
          <w:rFonts w:ascii="Times New Roman" w:hAnsi="Times New Roman"/>
          <w:strike/>
          <w:color w:val="FF0000"/>
          <w:sz w:val="13"/>
        </w:rPr>
        <w:t>4</w:t>
      </w:r>
      <w:r>
        <w:rPr>
          <w:rFonts w:ascii="Times New Roman" w:hAnsi="Times New Roman"/>
          <w:color w:val="0000FF"/>
          <w:sz w:val="20"/>
          <w:u w:val="single"/>
          <w:bdr w:val="double" w:sz="2" w:space="1" w:color="000000"/>
        </w:rPr>
        <w:t>5</w:t>
      </w:r>
      <w:r>
        <w:rPr>
          <w:rFonts w:ascii="Times New Roman" w:hAnsi="Times New Roman"/>
          <w:sz w:val="20"/>
        </w:rPr>
        <w:t xml:space="preserve"> and one or more Affiliated Entities</w:t>
      </w:r>
      <w:r>
        <w:rPr>
          <w:rFonts w:ascii="Times New Roman" w:hAnsi="Times New Roman"/>
          <w:strike/>
          <w:color w:val="FF0000"/>
          <w:sz w:val="20"/>
        </w:rPr>
        <w:t>5</w:t>
      </w:r>
      <w:r>
        <w:rPr>
          <w:rFonts w:ascii="Times New Roman" w:hAnsi="Times New Roman"/>
          <w:color w:val="0000FF"/>
          <w:sz w:val="20"/>
          <w:u w:val="single"/>
          <w:bdr w:val="double" w:sz="2" w:space="1" w:color="000000"/>
        </w:rPr>
        <w:t>6</w:t>
      </w:r>
      <w:r>
        <w:rPr>
          <w:rFonts w:ascii="Times New Roman" w:hAnsi="Times New Roman"/>
          <w:sz w:val="20"/>
        </w:rPr>
        <w:t xml:space="preserve"> to engage in Co-Investment Transactions</w:t>
      </w:r>
      <w:r>
        <w:rPr>
          <w:rFonts w:ascii="Times New Roman" w:hAnsi="Times New Roman"/>
          <w:strike/>
          <w:color w:val="FF0000"/>
          <w:sz w:val="20"/>
        </w:rPr>
        <w:t>6</w:t>
      </w:r>
      <w:r>
        <w:rPr>
          <w:rFonts w:ascii="Times New Roman" w:hAnsi="Times New Roman"/>
          <w:color w:val="0000FF"/>
          <w:sz w:val="20"/>
          <w:u w:val="single"/>
          <w:bdr w:val="double" w:sz="2" w:space="1" w:color="000000"/>
        </w:rPr>
        <w:t>7</w:t>
      </w:r>
      <w:r>
        <w:rPr>
          <w:rFonts w:ascii="Times New Roman" w:hAnsi="Times New Roman"/>
          <w:sz w:val="20"/>
        </w:rPr>
        <w:t xml:space="preserve"> subject to the terms and conditions described herein. The Regulated Funds and Affiliated Entities that participate in a Co-Investment Transaction are collectively referred to herein as “</w:t>
      </w:r>
      <w:r>
        <w:rPr>
          <w:rFonts w:ascii="Times New Roman" w:hAnsi="Times New Roman"/>
          <w:b/>
          <w:i/>
          <w:sz w:val="20"/>
        </w:rPr>
        <w:t>Participants</w:t>
      </w:r>
      <w:r>
        <w:rPr>
          <w:rFonts w:ascii="Times New Roman" w:hAnsi="Times New Roman"/>
          <w:sz w:val="20"/>
        </w:rPr>
        <w:t>.”</w:t>
      </w:r>
      <w:r>
        <w:rPr>
          <w:rFonts w:ascii="Times New Roman" w:hAnsi="Times New Roman"/>
          <w:strike/>
          <w:color w:val="FF0000"/>
          <w:sz w:val="13"/>
        </w:rPr>
        <w:t>7</w:t>
      </w:r>
      <w:r>
        <w:rPr>
          <w:rFonts w:ascii="Times New Roman" w:hAnsi="Times New Roman"/>
          <w:color w:val="0000FF"/>
          <w:sz w:val="20"/>
          <w:u w:val="single"/>
          <w:bdr w:val="double" w:sz="2" w:space="1" w:color="000000"/>
        </w:rPr>
        <w:t>8</w:t>
      </w:r>
      <w:r>
        <w:rPr>
          <w:rFonts w:ascii="Times New Roman" w:hAnsi="Times New Roman"/>
          <w:sz w:val="20"/>
        </w:rPr>
        <w:t xml:space="preserve"> The Applicants do not seek relief for transactions effected consistent with Commission staff no-action positions.</w:t>
      </w:r>
      <w:r>
        <w:rPr>
          <w:rFonts w:ascii="Times New Roman" w:hAnsi="Times New Roman"/>
          <w:strike/>
          <w:color w:val="FF0000"/>
          <w:sz w:val="20"/>
        </w:rPr>
        <w:t>8</w:t>
      </w:r>
      <w:r>
        <w:rPr>
          <w:rFonts w:ascii="Times New Roman" w:hAnsi="Times New Roman"/>
          <w:color w:val="0000FF"/>
          <w:sz w:val="20"/>
          <w:u w:val="single"/>
          <w:bdr w:val="double" w:sz="2" w:space="1" w:color="000000"/>
        </w:rPr>
        <w:t xml:space="preserve"> 9</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color w:val="0000FF"/>
          <w:sz w:val="20"/>
          <w:u w:val="single"/>
          <w:bdr w:val="double" w:sz="2" w:space="1" w:color="000000"/>
        </w:rPr>
        <w:t>II.</w:t>
      </w:r>
      <w:r>
        <w:rPr>
          <w:rFonts w:ascii="Times New Roman" w:hAnsi="Times New Roman"/>
          <w:b/>
          <w:strike/>
          <w:color w:val="FF0000"/>
          <w:sz w:val="20"/>
        </w:rPr>
        <w:t xml:space="preserve"> II.</w:t>
      </w:r>
      <w:r>
        <w:rPr>
          <w:rFonts w:ascii="Times New Roman" w:hAnsi="Times New Roman"/>
          <w:b/>
          <w:sz w:val="20"/>
        </w:rPr>
        <w:t xml:space="preserve"> GENERAL DESCRIPTION OF THE APPLICANTS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 The Existing Regulated Fund</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sz w:val="13"/>
              </w:rPr>
              <w:t>4</w:t>
            </w:r>
            <w:r>
              <w:rPr>
                <w:color w:val="0000FF"/>
                <w:sz w:val="13"/>
                <w:u w:val="single"/>
                <w:bdr w:val="double" w:sz="2" w:space="1" w:color="000000"/>
              </w:rPr>
              <w:t xml:space="preserve">5 </w:t>
            </w: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Regulated Fund” means the Existing Regulated Fund and any Future Regulated Funds. “Future Regulated Fund”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 </w:t>
            </w:r>
          </w:p>
        </w:tc>
      </w:tr>
    </w:tbl>
    <w:p>
      <w:pPr>
        <w:pStyle w:val="TextBody"/>
        <w:bidi w:val="0"/>
        <w:spacing w:before="0" w:after="0"/>
        <w:jc w:val="left"/>
        <w:rPr>
          <w:rFonts w:ascii="Times New Roman" w:hAnsi="Times New Roman"/>
          <w:sz w:val="20"/>
        </w:rPr>
      </w:pPr>
      <w:r>
        <w:rPr>
          <w:rFonts w:ascii="Times New Roman" w:hAnsi="Times New Roman"/>
          <w:sz w:val="20"/>
        </w:rPr>
        <w:t xml:space="preserve">The term Regulated Fund also includes (a) any Wholly-Owned Investment Sub (as defined below) of a Regulated Fund, (b) any Joint Venture (as defined below) of a Regulated Fund, and (c) any BDC Downstream Fund (as defined below) of a Regulated Fund that is a business development company. “Wholly-Owned Investment Sub”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“Joint Venture”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“BDC Downstream Fund”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 </w:t>
      </w:r>
    </w:p>
    <w:p>
      <w:pPr>
        <w:pStyle w:val="TextBody"/>
        <w:bidi w:val="0"/>
        <w:spacing w:before="0" w:after="0"/>
        <w:jc w:val="left"/>
        <w:rPr>
          <w:rFonts w:ascii="Times New Roman" w:hAnsi="Times New Roman"/>
          <w:sz w:val="20"/>
        </w:rPr>
      </w:pPr>
      <w:r>
        <w:rPr>
          <w:rFonts w:ascii="Times New Roman" w:hAnsi="Times New Roman"/>
          <w:sz w:val="20"/>
        </w:rPr>
        <w:t xml:space="preserve">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5</w:t>
            </w:r>
            <w:r>
              <w:rPr>
                <w:color w:val="0000FF"/>
                <w:sz w:val="13"/>
                <w:u w:val="single"/>
                <w:bdr w:val="double" w:sz="2" w:space="1" w:color="000000"/>
              </w:rPr>
              <w:t xml:space="preserve">6 </w:t>
            </w:r>
            <w:r>
              <w:rPr>
                <w:color w:val="0000FF"/>
                <w:sz w:val="13"/>
              </w:rPr>
              <w:t> </w:t>
            </w:r>
          </w:p>
        </w:tc>
        <w:tc>
          <w:tcPr>
            <w:tcW w:w="9798" w:type="dxa"/>
            <w:tcBorders/>
          </w:tcPr>
          <w:p>
            <w:pPr>
              <w:pStyle w:val="TableContents"/>
              <w:bidi w:val="0"/>
              <w:spacing w:before="0" w:after="0"/>
              <w:jc w:val="left"/>
              <w:rPr/>
            </w:pPr>
            <w:r>
              <w:rPr/>
              <w:t>“</w:t>
            </w:r>
            <w:r>
              <w:rPr>
                <w:rFonts w:ascii="Times New Roman" w:hAnsi="Times New Roman"/>
                <w:b/>
                <w:i/>
                <w:sz w:val="20"/>
              </w:rPr>
              <w:t>Affiliated Entity</w:t>
            </w:r>
            <w:r>
              <w:rPr>
                <w:rFonts w:ascii="Times New Roman" w:hAnsi="Times New Roman"/>
                <w:sz w:val="20"/>
              </w:rPr>
              <w:t xml:space="preserve">”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 To the extent that an entity described in clause (b) is not advised by an Adviser, such entity shall be deemed to be an Adviser for purposes of the conditions.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sz w:val="13"/>
              </w:rPr>
              <w:t>6</w:t>
            </w:r>
            <w:r>
              <w:rPr>
                <w:color w:val="0000FF"/>
                <w:sz w:val="13"/>
                <w:u w:val="single"/>
                <w:bdr w:val="double" w:sz="2" w:space="1" w:color="000000"/>
              </w:rPr>
              <w:t xml:space="preserve">7 </w:t>
            </w:r>
            <w:r>
              <w:rPr/>
              <w:t> </w:t>
            </w:r>
          </w:p>
        </w:tc>
        <w:tc>
          <w:tcPr>
            <w:tcW w:w="9799" w:type="dxa"/>
            <w:tcBorders/>
          </w:tcPr>
          <w:p>
            <w:pPr>
              <w:pStyle w:val="TableContents"/>
              <w:bidi w:val="0"/>
              <w:spacing w:before="0" w:after="0"/>
              <w:jc w:val="left"/>
              <w:rPr/>
            </w:pPr>
            <w:r>
              <w:rPr/>
              <w:t>“</w:t>
            </w:r>
            <w:r>
              <w:rPr>
                <w:rFonts w:ascii="Times New Roman" w:hAnsi="Times New Roman"/>
                <w:b/>
                <w:i/>
                <w:sz w:val="20"/>
              </w:rPr>
              <w:t>Co-Investment Transaction</w:t>
            </w:r>
            <w:r>
              <w:rPr>
                <w:rFonts w:ascii="Times New Roman" w:hAnsi="Times New Roman"/>
                <w:sz w:val="20"/>
              </w:rPr>
              <w:t xml:space="preserve">” means the acquisition or Disposition of securities of an issuer in a transaction effected in reliance on the Order or previously granted relief.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sz w:val="13"/>
              </w:rPr>
              <w:t>7</w:t>
            </w:r>
            <w:r>
              <w:rPr>
                <w:color w:val="0000FF"/>
                <w:sz w:val="13"/>
                <w:u w:val="single"/>
                <w:bdr w:val="double" w:sz="2" w:space="1" w:color="000000"/>
              </w:rPr>
              <w:t xml:space="preserve">8 </w:t>
            </w:r>
            <w:r>
              <w:rPr/>
              <w:t> </w:t>
            </w:r>
          </w:p>
        </w:tc>
        <w:tc>
          <w:tcPr>
            <w:tcW w:w="9799" w:type="dxa"/>
            <w:tcBorders/>
          </w:tcPr>
          <w:p>
            <w:pPr>
              <w:pStyle w:val="TableContents"/>
              <w:bidi w:val="0"/>
              <w:spacing w:before="0" w:after="0"/>
              <w:jc w:val="left"/>
              <w:rPr/>
            </w:pPr>
            <w:r>
              <w:rPr/>
              <w:t>“</w:t>
            </w:r>
            <w:r>
              <w:rPr>
                <w:rFonts w:ascii="Times New Roman" w:hAnsi="Times New Roman"/>
                <w:b/>
                <w:i/>
                <w:sz w:val="20"/>
              </w:rPr>
              <w:t>Adviser</w:t>
            </w:r>
            <w:r>
              <w:rPr>
                <w:rFonts w:ascii="Times New Roman" w:hAnsi="Times New Roman"/>
                <w:sz w:val="20"/>
              </w:rPr>
              <w:t>” means</w:t>
            </w:r>
            <w:r>
              <w:rPr>
                <w:rFonts w:ascii="Times New Roman" w:hAnsi="Times New Roman"/>
                <w:strike/>
                <w:color w:val="FF0000"/>
                <w:sz w:val="20"/>
              </w:rPr>
              <w:t xml:space="preserve"> KNG</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and any other investment adviser controlling, controlled by, or under common control with </w:t>
            </w:r>
            <w:r>
              <w:rPr>
                <w:rFonts w:ascii="Times New Roman" w:hAnsi="Times New Roman"/>
                <w:strike/>
                <w:color w:val="FF0000"/>
                <w:sz w:val="20"/>
              </w:rPr>
              <w:t>KNG</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The term “Adviser” also includes any internally-managed Regulated Fund.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sz w:val="13"/>
              </w:rPr>
              <w:t>8</w:t>
            </w:r>
            <w:r>
              <w:rPr>
                <w:color w:val="0000FF"/>
                <w:sz w:val="13"/>
                <w:u w:val="single"/>
                <w:bdr w:val="double" w:sz="2" w:space="1" w:color="000000"/>
              </w:rPr>
              <w:t xml:space="preserve">9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e.g., Massachusetts Mutual Life Insurance Co. (pub. avail. June 7, 2000), Massachusetts Mutual Life Insurance Co. (pub. avail. July 28, 2000) and SMC Capital, Inc. (pub. avail. Sept. 5, 1995).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Existing Regulated Fund was organized under the General Corporate Laws of the state of Maryland on February 14, 2011, for the purpose of operating as an externally-managed, non-diversified</w:t>
      </w:r>
      <w:r>
        <w:rPr>
          <w:rFonts w:ascii="Times New Roman" w:hAnsi="Times New Roman"/>
          <w:color w:val="008000"/>
          <w:sz w:val="20"/>
          <w:u w:val="single"/>
          <w:bdr w:val="double" w:sz="2" w:space="1" w:color="000000"/>
        </w:rPr>
        <w:t>, closed-end management investment company that</w:t>
      </w:r>
      <w:r>
        <w:rPr>
          <w:rFonts w:ascii="Times New Roman" w:hAnsi="Times New Roman"/>
          <w:color w:val="0000FF"/>
          <w:sz w:val="20"/>
          <w:u w:val="single"/>
          <w:bdr w:val="double" w:sz="2" w:space="1" w:color="000000"/>
        </w:rPr>
        <w:t xml:space="preserve"> has elected to be regulated as a business development company under the 1940 Act. The Existing Regulated Fund completed its initial public offering on June 24, 2011, and its common stock is traded on the NASDAQ Global Market under the symbol “FDUS.” The Existing Regulated Fund has elected and intends to qualify annually to be treated as a regulated investment company under Sub-Chapter M of the Internal Revenue Code of 1986, as amended. The Existing Regulated Fund’s principal place of business is 1603 Orrington Avenue, Suite 1005, Evanston, Illinois 60201.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The Existing Regulated Fund’s investment objective is to provide attractive risk-adjusted returns by generating both current income from its debt investments and capital appreciation from its equity related investments. The Existing Regulated Fund may invest in the equity securities of our portfolio companies, such as preferred stock, common stock, warrants and other equity interests, either directly or in conjunction with its debt investments. The Existing Regulated Fund has a five-member board (the “</w:t>
      </w:r>
      <w:r>
        <w:rPr>
          <w:rFonts w:ascii="Times New Roman" w:hAnsi="Times New Roman"/>
          <w:b/>
          <w:i/>
          <w:color w:val="0000FF"/>
          <w:sz w:val="20"/>
          <w:u w:val="single"/>
          <w:bdr w:val="double" w:sz="2" w:space="1" w:color="000000"/>
        </w:rPr>
        <w:t>Existing Regulated Fund Board</w:t>
      </w:r>
      <w:r>
        <w:rPr>
          <w:rFonts w:ascii="Times New Roman" w:hAnsi="Times New Roman"/>
          <w:color w:val="0000FF"/>
          <w:sz w:val="20"/>
          <w:u w:val="single"/>
          <w:bdr w:val="double" w:sz="2" w:space="1" w:color="000000"/>
        </w:rPr>
        <w:t>,” and, together with any Future Regulated Fund’s board of directors, the “</w:t>
      </w:r>
      <w:r>
        <w:rPr>
          <w:rFonts w:ascii="Times New Roman" w:hAnsi="Times New Roman"/>
          <w:b/>
          <w:i/>
          <w:color w:val="0000FF"/>
          <w:sz w:val="20"/>
          <w:u w:val="single"/>
          <w:bdr w:val="double" w:sz="2" w:space="1" w:color="000000"/>
        </w:rPr>
        <w:t>Board</w:t>
      </w:r>
      <w:r>
        <w:rPr>
          <w:rFonts w:ascii="Times New Roman" w:hAnsi="Times New Roman"/>
          <w:color w:val="0000FF"/>
          <w:sz w:val="20"/>
          <w:u w:val="single"/>
          <w:bdr w:val="double" w:sz="2" w:space="1" w:color="000000"/>
        </w:rPr>
        <w:t>”), of which three members are not “interested” persons of the Existing Fund within the meaning of Section 2(a)(19) of the 1940 Act.</w:t>
      </w:r>
      <w:r>
        <w:rPr>
          <w:rFonts w:ascii="Times New Roman" w:hAnsi="Times New Roman"/>
          <w:color w:val="0000FF"/>
          <w:sz w:val="13"/>
          <w:u w:val="single"/>
          <w:bdr w:val="double" w:sz="2" w:space="1" w:color="000000"/>
        </w:rPr>
        <w:t>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B. The Existing Wholly-Owned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Each of the Existing Wholly-Owned Subsidiaries is a direct or indirect wholly-owned subsidiary of the Existing Regulated Fund whose sole business purpose is to hold one or more investments on behalf of the Existing Regulated Fund. Each of the Existing Wholly-Owned Subsidiaries is a separate and distinct legal entity. The Existing Wholly-Owned Subsidiaries have investment objectives and strategies that are substantially the same as, or a subset of, those of the Existing Regulated Fund. The Existing Wholly-Owned Subsidiaries are not registered investment companies or business development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A. Keystone Private Income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KPIF was organized on August 27, 2019 as Keystone Private Income Fund, a Delaware statutory trust, and commenced operations on July 1, 2020. KPIF has elected to be treated as a regulated investment company (“</w:t>
      </w:r>
      <w:r>
        <w:rPr>
          <w:rFonts w:ascii="Times New Roman" w:hAnsi="Times New Roman"/>
          <w:b/>
          <w:i/>
          <w:strike/>
          <w:color w:val="FF0000"/>
          <w:sz w:val="20"/>
        </w:rPr>
        <w:t>RIC</w:t>
      </w:r>
      <w:r>
        <w:rPr>
          <w:rFonts w:ascii="Times New Roman" w:hAnsi="Times New Roman"/>
          <w:strike/>
          <w:color w:val="FF0000"/>
          <w:sz w:val="20"/>
        </w:rPr>
        <w:t>”) under Subchapter M of the Internal Revenue Code of 1986, as amended, and intends to continue to so qualify. KPIF’s principal place of business is 60 E. South Temple, Suite 2100, Salt Lake City, Utah 84111.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KPIF’s primary investment objective is to produce current income. KNG manages the KPIF’s portfolio with a view toward producing current income, managing liquidity and protecting against downside scenarios. KNG serves as the primary investment adviser to KPIF.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KPIF has a 4-member board (the “</w:t>
      </w:r>
      <w:r>
        <w:rPr>
          <w:rFonts w:ascii="Times New Roman" w:hAnsi="Times New Roman"/>
          <w:b/>
          <w:i/>
          <w:strike/>
          <w:color w:val="FF0000"/>
          <w:sz w:val="20"/>
        </w:rPr>
        <w:t>KPIF Board</w:t>
      </w:r>
      <w:r>
        <w:rPr>
          <w:rFonts w:ascii="Times New Roman" w:hAnsi="Times New Roman"/>
          <w:strike/>
          <w:color w:val="FF0000"/>
          <w:sz w:val="20"/>
        </w:rPr>
        <w:t>”), of which 3 members are not “interested persons” of KPIF within the meaning of Section 2(a)(19) of the 1940 Act.</w:t>
      </w:r>
      <w:r>
        <w:rPr>
          <w:rFonts w:ascii="Times New Roman" w:hAnsi="Times New Roman"/>
          <w:strike/>
          <w:color w:val="FF0000"/>
          <w:sz w:val="13"/>
        </w:rPr>
        <w:t>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B. Keystone National Group, LLC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KNG serves as the investment adviser of the Existing Regulated Fund and the Existing Affiliated Entities, and either it or another Adviser will serve as the investment adviser to any Future Regulated Fund. KNG is a Delaware limited liability company that</w:t>
      </w:r>
      <w:r>
        <w:rPr>
          <w:rFonts w:ascii="Times New Roman" w:hAnsi="Times New Roman"/>
          <w:strike/>
          <w:color w:val="008000"/>
          <w:sz w:val="20"/>
        </w:rPr>
        <w:t xml:space="preserve"> is registered with the Commission as an investment adviser under the Advisers Act.</w:t>
      </w:r>
      <w:r>
        <w:rPr>
          <w:rFonts w:ascii="Times New Roman" w:hAnsi="Times New Roman"/>
          <w:strike/>
          <w:color w:val="FF0000"/>
          <w:sz w:val="20"/>
        </w:rPr>
        <w:t xml:space="preserve"> On the date of this Application, KNG’s clients that intend to rely on the Order are</w:t>
      </w:r>
      <w:r>
        <w:rPr>
          <w:rFonts w:ascii="Times New Roman" w:hAnsi="Times New Roman"/>
          <w:strike/>
          <w:color w:val="008000"/>
          <w:sz w:val="20"/>
        </w:rPr>
        <w:t xml:space="preserve"> the Existing Regulated Fund and</w:t>
      </w:r>
      <w:r>
        <w:rPr>
          <w:rFonts w:ascii="Times New Roman" w:hAnsi="Times New Roman"/>
          <w:strike/>
          <w:color w:val="FF0000"/>
          <w:sz w:val="20"/>
        </w:rPr>
        <w:t xml:space="preserve"> each of KRELF and KREIT, which will co-invest with KPIF.</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color w:val="0000FF"/>
                <w:sz w:val="13"/>
                <w:u w:val="single"/>
                <w:bdr w:val="double" w:sz="2" w:space="1" w:color="000000"/>
              </w:rPr>
              <w:t>10</w:t>
            </w:r>
            <w:r>
              <w:rPr>
                <w:color w:val="008000"/>
                <w:u w:val="single"/>
                <w:bdr w:val="double" w:sz="2" w:space="1" w:color="000000"/>
              </w:rPr>
              <w:t xml:space="preserve">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color w:val="008000"/>
                <w:sz w:val="20"/>
                <w:u w:val="single"/>
                <w:bdr w:val="double" w:sz="2" w:space="1" w:color="000000"/>
              </w:rPr>
              <w:t>The Board of each Future Regulated Fund will consist of a majority of members who are not “interested persons” of such Future Regulated Fund within the meaning of Section 2(a)(19) of the 1940 Act.</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strike/>
                <w:color w:val="FF0000"/>
                <w:sz w:val="13"/>
              </w:rPr>
            </w:pPr>
            <w:r>
              <w:rPr>
                <w:strike/>
                <w:color w:val="FF0000"/>
                <w:sz w:val="13"/>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008000"/>
                <w:sz w:val="20"/>
              </w:rPr>
              <w:t>The Board of each Future Regulated Fund will consist of a majority of members who are not “interested persons” of such Future Regulated Fund within the meaning of Section 2(a)(19) of the 1940 Act.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KNG is a private markets investment manager providing diversified investment products and strategies with a focus on current income, contractual cash flows and strong downside protection. KNG is headquartered in Salt Lake City, Utah and also has an office in Dallas, Texas.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Under</w:t>
      </w:r>
      <w:r>
        <w:rPr>
          <w:rFonts w:ascii="Times New Roman" w:hAnsi="Times New Roman"/>
          <w:strike/>
          <w:color w:val="008000"/>
          <w:sz w:val="20"/>
        </w:rPr>
        <w:t xml:space="preserve"> the terms of an investment advisory agreement</w:t>
      </w:r>
      <w:r>
        <w:rPr>
          <w:rFonts w:ascii="Times New Roman" w:hAnsi="Times New Roman"/>
          <w:strike/>
          <w:color w:val="FF0000"/>
          <w:sz w:val="20"/>
        </w:rPr>
        <w:t xml:space="preserve"> with the Existing Regulated Fund, and each Existing Affiliated Entities, respectively, KNG will, among other things, manage the investment portfolio, direct purchases and sales of portfolio securities and report thereon to the Existing Regulated Fund’s officers and directors/trustees regularly.</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C.</w:t>
      </w:r>
      <w:r>
        <w:rPr>
          <w:rFonts w:ascii="Times New Roman" w:hAnsi="Times New Roman"/>
          <w:b/>
          <w:strike/>
          <w:color w:val="FF0000"/>
          <w:sz w:val="20"/>
        </w:rPr>
        <w:t xml:space="preserve"> C.</w:t>
      </w:r>
      <w:r>
        <w:rPr>
          <w:rFonts w:ascii="Times New Roman" w:hAnsi="Times New Roman"/>
          <w:b/>
          <w:sz w:val="20"/>
        </w:rPr>
        <w:t xml:space="preserve"> </w:t>
      </w:r>
      <w:r>
        <w:rPr>
          <w:rFonts w:ascii="Times New Roman" w:hAnsi="Times New Roman"/>
          <w:b/>
          <w:color w:val="0000FF"/>
          <w:sz w:val="20"/>
          <w:u w:val="single"/>
          <w:bdr w:val="double" w:sz="2" w:space="1" w:color="000000"/>
        </w:rPr>
        <w:t>The</w:t>
      </w:r>
      <w:r>
        <w:rPr>
          <w:rFonts w:ascii="Times New Roman" w:hAnsi="Times New Roman"/>
          <w:b/>
          <w:sz w:val="20"/>
        </w:rPr>
        <w:t xml:space="preserve"> </w:t>
      </w:r>
      <w:r>
        <w:rPr>
          <w:rFonts w:ascii="Times New Roman" w:hAnsi="Times New Roman"/>
          <w:b/>
          <w:sz w:val="20"/>
          <w:u w:val="single"/>
        </w:rPr>
        <w:t>Existing Affiliated</w:t>
      </w:r>
      <w:r>
        <w:rPr>
          <w:rFonts w:ascii="Times New Roman" w:hAnsi="Times New Roman"/>
          <w:b/>
          <w:strike/>
          <w:color w:val="FF0000"/>
          <w:sz w:val="20"/>
          <w:u w:val="single"/>
        </w:rPr>
        <w:t xml:space="preserve"> Entities</w:t>
      </w:r>
      <w:r>
        <w:rPr>
          <w:rFonts w:ascii="Times New Roman" w:hAnsi="Times New Roman"/>
          <w:b/>
          <w:color w:val="0000FF"/>
          <w:sz w:val="20"/>
          <w:u w:val="single"/>
          <w:bdr w:val="double" w:sz="2" w:space="1" w:color="000000"/>
        </w:rPr>
        <w:t>Funds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Each</w:t>
      </w:r>
      <w:r>
        <w:rPr>
          <w:rFonts w:ascii="Times New Roman" w:hAnsi="Times New Roman"/>
          <w:color w:val="0000FF"/>
          <w:sz w:val="20"/>
          <w:u w:val="single"/>
          <w:bdr w:val="double" w:sz="2" w:space="1" w:color="000000"/>
        </w:rPr>
        <w:t>The</w:t>
      </w:r>
      <w:r>
        <w:rPr>
          <w:rFonts w:ascii="Times New Roman" w:hAnsi="Times New Roman"/>
          <w:sz w:val="20"/>
        </w:rPr>
        <w:t xml:space="preserve"> Existing Affiliated </w:t>
      </w:r>
      <w:r>
        <w:rPr>
          <w:rFonts w:ascii="Times New Roman" w:hAnsi="Times New Roman"/>
          <w:strike/>
          <w:color w:val="FF0000"/>
          <w:sz w:val="20"/>
        </w:rPr>
        <w:t>Entity is a Delaware limited liability company or limited partnership that is a privately-offered fund that would be an “</w:t>
      </w:r>
      <w:r>
        <w:rPr>
          <w:rFonts w:ascii="Times New Roman" w:hAnsi="Times New Roman"/>
          <w:color w:val="0000FF"/>
          <w:sz w:val="20"/>
          <w:u w:val="single"/>
          <w:bdr w:val="double" w:sz="2" w:space="1" w:color="000000"/>
        </w:rPr>
        <w:t>Funds are investment funds, each of whose investment adviser is the Existing Adviser and each of which would be an</w:t>
      </w:r>
      <w:r>
        <w:rPr>
          <w:rFonts w:ascii="Times New Roman" w:hAnsi="Times New Roman"/>
          <w:sz w:val="20"/>
        </w:rPr>
        <w:t xml:space="preserve"> investment company</w:t>
      </w:r>
      <w:r>
        <w:rPr>
          <w:rFonts w:ascii="Times New Roman" w:hAnsi="Times New Roman"/>
          <w:strike/>
          <w:color w:val="FF0000"/>
          <w:sz w:val="20"/>
        </w:rPr>
        <w:t>”</w:t>
      </w:r>
      <w:r>
        <w:rPr>
          <w:rFonts w:ascii="Times New Roman" w:hAnsi="Times New Roman"/>
          <w:sz w:val="20"/>
        </w:rPr>
        <w:t xml:space="preserve"> but for Section 3(c)(</w:t>
      </w:r>
      <w:r>
        <w:rPr>
          <w:rFonts w:ascii="Times New Roman" w:hAnsi="Times New Roman"/>
          <w:strike/>
          <w:color w:val="FF0000"/>
          <w:sz w:val="20"/>
        </w:rPr>
        <w:t>1), Section 3(c)(5) or Section 3(c)(</w:t>
      </w:r>
      <w:r>
        <w:rPr>
          <w:rFonts w:ascii="Times New Roman" w:hAnsi="Times New Roman"/>
          <w:sz w:val="20"/>
        </w:rPr>
        <w:t>7) of the 1940 Act.</w:t>
      </w:r>
      <w:r>
        <w:rPr>
          <w:rFonts w:ascii="Times New Roman" w:hAnsi="Times New Roman"/>
          <w:strike/>
          <w:color w:val="FF0000"/>
          <w:sz w:val="20"/>
        </w:rPr>
        <w:t>10</w:t>
      </w:r>
      <w:r>
        <w:rPr>
          <w:rFonts w:ascii="Times New Roman" w:hAnsi="Times New Roman"/>
          <w:color w:val="0000FF"/>
          <w:sz w:val="20"/>
          <w:u w:val="single"/>
          <w:bdr w:val="double" w:sz="2" w:space="1" w:color="000000"/>
        </w:rPr>
        <w:t xml:space="preserve"> 11 A list of the Existing Affiliated Funds and their respective investment adviser is included on Schedule B hereto.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D. Existing Adviser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KPMO IX and KPMO IX Q were organized in July 2018 and March 2019, respectively, as Delaware limited partnerships. Their primary investment objective is to produce current income.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KRELF was organized in November 2014 as a Delaware limited partnership and reorganized in January 2024 as a Delaware limited liability company. KRELF’s primary investment objective is to produce current income.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KREIT</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was organized </w:t>
      </w:r>
      <w:r>
        <w:rPr>
          <w:rFonts w:ascii="Times New Roman" w:hAnsi="Times New Roman"/>
          <w:strike/>
          <w:color w:val="FF0000"/>
          <w:sz w:val="20"/>
        </w:rPr>
        <w:t>in January 2024</w:t>
      </w:r>
      <w:r>
        <w:rPr>
          <w:rFonts w:ascii="Times New Roman" w:hAnsi="Times New Roman"/>
          <w:sz w:val="20"/>
        </w:rPr>
        <w:t xml:space="preserve"> as a </w:t>
      </w:r>
      <w:r>
        <w:rPr>
          <w:rFonts w:ascii="Times New Roman" w:hAnsi="Times New Roman"/>
          <w:strike/>
          <w:color w:val="FF0000"/>
          <w:sz w:val="20"/>
        </w:rPr>
        <w:t>Delaware</w:t>
      </w:r>
      <w:r>
        <w:rPr>
          <w:rFonts w:ascii="Times New Roman" w:hAnsi="Times New Roman"/>
          <w:sz w:val="20"/>
        </w:rPr>
        <w:t xml:space="preserve"> limited liability company</w:t>
      </w:r>
      <w:r>
        <w:rPr>
          <w:rFonts w:ascii="Times New Roman" w:hAnsi="Times New Roman"/>
          <w:strike/>
          <w:color w:val="FF0000"/>
          <w:sz w:val="20"/>
        </w:rPr>
        <w:t>. KREIT’s primary investment objective is to produce current income and capital appreciation through select real estate investments</w:t>
      </w:r>
      <w:r>
        <w:rPr>
          <w:rFonts w:ascii="Times New Roman" w:hAnsi="Times New Roman"/>
          <w:sz w:val="20"/>
        </w:rPr>
        <w:t xml:space="preserve"> </w:t>
      </w:r>
      <w:r>
        <w:rPr>
          <w:rFonts w:ascii="Times New Roman" w:hAnsi="Times New Roman"/>
          <w:color w:val="0000FF"/>
          <w:sz w:val="20"/>
          <w:u w:val="single"/>
          <w:bdr w:val="double" w:sz="2" w:space="1" w:color="000000"/>
        </w:rPr>
        <w:t>under the laws of the state of Delaware, and is privately held.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The Existing Adviser</w:t>
      </w:r>
      <w:r>
        <w:rPr>
          <w:rFonts w:ascii="Times New Roman" w:hAnsi="Times New Roman"/>
          <w:color w:val="008000"/>
          <w:sz w:val="20"/>
          <w:u w:val="single"/>
          <w:bdr w:val="double" w:sz="2" w:space="1" w:color="000000"/>
        </w:rPr>
        <w:t xml:space="preserve"> is registered with the Commission as an investment adviser under the Advisers Act.</w:t>
      </w:r>
      <w:r>
        <w:rPr>
          <w:rFonts w:ascii="Times New Roman" w:hAnsi="Times New Roman"/>
          <w:color w:val="0000FF"/>
          <w:sz w:val="20"/>
          <w:u w:val="single"/>
          <w:bdr w:val="double" w:sz="2" w:space="1" w:color="000000"/>
        </w:rPr>
        <w:t xml:space="preserve"> The Existing Adviser manages the consolidated assets of</w:t>
      </w:r>
      <w:r>
        <w:rPr>
          <w:rFonts w:ascii="Times New Roman" w:hAnsi="Times New Roman"/>
          <w:color w:val="008000"/>
          <w:sz w:val="20"/>
          <w:u w:val="single"/>
          <w:bdr w:val="double" w:sz="2" w:space="1" w:color="000000"/>
        </w:rPr>
        <w:t xml:space="preserve"> the Existing Regulated Fund and</w:t>
      </w:r>
      <w:r>
        <w:rPr>
          <w:rFonts w:ascii="Times New Roman" w:hAnsi="Times New Roman"/>
          <w:color w:val="0000FF"/>
          <w:sz w:val="20"/>
          <w:u w:val="single"/>
          <w:bdr w:val="double" w:sz="2" w:space="1" w:color="000000"/>
        </w:rPr>
        <w:t xml:space="preserve"> serves as the investment adviser to the Existing Regulated Fund pursuant to</w:t>
      </w:r>
      <w:r>
        <w:rPr>
          <w:rFonts w:ascii="Times New Roman" w:hAnsi="Times New Roman"/>
          <w:color w:val="008000"/>
          <w:sz w:val="20"/>
          <w:u w:val="single"/>
          <w:bdr w:val="double" w:sz="2" w:space="1" w:color="000000"/>
        </w:rPr>
        <w:t xml:space="preserve"> the terms of an investment advisory agreement</w:t>
      </w:r>
      <w:r>
        <w:rPr>
          <w:rFonts w:ascii="Times New Roman" w:hAnsi="Times New Roman"/>
          <w:color w:val="0000FF"/>
          <w:sz w:val="20"/>
          <w:u w:val="single"/>
          <w:bdr w:val="double" w:sz="2" w:space="1" w:color="000000"/>
        </w:rPr>
        <w:t xml:space="preserve"> that has been approved by the Board. The Existing Adviser also advises the Existing Affiliated Funds.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III.</w:t>
      </w:r>
      <w:r>
        <w:rPr>
          <w:rFonts w:ascii="Times New Roman" w:hAnsi="Times New Roman"/>
          <w:b/>
          <w:strike/>
          <w:color w:val="FF0000"/>
          <w:sz w:val="20"/>
          <w:u w:val="single"/>
        </w:rPr>
        <w:t xml:space="preserve"> III.</w:t>
      </w:r>
      <w:r>
        <w:rPr>
          <w:rFonts w:ascii="Times New Roman" w:hAnsi="Times New Roman"/>
          <w:b/>
          <w:sz w:val="20"/>
        </w:rPr>
        <w:t xml:space="preserve"> </w:t>
      </w:r>
      <w:r>
        <w:rPr>
          <w:rFonts w:ascii="Times New Roman" w:hAnsi="Times New Roman"/>
          <w:b/>
          <w:sz w:val="20"/>
          <w:u w:val="single"/>
        </w:rPr>
        <w:t>ORDER REQUESTED</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request an Order of the Commission under Sections 17(d) and 57(i) of the 1940 Act and Rule 17d-1 thereunder to permit, subject to the terms and conditions set forth below in this Application (the “Conditions”), each Regulated Fund to be able to participate with one or more Affiliated Entities in Co-Investment Transactions otherwise prohibited by Sections 17(d) and 57(a)(4) of the 1940 Act and Rule 17d-1 thereunder.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10</w:t>
            </w:r>
            <w:r>
              <w:rPr>
                <w:color w:val="0000FF"/>
                <w:sz w:val="13"/>
                <w:u w:val="single"/>
                <w:bdr w:val="double" w:sz="2" w:space="1" w:color="000000"/>
              </w:rPr>
              <w:t xml:space="preserve">11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In the future, an Existing Affiliated</w:t>
            </w:r>
            <w:r>
              <w:rPr>
                <w:rFonts w:ascii="Times New Roman" w:hAnsi="Times New Roman"/>
                <w:strike/>
                <w:color w:val="FF0000"/>
                <w:sz w:val="20"/>
              </w:rPr>
              <w:t xml:space="preserve"> Entity</w:t>
            </w:r>
            <w:r>
              <w:rPr>
                <w:rFonts w:ascii="Times New Roman" w:hAnsi="Times New Roman"/>
                <w:color w:val="0000FF"/>
                <w:sz w:val="20"/>
                <w:u w:val="single"/>
                <w:bdr w:val="double" w:sz="2" w:space="1" w:color="000000"/>
              </w:rPr>
              <w:t>Fund</w:t>
            </w:r>
            <w:r>
              <w:rPr>
                <w:rFonts w:ascii="Times New Roman" w:hAnsi="Times New Roman"/>
                <w:sz w:val="20"/>
              </w:rPr>
              <w:t xml:space="preserve"> may register as an investment company under the </w:t>
            </w:r>
            <w:r>
              <w:rPr>
                <w:rFonts w:ascii="Times New Roman" w:hAnsi="Times New Roman"/>
                <w:color w:val="0000FF"/>
                <w:sz w:val="20"/>
                <w:u w:val="single"/>
                <w:bdr w:val="double" w:sz="2" w:space="1" w:color="000000"/>
              </w:rPr>
              <w:t xml:space="preserve">1940 </w:t>
            </w:r>
            <w:r>
              <w:rPr>
                <w:rFonts w:ascii="Times New Roman" w:hAnsi="Times New Roman"/>
                <w:sz w:val="20"/>
              </w:rPr>
              <w:t xml:space="preserve">Act and, if so registered, will be considered a Regulated Fund for purposes of this application.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u w:val="single"/>
        </w:rPr>
        <w:t>A.</w:t>
      </w:r>
      <w:r>
        <w:rPr>
          <w:rFonts w:ascii="Times New Roman" w:hAnsi="Times New Roman"/>
          <w:sz w:val="20"/>
          <w:u w:val="single"/>
        </w:rPr>
        <w:t xml:space="preserve"> Applicable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 </w:t>
      </w:r>
    </w:p>
    <w:p>
      <w:pPr>
        <w:pStyle w:val="TextBody"/>
        <w:bidi w:val="0"/>
        <w:spacing w:before="120" w:after="0"/>
        <w:jc w:val="left"/>
        <w:rPr>
          <w:rFonts w:ascii="Times New Roman" w:hAnsi="Times New Roman"/>
          <w:sz w:val="20"/>
        </w:rPr>
      </w:pPr>
      <w:r>
        <w:rPr>
          <w:rFonts w:ascii="Times New Roman" w:hAnsi="Times New Roman"/>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hAnsi="Times New Roman"/>
          <w:strike/>
          <w:color w:val="FF0000"/>
          <w:sz w:val="13"/>
        </w:rPr>
        <w:t>11</w:t>
      </w:r>
      <w:r>
        <w:rPr>
          <w:rFonts w:ascii="Times New Roman" w:hAnsi="Times New Roman"/>
          <w:color w:val="0000FF"/>
          <w:sz w:val="13"/>
          <w:u w:val="single"/>
          <w:bdr w:val="double" w:sz="2" w:space="1" w:color="000000"/>
        </w:rPr>
        <w:t>12</w:t>
      </w:r>
      <w:r>
        <w:rPr>
          <w:rFonts w:ascii="Times New Roman" w:hAnsi="Times New Roman"/>
          <w:sz w:val="20"/>
        </w:rPr>
        <w:t xml:space="preserve"> in which the fund is a participant without first obtaining an order from the SEC. </w:t>
      </w:r>
    </w:p>
    <w:p>
      <w:pPr>
        <w:pStyle w:val="TextBody"/>
        <w:bidi w:val="0"/>
        <w:spacing w:before="120" w:after="0"/>
        <w:jc w:val="left"/>
        <w:rPr>
          <w:rFonts w:ascii="Times New Roman" w:hAnsi="Times New Roman"/>
          <w:sz w:val="20"/>
        </w:rPr>
      </w:pPr>
      <w:r>
        <w:rPr>
          <w:rFonts w:ascii="Times New Roman" w:hAnsi="Times New Roman"/>
          <w:sz w:val="20"/>
        </w:rPr>
        <w:t xml:space="preserve">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 </w:t>
      </w:r>
    </w:p>
    <w:p>
      <w:pPr>
        <w:pStyle w:val="TextBody"/>
        <w:bidi w:val="0"/>
        <w:spacing w:before="120" w:after="0"/>
        <w:jc w:val="left"/>
        <w:rPr>
          <w:rFonts w:ascii="Times New Roman" w:hAnsi="Times New Roman"/>
          <w:sz w:val="20"/>
        </w:rPr>
      </w:pPr>
      <w:r>
        <w:rPr>
          <w:rFonts w:ascii="Times New Roman" w:hAnsi="Times New Roman"/>
          <w:sz w:val="20"/>
        </w:rPr>
        <w:t xml:space="preserve">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 </w:t>
      </w:r>
    </w:p>
    <w:p>
      <w:pPr>
        <w:pStyle w:val="TextBody"/>
        <w:bidi w:val="0"/>
        <w:spacing w:before="36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u w:val="single"/>
        </w:rPr>
        <w:t>B.</w:t>
      </w:r>
      <w:r>
        <w:rPr>
          <w:rFonts w:ascii="Times New Roman" w:hAnsi="Times New Roman"/>
          <w:sz w:val="20"/>
          <w:u w:val="single"/>
        </w:rPr>
        <w:t xml:space="preserve"> Need for Relief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w:t>
      </w:r>
      <w:r>
        <w:rPr>
          <w:rFonts w:ascii="Times New Roman" w:hAnsi="Times New Roman"/>
          <w:strike/>
          <w:color w:val="FF0000"/>
          <w:sz w:val="20"/>
        </w:rPr>
        <w:t>a</w:t>
      </w:r>
      <w:r>
        <w:rPr>
          <w:rFonts w:ascii="Times New Roman" w:hAnsi="Times New Roman"/>
          <w:color w:val="0000FF"/>
          <w:sz w:val="20"/>
          <w:u w:val="single"/>
          <w:bdr w:val="double" w:sz="2" w:space="1" w:color="000000"/>
        </w:rPr>
        <w:t>an</w:t>
      </w:r>
      <w:r>
        <w:rPr>
          <w:rFonts w:ascii="Times New Roman" w:hAnsi="Times New Roman"/>
          <w:sz w:val="20"/>
        </w:rPr>
        <w:t xml:space="preserve"> open-end fund or closed-end fund</w:t>
      </w:r>
      <w:r>
        <w:rPr>
          <w:rFonts w:ascii="Times New Roman" w:hAnsi="Times New Roman"/>
          <w:strike/>
          <w:color w:val="FF0000"/>
          <w:sz w:val="20"/>
        </w:rPr>
        <w:t>,</w:t>
      </w:r>
      <w:r>
        <w:rPr>
          <w:rFonts w:ascii="Times New Roman" w:hAnsi="Times New Roman"/>
          <w:sz w:val="20"/>
        </w:rPr>
        <w:t xml:space="preserve"> or a business development company, respectively, including a sub-adviser. Thus, an Adviser and any Affiliated Entities that it advises could be deemed to be persons related to Regulated Funds in a manner described by Sections 17(d) and 57(b). With respect to</w:t>
      </w:r>
      <w:r>
        <w:rPr>
          <w:rFonts w:ascii="Times New Roman" w:hAnsi="Times New Roman"/>
          <w:strike/>
          <w:color w:val="FF0000"/>
          <w:sz w:val="20"/>
        </w:rPr>
        <w:t xml:space="preserve"> KNG</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w:t>
      </w:r>
      <w:r>
        <w:rPr>
          <w:rFonts w:ascii="Times New Roman" w:hAnsi="Times New Roman"/>
          <w:strike/>
          <w:color w:val="FF0000"/>
          <w:sz w:val="20"/>
        </w:rPr>
        <w:t>KNG</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11</w:t>
            </w:r>
            <w:r>
              <w:rPr>
                <w:color w:val="0000FF"/>
                <w:sz w:val="13"/>
                <w:u w:val="single"/>
                <w:bdr w:val="double" w:sz="2" w:space="1" w:color="000000"/>
              </w:rPr>
              <w:t xml:space="preserve">12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and any affiliated person of or principal underwriter for such registered company, or any affiliated person of such a person or principal underwriter, have a joint or a joint and several participation, or share in the profits of such enterprise or undertaking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strike/>
          <w:color w:val="FF0000"/>
          <w:sz w:val="20"/>
          <w:u w:val="single"/>
        </w:rPr>
        <w:t>C.</w:t>
      </w:r>
      <w:r>
        <w:rPr>
          <w:rFonts w:ascii="Times New Roman" w:hAnsi="Times New Roman"/>
          <w:sz w:val="20"/>
          <w:u w:val="single"/>
        </w:rPr>
        <w:t xml:space="preserve">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Applicants agree that any Order granting the requested relief will be subject to the following Conditions.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1.</w:t>
      </w:r>
      <w:r>
        <w:rPr>
          <w:rFonts w:ascii="Times New Roman" w:hAnsi="Times New Roman"/>
          <w:sz w:val="20"/>
        </w:rPr>
        <w:t xml:space="preserve"> </w:t>
      </w:r>
      <w:r>
        <w:rPr>
          <w:rFonts w:ascii="Times New Roman" w:hAnsi="Times New Roman"/>
          <w:strike/>
          <w:color w:val="FF0000"/>
          <w:sz w:val="20"/>
          <w:u w:val="single"/>
        </w:rPr>
        <w:t>1.</w:t>
      </w:r>
      <w:r>
        <w:rPr>
          <w:rFonts w:ascii="Times New Roman" w:hAnsi="Times New Roman"/>
          <w:sz w:val="20"/>
          <w:u w:val="single"/>
        </w:rPr>
        <w:t xml:space="preserve"> Same Terms.</w:t>
      </w:r>
      <w:r>
        <w:rPr>
          <w:rFonts w:ascii="Times New Roman" w:hAnsi="Times New Roman"/>
          <w:sz w:val="20"/>
        </w:rPr>
        <w:t xml:space="preserve">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hAnsi="Times New Roman"/>
          <w:strike/>
          <w:color w:val="FF0000"/>
          <w:sz w:val="20"/>
        </w:rPr>
        <w:t>12</w:t>
      </w:r>
      <w:r>
        <w:rPr>
          <w:rFonts w:ascii="Times New Roman" w:hAnsi="Times New Roman"/>
          <w:color w:val="0000FF"/>
          <w:sz w:val="13"/>
          <w:u w:val="single"/>
          <w:bdr w:val="double" w:sz="2" w:space="1" w:color="000000"/>
        </w:rPr>
        <w:t>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2.</w:t>
      </w:r>
      <w:r>
        <w:rPr>
          <w:rFonts w:ascii="Times New Roman" w:hAnsi="Times New Roman"/>
          <w:sz w:val="20"/>
        </w:rPr>
        <w:t xml:space="preserve"> </w:t>
      </w:r>
      <w:r>
        <w:rPr>
          <w:rFonts w:ascii="Times New Roman" w:hAnsi="Times New Roman"/>
          <w:strike/>
          <w:color w:val="FF0000"/>
          <w:sz w:val="20"/>
          <w:u w:val="single"/>
        </w:rPr>
        <w:t>2.</w:t>
      </w:r>
      <w:r>
        <w:rPr>
          <w:rFonts w:ascii="Times New Roman" w:hAnsi="Times New Roman"/>
          <w:sz w:val="20"/>
          <w:u w:val="single"/>
        </w:rPr>
        <w:t xml:space="preserve"> Existing Investments in the Issuer</w:t>
      </w:r>
      <w:r>
        <w:rPr>
          <w:rFonts w:ascii="Times New Roman" w:hAnsi="Times New Roman"/>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 w:hAnsi="Times New Roman"/>
          <w:strike/>
          <w:color w:val="FF0000"/>
          <w:sz w:val="20"/>
        </w:rPr>
        <w:t>13</w:t>
      </w:r>
      <w:r>
        <w:rPr>
          <w:rFonts w:ascii="Times New Roman" w:hAnsi="Times New Roman"/>
          <w:color w:val="0000FF"/>
          <w:sz w:val="13"/>
          <w:u w:val="single"/>
          <w:bdr w:val="double" w:sz="2" w:space="1" w:color="000000"/>
        </w:rPr>
        <w:t>14</w:t>
      </w:r>
      <w:r>
        <w:rPr>
          <w:rFonts w:ascii="Times New Roman" w:hAnsi="Times New Roman"/>
          <w:sz w:val="20"/>
        </w:rPr>
        <w:t xml:space="preserve"> of the Regulated Fund (“</w:t>
      </w:r>
      <w:r>
        <w:rPr>
          <w:rFonts w:ascii="Times New Roman" w:hAnsi="Times New Roman"/>
          <w:b/>
          <w:i/>
          <w:sz w:val="20"/>
        </w:rPr>
        <w:t>Required Majority</w:t>
      </w:r>
      <w:r>
        <w:rPr>
          <w:rFonts w:ascii="Times New Roman" w:hAnsi="Times New Roman"/>
          <w:sz w:val="20"/>
        </w:rPr>
        <w:t>”) will take the steps set forth in Section 57(f) of the 1940 Act,</w:t>
      </w:r>
      <w:r>
        <w:rPr>
          <w:rFonts w:ascii="Times New Roman" w:hAnsi="Times New Roman"/>
          <w:strike/>
          <w:color w:val="FF0000"/>
          <w:sz w:val="20"/>
        </w:rPr>
        <w:t>14</w:t>
      </w:r>
      <w:r>
        <w:rPr>
          <w:rFonts w:ascii="Times New Roman" w:hAnsi="Times New Roman"/>
          <w:color w:val="0000FF"/>
          <w:sz w:val="13"/>
          <w:u w:val="single"/>
          <w:bdr w:val="double" w:sz="2" w:space="1" w:color="000000"/>
        </w:rPr>
        <w:t>15</w:t>
      </w:r>
      <w:r>
        <w:rPr>
          <w:rFonts w:ascii="Times New Roman" w:hAnsi="Times New Roman"/>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3.</w:t>
      </w:r>
      <w:r>
        <w:rPr>
          <w:rFonts w:ascii="Times New Roman" w:hAnsi="Times New Roman"/>
          <w:sz w:val="20"/>
        </w:rPr>
        <w:t xml:space="preserve"> </w:t>
      </w:r>
      <w:r>
        <w:rPr>
          <w:rFonts w:ascii="Times New Roman" w:hAnsi="Times New Roman"/>
          <w:strike/>
          <w:color w:val="FF0000"/>
          <w:sz w:val="20"/>
          <w:u w:val="single"/>
        </w:rPr>
        <w:t>3.</w:t>
      </w:r>
      <w:r>
        <w:rPr>
          <w:rFonts w:ascii="Times New Roman" w:hAnsi="Times New Roman"/>
          <w:sz w:val="20"/>
          <w:u w:val="single"/>
        </w:rPr>
        <w:t xml:space="preserve"> Related Expenses</w:t>
      </w:r>
      <w:r>
        <w:rPr>
          <w:rFonts w:ascii="Times New Roman" w:hAnsi="Times New Roman"/>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 w:hAnsi="Times New Roman"/>
          <w:strike/>
          <w:color w:val="FF0000"/>
          <w:sz w:val="13"/>
        </w:rPr>
        <w:t>15</w:t>
      </w:r>
      <w:r>
        <w:rPr>
          <w:rFonts w:ascii="Times New Roman" w:hAnsi="Times New Roman"/>
          <w:color w:val="0000FF"/>
          <w:sz w:val="20"/>
          <w:u w:val="single"/>
          <w:bdr w:val="double" w:sz="2" w:space="1" w:color="000000"/>
        </w:rPr>
        <w:t>16</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12</w:t>
            </w:r>
            <w:r>
              <w:rPr>
                <w:color w:val="0000FF"/>
                <w:sz w:val="13"/>
                <w:u w:val="single"/>
                <w:bdr w:val="double" w:sz="2" w:space="1" w:color="000000"/>
              </w:rPr>
              <w:t xml:space="preserve">13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 Board can also, consistent with applicable fund documents, facilitate this opportunity by delegating the authority to veto the selection of such person to a committee of the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13</w:t>
            </w:r>
            <w:r>
              <w:rPr>
                <w:color w:val="0000FF"/>
                <w:sz w:val="13"/>
                <w:u w:val="single"/>
                <w:bdr w:val="double" w:sz="2" w:space="1" w:color="000000"/>
              </w:rPr>
              <w:t xml:space="preserve">14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14</w:t>
            </w:r>
            <w:r>
              <w:rPr>
                <w:color w:val="0000FF"/>
                <w:sz w:val="13"/>
                <w:u w:val="single"/>
                <w:bdr w:val="double" w:sz="2" w:space="1" w:color="000000"/>
              </w:rPr>
              <w:t xml:space="preserve">15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15</w:t>
            </w:r>
            <w:r>
              <w:rPr>
                <w:color w:val="0000FF"/>
                <w:sz w:val="13"/>
                <w:u w:val="single"/>
                <w:bdr w:val="double" w:sz="2" w:space="1" w:color="000000"/>
              </w:rPr>
              <w:t xml:space="preserve">16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of an individual Participant that are incurred solely by the Participant due to its unique circumstances (such as legal and compliance expenses) will be borne by such Participant.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4.</w:t>
      </w:r>
      <w:r>
        <w:rPr>
          <w:rFonts w:ascii="Times New Roman" w:hAnsi="Times New Roman"/>
          <w:sz w:val="20"/>
        </w:rPr>
        <w:t xml:space="preserve"> </w:t>
      </w:r>
      <w:r>
        <w:rPr>
          <w:rFonts w:ascii="Times New Roman" w:hAnsi="Times New Roman"/>
          <w:strike/>
          <w:color w:val="FF0000"/>
          <w:sz w:val="20"/>
          <w:u w:val="single"/>
        </w:rPr>
        <w:t>4.</w:t>
      </w:r>
      <w:r>
        <w:rPr>
          <w:rFonts w:ascii="Times New Roman" w:hAnsi="Times New Roman"/>
          <w:sz w:val="20"/>
          <w:u w:val="single"/>
        </w:rPr>
        <w:t xml:space="preserve"> No Remuneration</w:t>
      </w:r>
      <w:r>
        <w:rPr>
          <w:rFonts w:ascii="Times New Roman" w:hAnsi="Times New Roman"/>
          <w:sz w:val="20"/>
        </w:rPr>
        <w:t>. Any transaction fee</w:t>
      </w:r>
      <w:r>
        <w:rPr>
          <w:rFonts w:ascii="Times New Roman" w:hAnsi="Times New Roman"/>
          <w:strike/>
          <w:color w:val="FF0000"/>
          <w:sz w:val="20"/>
        </w:rPr>
        <w:t>16</w:t>
      </w:r>
      <w:r>
        <w:rPr>
          <w:rFonts w:ascii="Times New Roman" w:hAnsi="Times New Roman"/>
          <w:color w:val="0000FF"/>
          <w:sz w:val="13"/>
          <w:u w:val="single"/>
          <w:bdr w:val="double" w:sz="2" w:space="1" w:color="000000"/>
        </w:rPr>
        <w:t>17</w:t>
      </w:r>
      <w:r>
        <w:rPr>
          <w:rFonts w:ascii="Times New Roman" w:hAnsi="Times New Roman"/>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5.</w:t>
      </w:r>
      <w:r>
        <w:rPr>
          <w:rFonts w:ascii="Times New Roman" w:hAnsi="Times New Roman"/>
          <w:sz w:val="20"/>
        </w:rPr>
        <w:t xml:space="preserve"> </w:t>
      </w:r>
      <w:r>
        <w:rPr>
          <w:rFonts w:ascii="Times New Roman" w:hAnsi="Times New Roman"/>
          <w:strike/>
          <w:color w:val="FF0000"/>
          <w:sz w:val="20"/>
          <w:u w:val="single"/>
        </w:rPr>
        <w:t>5.</w:t>
      </w:r>
      <w:r>
        <w:rPr>
          <w:rFonts w:ascii="Times New Roman" w:hAnsi="Times New Roman"/>
          <w:sz w:val="20"/>
          <w:u w:val="single"/>
        </w:rPr>
        <w:t xml:space="preserve"> Co-Investment Policies</w:t>
      </w:r>
      <w:r>
        <w:rPr>
          <w:rFonts w:ascii="Times New Roman" w:hAnsi="Times New Roman"/>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hAnsi="Times New Roman"/>
          <w:b/>
          <w:i/>
          <w:sz w:val="20"/>
        </w:rPr>
        <w:t>Co-Investment Policies</w:t>
      </w:r>
      <w:r>
        <w:rPr>
          <w:rFonts w:ascii="Times New Roman" w:hAnsi="Times New Roman"/>
          <w:sz w:val="20"/>
        </w:rPr>
        <w:t>”). Each Adviser (and each Affiliated Entity that is not advised by an Adviser) will provide its Co-Investment Policies to the Regulated Funds and will notify the Regulated Funds of any material changes thereto.</w:t>
      </w:r>
      <w:r>
        <w:rPr>
          <w:rFonts w:ascii="Times New Roman" w:hAnsi="Times New Roman"/>
          <w:strike/>
          <w:color w:val="FF0000"/>
          <w:sz w:val="20"/>
        </w:rPr>
        <w:t>17</w:t>
      </w:r>
      <w:r>
        <w:rPr>
          <w:rFonts w:ascii="Times New Roman" w:hAnsi="Times New Roman"/>
          <w:color w:val="0000FF"/>
          <w:sz w:val="13"/>
          <w:u w:val="single"/>
          <w:bdr w:val="double" w:sz="2" w:space="1" w:color="000000"/>
        </w:rPr>
        <w:t>18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6.</w:t>
      </w:r>
      <w:r>
        <w:rPr>
          <w:rFonts w:ascii="Times New Roman" w:hAnsi="Times New Roman"/>
          <w:sz w:val="20"/>
        </w:rPr>
        <w:t xml:space="preserve"> </w:t>
      </w:r>
      <w:r>
        <w:rPr>
          <w:rFonts w:ascii="Times New Roman" w:hAnsi="Times New Roman"/>
          <w:strike/>
          <w:color w:val="FF0000"/>
          <w:sz w:val="20"/>
          <w:u w:val="single"/>
        </w:rPr>
        <w:t>6.</w:t>
      </w:r>
      <w:r>
        <w:rPr>
          <w:rFonts w:ascii="Times New Roman" w:hAnsi="Times New Roman"/>
          <w:sz w:val="20"/>
          <w:u w:val="single"/>
        </w:rPr>
        <w:t xml:space="preserve"> Dispositions</w:t>
      </w:r>
      <w:r>
        <w:rPr>
          <w:rFonts w:ascii="Times New Roman" w:hAnsi="Times New Roman"/>
          <w:strike/>
          <w:color w:val="FF0000"/>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rPr>
        <w:t>(a)</w:t>
      </w:r>
      <w:r>
        <w:rPr>
          <w:rFonts w:ascii="Times New Roman" w:hAnsi="Times New Roman"/>
          <w:sz w:val="20"/>
        </w:rPr>
        <w:t xml:space="preserve"> Prior to any Disposition</w:t>
      </w:r>
      <w:r>
        <w:rPr>
          <w:rFonts w:ascii="Times New Roman" w:hAnsi="Times New Roman"/>
          <w:strike/>
          <w:color w:val="FF0000"/>
          <w:sz w:val="20"/>
        </w:rPr>
        <w:t>18</w:t>
      </w:r>
      <w:r>
        <w:rPr>
          <w:rFonts w:ascii="Times New Roman" w:hAnsi="Times New Roman"/>
          <w:color w:val="0000FF"/>
          <w:sz w:val="20"/>
          <w:u w:val="single"/>
          <w:bdr w:val="double" w:sz="2" w:space="1" w:color="000000"/>
        </w:rPr>
        <w:t xml:space="preserve"> 19</w:t>
      </w:r>
      <w:r>
        <w:rPr>
          <w:rFonts w:ascii="Times New Roman" w:hAnsi="Times New Roman"/>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rPr>
        <w:t>(b)</w:t>
      </w:r>
      <w:r>
        <w:rPr>
          <w:rFonts w:ascii="Times New Roman" w:hAnsi="Times New Roman"/>
          <w:sz w:val="20"/>
        </w:rPr>
        <w:t xml:space="preserve">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hAnsi="Times New Roman"/>
          <w:strike/>
          <w:color w:val="FF0000"/>
          <w:sz w:val="20"/>
        </w:rPr>
        <w:t>19</w:t>
      </w:r>
      <w:r>
        <w:rPr>
          <w:rFonts w:ascii="Times New Roman" w:hAnsi="Times New Roman"/>
          <w:color w:val="0000FF"/>
          <w:sz w:val="20"/>
          <w:u w:val="single"/>
          <w:bdr w:val="double" w:sz="2" w:space="1" w:color="000000"/>
        </w:rPr>
        <w:t xml:space="preserve">20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7.</w:t>
      </w:r>
      <w:r>
        <w:rPr>
          <w:rFonts w:ascii="Times New Roman" w:hAnsi="Times New Roman"/>
          <w:sz w:val="20"/>
        </w:rPr>
        <w:t xml:space="preserve"> </w:t>
      </w:r>
      <w:r>
        <w:rPr>
          <w:rFonts w:ascii="Times New Roman" w:hAnsi="Times New Roman"/>
          <w:strike/>
          <w:color w:val="FF0000"/>
          <w:sz w:val="20"/>
          <w:u w:val="single"/>
        </w:rPr>
        <w:t>7.</w:t>
      </w:r>
      <w:r>
        <w:rPr>
          <w:rFonts w:ascii="Times New Roman" w:hAnsi="Times New Roman"/>
          <w:sz w:val="20"/>
          <w:u w:val="single"/>
        </w:rPr>
        <w:t xml:space="preserve"> Board Oversight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rPr>
        <w:t>(a)</w:t>
      </w:r>
      <w:r>
        <w:rPr>
          <w:rFonts w:ascii="Times New Roman" w:hAnsi="Times New Roman"/>
          <w:sz w:val="20"/>
        </w:rPr>
        <w:t xml:space="preserve"> Each Regulated Fund’s directors will oversee the Regulated Fund’s participation in the co-investment program in the exercise of their reasonable business judgment.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rPr>
        <w:t>(b)</w:t>
      </w:r>
      <w:r>
        <w:rPr>
          <w:rFonts w:ascii="Times New Roman" w:hAnsi="Times New Roman"/>
          <w:sz w:val="20"/>
        </w:rPr>
        <w:t xml:space="preserve">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16</w:t>
            </w:r>
            <w:r>
              <w:rPr>
                <w:color w:val="0000FF"/>
                <w:sz w:val="13"/>
                <w:u w:val="single"/>
                <w:bdr w:val="double" w:sz="2" w:space="1" w:color="000000"/>
              </w:rPr>
              <w:t xml:space="preserve">17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Applicants are not requesting and the Commission is not providing any relief for transaction fees received in connection with any Co-Investment Transaction. </w:t>
            </w:r>
          </w:p>
        </w:tc>
      </w:tr>
    </w:tbl>
    <w:tbl>
      <w:tblPr>
        <w:tblW w:w="5000" w:type="pct"/>
        <w:jc w:val="left"/>
        <w:tblInd w:w="0" w:type="dxa"/>
        <w:tblLayout w:type="fixed"/>
        <w:tblCellMar>
          <w:top w:w="0" w:type="dxa"/>
          <w:left w:w="0" w:type="dxa"/>
          <w:bottom w:w="0" w:type="dxa"/>
          <w:right w:w="0" w:type="dxa"/>
        </w:tblCellMar>
      </w:tblPr>
      <w:tblGrid>
        <w:gridCol w:w="431"/>
        <w:gridCol w:w="9774"/>
      </w:tblGrid>
      <w:tr>
        <w:trPr/>
        <w:tc>
          <w:tcPr>
            <w:tcW w:w="431" w:type="dxa"/>
            <w:tcBorders/>
          </w:tcPr>
          <w:p>
            <w:pPr>
              <w:pStyle w:val="TableContents"/>
              <w:bidi w:val="0"/>
              <w:spacing w:before="0" w:after="283"/>
              <w:jc w:val="left"/>
              <w:rPr/>
            </w:pPr>
            <w:r>
              <w:rPr>
                <w:strike/>
                <w:color w:val="FF0000"/>
                <w:sz w:val="13"/>
              </w:rPr>
              <w:t>17</w:t>
            </w:r>
            <w:r>
              <w:rPr>
                <w:color w:val="0000FF"/>
                <w:u w:val="single"/>
                <w:bdr w:val="double" w:sz="2" w:space="1" w:color="000000"/>
              </w:rPr>
              <w:t xml:space="preserve">18 </w:t>
            </w:r>
            <w:r>
              <w:rPr/>
              <w:t> </w:t>
            </w:r>
          </w:p>
        </w:tc>
        <w:tc>
          <w:tcPr>
            <w:tcW w:w="97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Entities may adopt shared Co-Investment Policies. </w:t>
            </w:r>
          </w:p>
        </w:tc>
      </w:tr>
    </w:tbl>
    <w:tbl>
      <w:tblPr>
        <w:tblW w:w="5000" w:type="pct"/>
        <w:jc w:val="left"/>
        <w:tblInd w:w="0" w:type="dxa"/>
        <w:tblLayout w:type="fixed"/>
        <w:tblCellMar>
          <w:top w:w="0" w:type="dxa"/>
          <w:left w:w="0" w:type="dxa"/>
          <w:bottom w:w="0" w:type="dxa"/>
          <w:right w:w="0" w:type="dxa"/>
        </w:tblCellMar>
      </w:tblPr>
      <w:tblGrid>
        <w:gridCol w:w="427"/>
        <w:gridCol w:w="9778"/>
      </w:tblGrid>
      <w:tr>
        <w:trPr/>
        <w:tc>
          <w:tcPr>
            <w:tcW w:w="427" w:type="dxa"/>
            <w:tcBorders/>
          </w:tcPr>
          <w:p>
            <w:pPr>
              <w:pStyle w:val="TableContents"/>
              <w:bidi w:val="0"/>
              <w:spacing w:before="0" w:after="283"/>
              <w:jc w:val="left"/>
              <w:rPr/>
            </w:pPr>
            <w:r>
              <w:rPr>
                <w:strike/>
                <w:color w:val="FF0000"/>
              </w:rPr>
              <w:t>18</w:t>
            </w:r>
            <w:r>
              <w:rPr>
                <w:color w:val="0000FF"/>
                <w:sz w:val="13"/>
                <w:u w:val="single"/>
                <w:bdr w:val="double" w:sz="2" w:space="1" w:color="000000"/>
              </w:rPr>
              <w:t xml:space="preserve">19 </w:t>
            </w:r>
            <w:r>
              <w:rPr/>
              <w:t> </w:t>
            </w:r>
          </w:p>
        </w:tc>
        <w:tc>
          <w:tcPr>
            <w:tcW w:w="9778" w:type="dxa"/>
            <w:tcBorders/>
          </w:tcPr>
          <w:p>
            <w:pPr>
              <w:pStyle w:val="TableContents"/>
              <w:bidi w:val="0"/>
              <w:spacing w:before="0" w:after="0"/>
              <w:jc w:val="left"/>
              <w:rPr/>
            </w:pPr>
            <w:r>
              <w:rPr/>
              <w:t>“</w:t>
            </w:r>
            <w:r>
              <w:rPr>
                <w:rFonts w:ascii="Times New Roman" w:hAnsi="Times New Roman"/>
              </w:rPr>
              <w:t xml:space="preserve">Disposition” means the sale, exchange, transfer or other disposition of an interest in a security of an issuer. </w:t>
            </w:r>
          </w:p>
        </w:tc>
      </w:tr>
    </w:tbl>
    <w:tbl>
      <w:tblPr>
        <w:tblW w:w="5000" w:type="pct"/>
        <w:jc w:val="left"/>
        <w:tblInd w:w="0" w:type="dxa"/>
        <w:tblLayout w:type="fixed"/>
        <w:tblCellMar>
          <w:top w:w="0" w:type="dxa"/>
          <w:left w:w="0" w:type="dxa"/>
          <w:bottom w:w="0" w:type="dxa"/>
          <w:right w:w="0" w:type="dxa"/>
        </w:tblCellMar>
      </w:tblPr>
      <w:tblGrid>
        <w:gridCol w:w="416"/>
        <w:gridCol w:w="9789"/>
      </w:tblGrid>
      <w:tr>
        <w:trPr/>
        <w:tc>
          <w:tcPr>
            <w:tcW w:w="416" w:type="dxa"/>
            <w:tcBorders/>
          </w:tcPr>
          <w:p>
            <w:pPr>
              <w:pStyle w:val="TableContents"/>
              <w:bidi w:val="0"/>
              <w:spacing w:before="0" w:after="283"/>
              <w:jc w:val="left"/>
              <w:rPr/>
            </w:pPr>
            <w:r>
              <w:rPr>
                <w:strike/>
                <w:color w:val="FF0000"/>
              </w:rPr>
              <w:t>19</w:t>
            </w:r>
            <w:r>
              <w:rPr>
                <w:color w:val="0000FF"/>
                <w:sz w:val="13"/>
                <w:u w:val="single"/>
                <w:bdr w:val="double" w:sz="2" w:space="1" w:color="000000"/>
              </w:rPr>
              <w:t xml:space="preserve">20 </w:t>
            </w:r>
            <w:r>
              <w:rPr/>
              <w:t> </w:t>
            </w:r>
          </w:p>
        </w:tc>
        <w:tc>
          <w:tcPr>
            <w:tcW w:w="9789" w:type="dxa"/>
            <w:tcBorders/>
          </w:tcPr>
          <w:p>
            <w:pPr>
              <w:pStyle w:val="TableContents"/>
              <w:bidi w:val="0"/>
              <w:spacing w:before="0" w:after="0"/>
              <w:jc w:val="left"/>
              <w:rPr/>
            </w:pPr>
            <w:r>
              <w:rPr/>
              <w:t>“</w:t>
            </w:r>
            <w:r>
              <w:rPr>
                <w:rFonts w:ascii="Times New Roman" w:hAnsi="Times New Roman"/>
              </w:rPr>
              <w:t xml:space="preserve">Tradable Security”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strike/>
          <w:color w:val="FF0000"/>
          <w:sz w:val="20"/>
        </w:rPr>
        <w:t>(c)</w:t>
      </w:r>
      <w:r>
        <w:rPr>
          <w:rFonts w:ascii="Times New Roman" w:hAnsi="Times New Roman"/>
          <w:sz w:val="20"/>
        </w:rPr>
        <w:t xml:space="preserve">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strike/>
          <w:color w:val="FF0000"/>
          <w:sz w:val="20"/>
        </w:rPr>
        <w:t>(d)</w:t>
      </w:r>
      <w:r>
        <w:rPr>
          <w:rFonts w:ascii="Times New Roman" w:hAnsi="Times New Roman"/>
          <w:sz w:val="20"/>
        </w:rPr>
        <w:t xml:space="preserve">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strike/>
          <w:color w:val="FF0000"/>
          <w:sz w:val="20"/>
        </w:rPr>
        <w:t>(e)</w:t>
      </w:r>
      <w:r>
        <w:rPr>
          <w:rFonts w:ascii="Times New Roman" w:hAnsi="Times New Roman"/>
          <w:sz w:val="20"/>
        </w:rPr>
        <w:t xml:space="preserv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8.</w:t>
      </w:r>
      <w:r>
        <w:rPr>
          <w:rFonts w:ascii="Times New Roman" w:hAnsi="Times New Roman"/>
          <w:sz w:val="20"/>
        </w:rPr>
        <w:t xml:space="preserve"> </w:t>
      </w:r>
      <w:r>
        <w:rPr>
          <w:rFonts w:ascii="Times New Roman" w:hAnsi="Times New Roman"/>
          <w:strike/>
          <w:color w:val="FF0000"/>
          <w:sz w:val="20"/>
          <w:u w:val="single"/>
        </w:rPr>
        <w:t>8.</w:t>
      </w:r>
      <w:r>
        <w:rPr>
          <w:rFonts w:ascii="Times New Roman" w:hAnsi="Times New Roman"/>
          <w:sz w:val="20"/>
          <w:u w:val="single"/>
        </w:rPr>
        <w:t xml:space="preserve"> Recordkeeping</w:t>
      </w:r>
      <w:r>
        <w:rPr>
          <w:rFonts w:ascii="Times New Roman" w:hAnsi="Times New Roman"/>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hAnsi="Times New Roman"/>
          <w:strike/>
          <w:color w:val="FF0000"/>
          <w:sz w:val="20"/>
        </w:rPr>
        <w:t>20</w:t>
      </w:r>
      <w:r>
        <w:rPr>
          <w:rFonts w:ascii="Times New Roman" w:hAnsi="Times New Roman"/>
          <w:color w:val="0000FF"/>
          <w:sz w:val="13"/>
          <w:u w:val="single"/>
          <w:bdr w:val="double" w:sz="2" w:space="1" w:color="000000"/>
        </w:rPr>
        <w:t>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9.</w:t>
      </w:r>
      <w:r>
        <w:rPr>
          <w:rFonts w:ascii="Times New Roman" w:hAnsi="Times New Roman"/>
          <w:sz w:val="20"/>
        </w:rPr>
        <w:t xml:space="preserve"> </w:t>
      </w:r>
      <w:r>
        <w:rPr>
          <w:rFonts w:ascii="Times New Roman" w:hAnsi="Times New Roman"/>
          <w:strike/>
          <w:color w:val="FF0000"/>
          <w:sz w:val="20"/>
          <w:u w:val="single"/>
        </w:rPr>
        <w:t>9.</w:t>
      </w:r>
      <w:r>
        <w:rPr>
          <w:rFonts w:ascii="Times New Roman" w:hAnsi="Times New Roman"/>
          <w:sz w:val="20"/>
        </w:rPr>
        <w:t xml:space="preserve"> In the event that the Commission adopts a rule under the 1940 Act allowing co-investments of the type described in this Application, any relief granted by the Order will expire on the effective date of that rule. </w:t>
      </w:r>
    </w:p>
    <w:p>
      <w:pPr>
        <w:pStyle w:val="TextBody"/>
        <w:bidi w:val="0"/>
        <w:spacing w:before="360" w:after="0"/>
        <w:jc w:val="left"/>
        <w:rPr>
          <w:rFonts w:ascii="Times New Roman" w:hAnsi="Times New Roman"/>
          <w:b/>
          <w:sz w:val="20"/>
        </w:rPr>
      </w:pPr>
      <w:r>
        <w:rPr>
          <w:rFonts w:ascii="Times New Roman" w:hAnsi="Times New Roman"/>
          <w:b/>
          <w:color w:val="0000FF"/>
          <w:sz w:val="20"/>
          <w:u w:val="single"/>
          <w:bdr w:val="double" w:sz="2" w:space="1" w:color="000000"/>
        </w:rPr>
        <w:t>IV.</w:t>
      </w:r>
      <w:r>
        <w:rPr>
          <w:rFonts w:ascii="Times New Roman" w:hAnsi="Times New Roman"/>
          <w:b/>
          <w:sz w:val="20"/>
        </w:rPr>
        <w:t xml:space="preserve"> </w:t>
      </w:r>
      <w:r>
        <w:rPr>
          <w:rFonts w:ascii="Times New Roman" w:hAnsi="Times New Roman"/>
          <w:b/>
          <w:strike/>
          <w:color w:val="FF0000"/>
          <w:sz w:val="20"/>
          <w:u w:val="single"/>
        </w:rPr>
        <w:t>IV.</w:t>
      </w:r>
      <w:r>
        <w:rPr>
          <w:rFonts w:ascii="Times New Roman" w:hAnsi="Times New Roman"/>
          <w:b/>
          <w:sz w:val="20"/>
          <w:u w:val="single"/>
        </w:rPr>
        <w:t xml:space="preserve"> STATEMENT IN SUPPORT OF RELIEF REQUESTED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u w:val="single"/>
        </w:rPr>
        <w:t>A.</w:t>
      </w:r>
      <w:r>
        <w:rPr>
          <w:rFonts w:ascii="Times New Roman" w:hAnsi="Times New Roman"/>
          <w:sz w:val="20"/>
          <w:u w:val="single"/>
        </w:rPr>
        <w:t xml:space="preserve"> Potential Benefits to the Regulated Funds and their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20</w:t>
            </w:r>
            <w:r>
              <w:rPr>
                <w:color w:val="0000FF"/>
                <w:sz w:val="13"/>
                <w:u w:val="single"/>
                <w:bdr w:val="double" w:sz="2" w:space="1" w:color="000000"/>
              </w:rPr>
              <w:t xml:space="preserve">21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u w:val="single"/>
        </w:rPr>
        <w:t>B.</w:t>
      </w:r>
      <w:r>
        <w:rPr>
          <w:rFonts w:ascii="Times New Roman" w:hAnsi="Times New Roman"/>
          <w:sz w:val="20"/>
          <w:u w:val="single"/>
        </w:rPr>
        <w:t xml:space="preserve"> Shareholder Protections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 </w:t>
      </w:r>
    </w:p>
    <w:p>
      <w:pPr>
        <w:pStyle w:val="TextBody"/>
        <w:bidi w:val="0"/>
        <w:spacing w:before="360" w:after="0"/>
        <w:jc w:val="left"/>
        <w:rPr>
          <w:rFonts w:ascii="Times New Roman" w:hAnsi="Times New Roman"/>
          <w:b/>
          <w:sz w:val="20"/>
        </w:rPr>
      </w:pPr>
      <w:r>
        <w:rPr>
          <w:rFonts w:ascii="Times New Roman" w:hAnsi="Times New Roman"/>
          <w:b/>
          <w:color w:val="0000FF"/>
          <w:sz w:val="20"/>
          <w:u w:val="single"/>
          <w:bdr w:val="double" w:sz="2" w:space="1" w:color="000000"/>
        </w:rPr>
        <w:t>V.</w:t>
      </w:r>
      <w:r>
        <w:rPr>
          <w:rFonts w:ascii="Times New Roman" w:hAnsi="Times New Roman"/>
          <w:b/>
          <w:sz w:val="20"/>
        </w:rPr>
        <w:t xml:space="preserve"> </w:t>
      </w:r>
      <w:r>
        <w:rPr>
          <w:rFonts w:ascii="Times New Roman" w:hAnsi="Times New Roman"/>
          <w:b/>
          <w:strike/>
          <w:color w:val="FF0000"/>
          <w:sz w:val="20"/>
          <w:u w:val="single"/>
        </w:rPr>
        <w:t>V.</w:t>
      </w:r>
      <w:r>
        <w:rPr>
          <w:rFonts w:ascii="Times New Roman" w:hAnsi="Times New Roman"/>
          <w:b/>
          <w:sz w:val="20"/>
          <w:u w:val="single"/>
        </w:rPr>
        <w:t xml:space="preserve"> PRECEDENTS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Commission has previously issued orders permitting certain investment companies subject to regulation under the 1940 Act and their affiliated persons to be able to participate in Co-Investment Transactions (the “Existing Orders”).</w:t>
      </w:r>
      <w:r>
        <w:rPr>
          <w:rFonts w:ascii="Times New Roman" w:hAnsi="Times New Roman"/>
          <w:strike/>
          <w:color w:val="FF0000"/>
          <w:sz w:val="20"/>
        </w:rPr>
        <w:t>21</w:t>
      </w:r>
      <w:r>
        <w:rPr>
          <w:rFonts w:ascii="Times New Roman" w:hAnsi="Times New Roman"/>
          <w:color w:val="0000FF"/>
          <w:sz w:val="13"/>
          <w:u w:val="single"/>
          <w:bdr w:val="double" w:sz="2" w:space="1" w:color="000000"/>
        </w:rPr>
        <w:t>22</w:t>
      </w:r>
      <w:r>
        <w:rPr>
          <w:rFonts w:ascii="Times New Roman" w:hAnsi="Times New Roman"/>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 </w:t>
      </w:r>
    </w:p>
    <w:p>
      <w:pPr>
        <w:pStyle w:val="TextBody"/>
        <w:bidi w:val="0"/>
        <w:spacing w:before="360" w:after="0"/>
        <w:jc w:val="left"/>
        <w:rPr>
          <w:rFonts w:ascii="Times New Roman" w:hAnsi="Times New Roman"/>
          <w:b/>
          <w:sz w:val="20"/>
        </w:rPr>
      </w:pPr>
      <w:r>
        <w:rPr>
          <w:rFonts w:ascii="Times New Roman" w:hAnsi="Times New Roman"/>
          <w:b/>
          <w:color w:val="0000FF"/>
          <w:sz w:val="20"/>
          <w:u w:val="single"/>
          <w:bdr w:val="double" w:sz="2" w:space="1" w:color="000000"/>
        </w:rPr>
        <w:t>VI.</w:t>
      </w:r>
      <w:r>
        <w:rPr>
          <w:rFonts w:ascii="Times New Roman" w:hAnsi="Times New Roman"/>
          <w:b/>
          <w:sz w:val="20"/>
        </w:rPr>
        <w:t xml:space="preserve"> </w:t>
      </w:r>
      <w:r>
        <w:rPr>
          <w:rFonts w:ascii="Times New Roman" w:hAnsi="Times New Roman"/>
          <w:b/>
          <w:strike/>
          <w:color w:val="FF0000"/>
          <w:sz w:val="20"/>
          <w:u w:val="single"/>
        </w:rPr>
        <w:t>VI.</w:t>
      </w:r>
      <w:r>
        <w:rPr>
          <w:rFonts w:ascii="Times New Roman" w:hAnsi="Times New Roman"/>
          <w:b/>
          <w:sz w:val="20"/>
          <w:u w:val="single"/>
        </w:rPr>
        <w:t xml:space="preserve"> PROCEDURAL MATTERS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u w:val="single"/>
        </w:rPr>
        <w:t>A.</w:t>
      </w:r>
      <w:r>
        <w:rPr>
          <w:rFonts w:ascii="Times New Roman" w:hAnsi="Times New Roman"/>
          <w:sz w:val="20"/>
          <w:u w:val="single"/>
        </w:rPr>
        <w:t xml:space="preserve"> 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address all communications concerning this Application, the Notice and the Order to: </w:t>
      </w:r>
    </w:p>
    <w:p>
      <w:pPr>
        <w:pStyle w:val="TextBody"/>
        <w:bidi w:val="0"/>
        <w:spacing w:before="120" w:after="0"/>
        <w:jc w:val="center"/>
        <w:rPr>
          <w:rFonts w:ascii="Times New Roman" w:hAnsi="Times New Roman"/>
          <w:sz w:val="20"/>
        </w:rPr>
      </w:pPr>
      <w:r>
        <w:rPr>
          <w:rFonts w:ascii="Times New Roman" w:hAnsi="Times New Roman"/>
          <w:color w:val="0000FF"/>
          <w:sz w:val="20"/>
          <w:u w:val="single"/>
          <w:bdr w:val="double" w:sz="2" w:space="1" w:color="000000"/>
        </w:rPr>
        <w:t>Edward H. Ross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Fidus Investment Corporation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1603 Orrington Avenue, Suite 1005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eross@fidusinv.com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B.</w:t>
      </w:r>
      <w:r>
        <w:rPr>
          <w:rFonts w:ascii="Times New Roman" w:hAnsi="Times New Roman"/>
          <w:sz w:val="20"/>
        </w:rPr>
        <w:t xml:space="preserve"> </w:t>
      </w:r>
      <w:r>
        <w:rPr>
          <w:rFonts w:ascii="Times New Roman" w:hAnsi="Times New Roman"/>
          <w:strike/>
          <w:color w:val="FF0000"/>
          <w:sz w:val="20"/>
        </w:rPr>
        <w:t>Troy Beatty</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General Counsel</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60 E. South Temple, Suite 2100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Salt Lake City, Utah 84111</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(925) 480-6050</w:t>
      </w:r>
      <w:r>
        <w:rPr>
          <w:rFonts w:ascii="Times New Roman" w:hAnsi="Times New Roman"/>
          <w:b/>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troy@keystonenational.com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address any questions, and a copy of any communications, concerning this Application, the Notice, and the Order to: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21</w:t>
            </w:r>
            <w:r>
              <w:rPr>
                <w:color w:val="0000FF"/>
                <w:sz w:val="13"/>
                <w:u w:val="single"/>
                <w:bdr w:val="double" w:sz="2" w:space="1" w:color="000000"/>
              </w:rPr>
              <w:t xml:space="preserve">22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FS Credit Opportunities Corp., et al. (File No. 812-15706), Release No. IC-35520 (April 3, 2025) (notice), Release No. IC-35561 (April 29, 2025) (order); Sixth Street Specialty Lending, Inc. et al. (File No.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trike/>
          <w:color w:val="FF0000"/>
          <w:sz w:val="20"/>
        </w:rPr>
        <w:t>James E. Anderson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Haofei Liu</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Willkie Farr &amp; Gallagher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1875 K St NW</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Washington, DC 20006</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(202) 303-1000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JAnderson@willkie.com</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Steven B. Boehm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Anne G. Oberndorf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Payam Siadatpour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Sara Sabour Nasseri, Esq.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Eversheds Sutherland (US)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700 6th Street, N.W.</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Washington, D.C. 20001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(202) 383-0100</w:t>
      </w:r>
      <w:r>
        <w:rPr>
          <w:rFonts w:ascii="Times New Roman" w:hAnsi="Times New Roman"/>
          <w:sz w:val="20"/>
        </w:rPr>
        <w:t xml:space="preserve">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stevenboehm@eversheds-sutherland.us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anneoberndorf@eversheds-sutherland.us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payamsiadatpour@eversheds-sutherland.us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u w:val="single"/>
        </w:rPr>
        <w:t>C.</w:t>
      </w:r>
      <w:r>
        <w:rPr>
          <w:rFonts w:ascii="Times New Roman" w:hAnsi="Times New Roman"/>
          <w:sz w:val="20"/>
          <w:u w:val="single"/>
        </w:rPr>
        <w:t xml:space="preserve"> Authorizations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filing of this Application for the Order sought hereby and the taking of all acts reasonably necessary to obtain the relief requested herein was authorized by the Board of the Existing Regulated Fund pursuant to resolutions duly adopted by the Board. Copies of the resolutions are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0-2(c), Applicants hereby state that </w:t>
      </w:r>
      <w:r>
        <w:rPr>
          <w:rFonts w:ascii="Times New Roman" w:hAnsi="Times New Roman"/>
          <w:strike/>
          <w:color w:val="FF0000"/>
          <w:sz w:val="20"/>
        </w:rPr>
        <w:t>the Existing Regulated Fund and</w:t>
      </w:r>
      <w:r>
        <w:rPr>
          <w:rFonts w:ascii="Times New Roman" w:hAnsi="Times New Roman"/>
          <w:sz w:val="20"/>
        </w:rPr>
        <w:t xml:space="preserve"> each Applicant has authorized to cause to be prepared and to execute and file with the Commission this Application and any amendment thereto for an order pursuant to </w:t>
      </w:r>
      <w:r>
        <w:rPr>
          <w:rFonts w:ascii="Times New Roman" w:hAnsi="Times New Roman"/>
          <w:strike/>
          <w:color w:val="FF0000"/>
          <w:sz w:val="20"/>
        </w:rPr>
        <w:t>Section</w:t>
      </w:r>
      <w:r>
        <w:rPr>
          <w:rFonts w:ascii="Times New Roman" w:hAnsi="Times New Roman"/>
          <w:color w:val="0000FF"/>
          <w:sz w:val="20"/>
          <w:u w:val="single"/>
          <w:bdr w:val="double" w:sz="2" w:space="1" w:color="000000"/>
        </w:rPr>
        <w:t>Sections 17(d) and</w:t>
      </w:r>
      <w:r>
        <w:rPr>
          <w:rFonts w:ascii="Times New Roman" w:hAnsi="Times New Roman"/>
          <w:sz w:val="20"/>
        </w:rPr>
        <w:t xml:space="preserve"> 57(i) and Rule 17d-1 permitting certain joint transactions otherwise prohibited by Sections 17(d) and 57(a)(4) and Rule 17d-1. The person executing the Application on behalf of the Applicants being duly sworn deposes and says that he </w:t>
      </w:r>
      <w:r>
        <w:rPr>
          <w:rFonts w:ascii="Times New Roman" w:hAnsi="Times New Roman"/>
          <w:strike/>
          <w:color w:val="FF0000"/>
          <w:sz w:val="20"/>
        </w:rPr>
        <w:t>or she</w:t>
      </w:r>
      <w:r>
        <w:rPr>
          <w:rFonts w:ascii="Times New Roman" w:hAnsi="Times New Roman"/>
          <w:sz w:val="20"/>
        </w:rPr>
        <w:t xml:space="preserve"> has duly executed the Application for and on behalf of the applicable entity listed; that he </w:t>
      </w:r>
      <w:r>
        <w:rPr>
          <w:rFonts w:ascii="Times New Roman" w:hAnsi="Times New Roman"/>
          <w:strike/>
          <w:color w:val="FF0000"/>
          <w:sz w:val="20"/>
        </w:rPr>
        <w:t>or she</w:t>
      </w:r>
      <w:r>
        <w:rPr>
          <w:rFonts w:ascii="Times New Roman" w:hAnsi="Times New Roman"/>
          <w:sz w:val="20"/>
        </w:rPr>
        <w:t xml:space="preserve"> is authorized to execute the Application pursuant to the terms of an operating agreement, management agreement or otherwise; and that all actions by members, directors or other bodies necessary to authorize each such deponent to execute and file the Application have been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In accordance with the requirements for a request for expedited review of this Application, marked copies of two recent applications seeking the same relief as Applicants that are substantially identical as required by Rule 0-5(e) of the 1940 Act are attached as Exhibit C. In accordance with Rule 0-5(f)(2)(i)(A) under the 1940 Act, included as Exhibit D to this Application is a marked copy of the Application showing changes from the Application filed with the Commission on August 28, 2026.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Applicants have caused this</w:t>
      </w:r>
      <w:r>
        <w:rPr>
          <w:rFonts w:ascii="Times New Roman" w:hAnsi="Times New Roman"/>
          <w:strike/>
          <w:color w:val="FF0000"/>
          <w:sz w:val="20"/>
        </w:rPr>
        <w:t xml:space="preserve"> Amendment No. 2 to the</w:t>
      </w:r>
      <w:r>
        <w:rPr>
          <w:rFonts w:ascii="Times New Roman" w:hAnsi="Times New Roman"/>
          <w:sz w:val="20"/>
        </w:rPr>
        <w:t xml:space="preserve"> Application to be duly signed on their behalf on the </w:t>
      </w:r>
      <w:r>
        <w:rPr>
          <w:rFonts w:ascii="Times New Roman" w:hAnsi="Times New Roman"/>
          <w:strike/>
          <w:color w:val="FF0000"/>
          <w:sz w:val="20"/>
        </w:rPr>
        <w:t>8th</w:t>
      </w:r>
      <w:r>
        <w:rPr>
          <w:rFonts w:ascii="Times New Roman" w:hAnsi="Times New Roman"/>
          <w:color w:val="0000FF"/>
          <w:sz w:val="20"/>
          <w:u w:val="single"/>
          <w:bdr w:val="double" w:sz="2" w:space="1" w:color="000000"/>
        </w:rPr>
        <w:t>21st</w:t>
      </w:r>
      <w:r>
        <w:rPr>
          <w:rFonts w:ascii="Times New Roman" w:hAnsi="Times New Roman"/>
          <w:sz w:val="20"/>
        </w:rPr>
        <w:t xml:space="preserve"> day of</w:t>
      </w:r>
      <w:r>
        <w:rPr>
          <w:rFonts w:ascii="Times New Roman" w:hAnsi="Times New Roman"/>
          <w:strike/>
          <w:color w:val="FF0000"/>
          <w:sz w:val="20"/>
        </w:rPr>
        <w:t xml:space="preserve"> May</w:t>
      </w:r>
      <w:r>
        <w:rPr>
          <w:rFonts w:ascii="Times New Roman" w:hAnsi="Times New Roman"/>
          <w:color w:val="0000FF"/>
          <w:sz w:val="20"/>
          <w:u w:val="single"/>
          <w:bdr w:val="double" w:sz="2" w:space="1" w:color="000000"/>
        </w:rPr>
        <w:t>October</w:t>
      </w:r>
      <w:r>
        <w:rPr>
          <w:rFonts w:ascii="Times New Roman" w:hAnsi="Times New Roman"/>
          <w:sz w:val="20"/>
        </w:rPr>
        <w:t xml:space="preserve">,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5"/>
        <w:gridCol w:w="60"/>
        <w:gridCol w:w="3297"/>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PRIVATE INCOME FUND</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5"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Brad Allen</w:t>
            </w:r>
          </w:p>
        </w:tc>
      </w:tr>
      <w:tr>
        <w:trPr/>
        <w:tc>
          <w:tcPr>
            <w:tcW w:w="725"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Treasurer (Principal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NATIONAL GROUP, LLC</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5"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Brad Allen</w:t>
            </w:r>
          </w:p>
        </w:tc>
      </w:tr>
      <w:tr>
        <w:trPr/>
        <w:tc>
          <w:tcPr>
            <w:tcW w:w="725" w:type="dxa"/>
            <w:tcBorders/>
          </w:tcPr>
          <w:p>
            <w:pPr>
              <w:pStyle w:val="TableContents"/>
              <w:bidi w:val="0"/>
              <w:spacing w:before="0" w:after="283"/>
              <w:jc w:val="left"/>
              <w:rPr>
                <w:strike/>
                <w:color w:val="FF0000"/>
              </w:rPr>
            </w:pPr>
            <w:r>
              <w:rPr>
                <w:strike/>
                <w:color w:val="FF0000"/>
              </w:rPr>
              <w:t xml:space="preserve">Title: </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Managing Partner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PRIVATE MARKET OPPORTUNITIES IX (Q), LP</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5"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Brad Allen</w:t>
            </w:r>
          </w:p>
        </w:tc>
      </w:tr>
      <w:tr>
        <w:trPr/>
        <w:tc>
          <w:tcPr>
            <w:tcW w:w="725"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 xml:space="preserve">Manager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PRIVATE MARKET OPPORTUNITIES IX, LP</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5"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Brad Allen</w:t>
            </w:r>
          </w:p>
        </w:tc>
      </w:tr>
      <w:tr>
        <w:trPr/>
        <w:tc>
          <w:tcPr>
            <w:tcW w:w="725"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REAL ESTATE LENDING FUND, LLC</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5"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Brad Allen</w:t>
            </w:r>
          </w:p>
        </w:tc>
      </w:tr>
      <w:tr>
        <w:trPr/>
        <w:tc>
          <w:tcPr>
            <w:tcW w:w="725"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REAL ESTATE INVESTMENT TRUST, LLC</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5"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Brad Allen</w:t>
            </w:r>
          </w:p>
        </w:tc>
      </w:tr>
      <w:tr>
        <w:trPr/>
        <w:tc>
          <w:tcPr>
            <w:tcW w:w="725"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0"/>
        <w:gridCol w:w="60"/>
        <w:gridCol w:w="690"/>
        <w:gridCol w:w="60"/>
        <w:gridCol w:w="288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CORPORATION</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Chief Executive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ADVISORS, LLC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Chief Executive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WHOLLY-OWNED SUBSIDIARIES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IV, L.P.</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FIC FUNDING, LLC</w:t>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HOLDINGS,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color w:val="0000FF"/>
                <w:u w:val="single"/>
                <w:bdr w:val="double" w:sz="2" w:space="1" w:color="000000"/>
              </w:rPr>
              <w:t>Name</w:t>
            </w:r>
            <w:r>
              <w:rPr/>
              <w:t>:</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AFFILIATED FUNDS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CREDIT OPPORTUNITIES, L.P.</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EQUITY OPPORTUNITIES FUND, L.P.</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color w:val="0000FF"/>
                <w:u w:val="single"/>
                <w:bdr w:val="double" w:sz="2" w:space="1" w:color="000000"/>
              </w:rPr>
              <w:t>Name</w:t>
            </w:r>
            <w:r>
              <w:rPr/>
              <w:t>:</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trike/>
          <w:color w:val="FF0000"/>
          <w:sz w:val="20"/>
        </w:rPr>
        <w:t>VERIFICATION</w:t>
      </w:r>
      <w:r>
        <w:rPr>
          <w:rFonts w:ascii="Times New Roman" w:hAnsi="Times New Roman"/>
          <w:color w:val="0000FF"/>
          <w:sz w:val="20"/>
          <w:u w:val="single"/>
          <w:bdr w:val="double" w:sz="2" w:space="1" w:color="000000"/>
        </w:rPr>
        <w:t>Exhibit A</w:t>
      </w:r>
      <w:r>
        <w:rPr>
          <w:rFonts w:ascii="Times New Roman" w:hAnsi="Times New Roman"/>
          <w:sz w:val="20"/>
        </w:rPr>
        <w:t xml:space="preserve"> </w:t>
      </w:r>
    </w:p>
    <w:p>
      <w:pPr>
        <w:pStyle w:val="TextBody"/>
        <w:bidi w:val="0"/>
        <w:spacing w:before="240" w:after="0"/>
        <w:jc w:val="center"/>
        <w:rPr>
          <w:rFonts w:ascii="Times New Roman" w:hAnsi="Times New Roman"/>
          <w:color w:val="0000FF"/>
          <w:sz w:val="20"/>
        </w:rPr>
      </w:pPr>
      <w:r>
        <w:rPr>
          <w:rFonts w:ascii="Times New Roman" w:hAnsi="Times New Roman"/>
          <w:color w:val="0000FF"/>
          <w:sz w:val="20"/>
          <w:u w:val="single"/>
          <w:bdr w:val="double" w:sz="2" w:space="1" w:color="000000"/>
        </w:rPr>
        <w:t>Verification</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Each of the</w:t>
      </w:r>
      <w:r>
        <w:rPr>
          <w:rFonts w:ascii="Times New Roman" w:hAnsi="Times New Roman"/>
          <w:color w:val="0000FF"/>
          <w:sz w:val="20"/>
          <w:u w:val="single"/>
          <w:bdr w:val="double" w:sz="2" w:space="1" w:color="000000"/>
        </w:rPr>
        <w:t>The</w:t>
      </w:r>
      <w:r>
        <w:rPr>
          <w:rFonts w:ascii="Times New Roman" w:hAnsi="Times New Roman"/>
          <w:sz w:val="20"/>
        </w:rPr>
        <w:t xml:space="preserve"> undersigned states that he has duly executed the attached </w:t>
      </w:r>
      <w:r>
        <w:rPr>
          <w:rFonts w:ascii="Times New Roman" w:hAnsi="Times New Roman"/>
          <w:strike/>
          <w:color w:val="FF0000"/>
          <w:sz w:val="20"/>
        </w:rPr>
        <w:t>Amendment No. 2 to the</w:t>
      </w:r>
      <w:r>
        <w:rPr>
          <w:rFonts w:ascii="Times New Roman" w:hAnsi="Times New Roman"/>
          <w:sz w:val="20"/>
        </w:rPr>
        <w:t xml:space="preserve"> Application</w:t>
      </w:r>
      <w:r>
        <w:rPr>
          <w:rFonts w:ascii="Times New Roman" w:hAnsi="Times New Roman"/>
          <w:color w:val="0000FF"/>
          <w:sz w:val="20"/>
          <w:u w:val="single"/>
          <w:bdr w:val="double" w:sz="2" w:space="1" w:color="000000"/>
        </w:rPr>
        <w:t>,</w:t>
      </w:r>
      <w:r>
        <w:rPr>
          <w:rFonts w:ascii="Times New Roman" w:hAnsi="Times New Roman"/>
          <w:sz w:val="20"/>
        </w:rPr>
        <w:t xml:space="preserve"> dated</w:t>
      </w:r>
      <w:r>
        <w:rPr>
          <w:rFonts w:ascii="Times New Roman" w:hAnsi="Times New Roman"/>
          <w:strike/>
          <w:color w:val="FF0000"/>
          <w:sz w:val="20"/>
        </w:rPr>
        <w:t xml:space="preserve"> as of May 8</w:t>
      </w:r>
      <w:r>
        <w:rPr>
          <w:rFonts w:ascii="Times New Roman" w:hAnsi="Times New Roman"/>
          <w:color w:val="0000FF"/>
          <w:sz w:val="20"/>
          <w:u w:val="single"/>
          <w:bdr w:val="double" w:sz="2" w:space="1" w:color="000000"/>
        </w:rPr>
        <w:t>October 21</w:t>
      </w:r>
      <w:r>
        <w:rPr>
          <w:rFonts w:ascii="Times New Roman" w:hAnsi="Times New Roman"/>
          <w:sz w:val="20"/>
        </w:rPr>
        <w:t>, 2026</w:t>
      </w:r>
      <w:r>
        <w:rPr>
          <w:rFonts w:ascii="Times New Roman" w:hAnsi="Times New Roman"/>
          <w:color w:val="0000FF"/>
          <w:sz w:val="20"/>
          <w:u w:val="single"/>
          <w:bdr w:val="double" w:sz="2" w:space="1" w:color="000000"/>
        </w:rPr>
        <w:t>,</w:t>
      </w:r>
      <w:r>
        <w:rPr>
          <w:rFonts w:ascii="Times New Roman" w:hAnsi="Times New Roman"/>
          <w:sz w:val="20"/>
        </w:rPr>
        <w:t xml:space="preserve"> for and on behalf of the</w:t>
      </w:r>
      <w:r>
        <w:rPr>
          <w:rFonts w:ascii="Times New Roman" w:hAnsi="Times New Roman"/>
          <w:strike/>
          <w:color w:val="FF0000"/>
          <w:sz w:val="20"/>
        </w:rPr>
        <w:t xml:space="preserve"> entities listed below;</w:t>
      </w:r>
      <w:r>
        <w:rPr>
          <w:rFonts w:ascii="Times New Roman" w:hAnsi="Times New Roman"/>
          <w:color w:val="0000FF"/>
          <w:sz w:val="20"/>
          <w:u w:val="single"/>
          <w:bdr w:val="double" w:sz="2" w:space="1" w:color="000000"/>
        </w:rPr>
        <w:t>Applicants, as the case may be,</w:t>
      </w:r>
      <w:r>
        <w:rPr>
          <w:rFonts w:ascii="Times New Roman" w:hAnsi="Times New Roman"/>
          <w:sz w:val="20"/>
        </w:rPr>
        <w:t xml:space="preserve"> that he holds</w:t>
      </w:r>
      <w:r>
        <w:rPr>
          <w:rFonts w:ascii="Times New Roman" w:hAnsi="Times New Roman"/>
          <w:color w:val="0000FF"/>
          <w:sz w:val="20"/>
          <w:u w:val="single"/>
          <w:bdr w:val="double" w:sz="2" w:space="1" w:color="000000"/>
        </w:rPr>
        <w:t xml:space="preserve"> the</w:t>
      </w:r>
      <w:r>
        <w:rPr>
          <w:rFonts w:ascii="Times New Roman" w:hAnsi="Times New Roman"/>
          <w:sz w:val="20"/>
        </w:rPr>
        <w:t xml:space="preserve"> office with</w:t>
      </w:r>
      <w:r>
        <w:rPr>
          <w:rFonts w:ascii="Times New Roman" w:hAnsi="Times New Roman"/>
          <w:color w:val="0000FF"/>
          <w:sz w:val="20"/>
          <w:u w:val="single"/>
          <w:bdr w:val="double" w:sz="2" w:space="1" w:color="000000"/>
        </w:rPr>
        <w:t xml:space="preserve"> each</w:t>
      </w:r>
      <w:r>
        <w:rPr>
          <w:rFonts w:ascii="Times New Roman" w:hAnsi="Times New Roman"/>
          <w:sz w:val="20"/>
        </w:rPr>
        <w:t xml:space="preserve"> such entity as indicated below</w:t>
      </w:r>
      <w:r>
        <w:rPr>
          <w:rFonts w:ascii="Times New Roman" w:hAnsi="Times New Roman"/>
          <w:color w:val="0000FF"/>
          <w:sz w:val="20"/>
          <w:u w:val="single"/>
          <w:bdr w:val="double" w:sz="2" w:space="1" w:color="000000"/>
        </w:rPr>
        <w:t>,</w:t>
      </w:r>
      <w:r>
        <w:rPr>
          <w:rFonts w:ascii="Times New Roman" w:hAnsi="Times New Roman"/>
          <w:sz w:val="20"/>
        </w:rPr>
        <w:t xml:space="preserve"> and that all</w:t>
      </w:r>
      <w:r>
        <w:rPr>
          <w:rFonts w:ascii="Times New Roman" w:hAnsi="Times New Roman"/>
          <w:strike/>
          <w:color w:val="FF0000"/>
          <w:sz w:val="20"/>
        </w:rPr>
        <w:t xml:space="preserve"> action by</w:t>
      </w:r>
      <w:r>
        <w:rPr>
          <w:rFonts w:ascii="Times New Roman" w:hAnsi="Times New Roman"/>
          <w:color w:val="0000FF"/>
          <w:sz w:val="20"/>
          <w:u w:val="single"/>
          <w:bdr w:val="double" w:sz="2" w:space="1" w:color="000000"/>
        </w:rPr>
        <w:t>actions by stockholders, officers,</w:t>
      </w:r>
      <w:r>
        <w:rPr>
          <w:rFonts w:ascii="Times New Roman" w:hAnsi="Times New Roman"/>
          <w:sz w:val="20"/>
        </w:rPr>
        <w:t xml:space="preserve"> directors, </w:t>
      </w:r>
      <w:r>
        <w:rPr>
          <w:rFonts w:ascii="Times New Roman" w:hAnsi="Times New Roman"/>
          <w:strike/>
          <w:color w:val="FF0000"/>
          <w:sz w:val="20"/>
        </w:rPr>
        <w:t>officers, stockholders, general partners, trustees or members of each entity and any other body</w:t>
      </w:r>
      <w:r>
        <w:rPr>
          <w:rFonts w:ascii="Times New Roman" w:hAnsi="Times New Roman"/>
          <w:color w:val="0000FF"/>
          <w:sz w:val="20"/>
          <w:u w:val="single"/>
          <w:bdr w:val="double" w:sz="2" w:space="1" w:color="000000"/>
        </w:rPr>
        <w:t>and other bodies</w:t>
      </w:r>
      <w:r>
        <w:rPr>
          <w:rFonts w:ascii="Times New Roman" w:hAnsi="Times New Roman"/>
          <w:sz w:val="20"/>
        </w:rPr>
        <w:t xml:space="preserve"> necessary to authorize the undersigned to execute and file such </w:t>
      </w:r>
      <w:r>
        <w:rPr>
          <w:rFonts w:ascii="Times New Roman" w:hAnsi="Times New Roman"/>
          <w:strike/>
          <w:color w:val="FF0000"/>
          <w:sz w:val="20"/>
        </w:rPr>
        <w:t>instrument has</w:t>
      </w:r>
      <w:r>
        <w:rPr>
          <w:rFonts w:ascii="Times New Roman" w:hAnsi="Times New Roman"/>
          <w:color w:val="0000FF"/>
          <w:sz w:val="20"/>
          <w:u w:val="single"/>
          <w:bdr w:val="double" w:sz="2" w:space="1" w:color="000000"/>
        </w:rPr>
        <w:t>Application have</w:t>
      </w:r>
      <w:r>
        <w:rPr>
          <w:rFonts w:ascii="Times New Roman" w:hAnsi="Times New Roman"/>
          <w:sz w:val="20"/>
        </w:rPr>
        <w:t xml:space="preserve"> been taken. </w:t>
      </w:r>
      <w:r>
        <w:rPr>
          <w:rFonts w:ascii="Times New Roman" w:hAnsi="Times New Roman"/>
          <w:strike/>
          <w:color w:val="FF0000"/>
          <w:sz w:val="20"/>
        </w:rPr>
        <w:t>Each of the</w:t>
      </w:r>
      <w:r>
        <w:rPr>
          <w:rFonts w:ascii="Times New Roman" w:hAnsi="Times New Roman"/>
          <w:color w:val="0000FF"/>
          <w:sz w:val="20"/>
          <w:u w:val="single"/>
          <w:bdr w:val="double" w:sz="2" w:space="1" w:color="000000"/>
        </w:rPr>
        <w:t>The</w:t>
      </w:r>
      <w:r>
        <w:rPr>
          <w:rFonts w:ascii="Times New Roman" w:hAnsi="Times New Roman"/>
          <w:sz w:val="20"/>
        </w:rPr>
        <w:t xml:space="preserve"> undersigned further states that he is familiar with </w:t>
      </w:r>
      <w:r>
        <w:rPr>
          <w:rFonts w:ascii="Times New Roman" w:hAnsi="Times New Roman"/>
          <w:strike/>
          <w:color w:val="FF0000"/>
          <w:sz w:val="20"/>
        </w:rPr>
        <w:t>such</w:t>
      </w:r>
      <w:r>
        <w:rPr>
          <w:rFonts w:ascii="Times New Roman" w:hAnsi="Times New Roman"/>
          <w:color w:val="0000FF"/>
          <w:sz w:val="20"/>
          <w:u w:val="single"/>
          <w:bdr w:val="double" w:sz="2" w:space="1" w:color="000000"/>
        </w:rPr>
        <w:t>the</w:t>
      </w:r>
      <w:r>
        <w:rPr>
          <w:rFonts w:ascii="Times New Roman" w:hAnsi="Times New Roman"/>
          <w:sz w:val="20"/>
        </w:rPr>
        <w:t xml:space="preserve"> instrument</w:t>
      </w:r>
      <w:r>
        <w:rPr>
          <w:rFonts w:ascii="Times New Roman" w:hAnsi="Times New Roman"/>
          <w:strike/>
          <w:color w:val="FF0000"/>
          <w:sz w:val="20"/>
        </w:rPr>
        <w:t>,</w:t>
      </w:r>
      <w:r>
        <w:rPr>
          <w:rFonts w:ascii="Times New Roman" w:hAnsi="Times New Roman"/>
          <w:sz w:val="20"/>
        </w:rPr>
        <w:t xml:space="preserve"> and the contents thereof, and that the facts</w:t>
      </w:r>
      <w:r>
        <w:rPr>
          <w:rFonts w:ascii="Times New Roman" w:hAnsi="Times New Roman"/>
          <w:strike/>
          <w:color w:val="FF0000"/>
          <w:sz w:val="20"/>
        </w:rPr>
        <w:t xml:space="preserve"> therein</w:t>
      </w:r>
      <w:r>
        <w:rPr>
          <w:rFonts w:ascii="Times New Roman" w:hAnsi="Times New Roman"/>
          <w:sz w:val="20"/>
        </w:rPr>
        <w:t xml:space="preserve"> set forth</w:t>
      </w:r>
      <w:r>
        <w:rPr>
          <w:rFonts w:ascii="Times New Roman" w:hAnsi="Times New Roman"/>
          <w:color w:val="0000FF"/>
          <w:sz w:val="20"/>
          <w:u w:val="single"/>
          <w:bdr w:val="double" w:sz="2" w:space="1" w:color="000000"/>
        </w:rPr>
        <w:t xml:space="preserve"> therein</w:t>
      </w:r>
      <w:r>
        <w:rPr>
          <w:rFonts w:ascii="Times New Roman" w:hAnsi="Times New Roman"/>
          <w:sz w:val="20"/>
        </w:rPr>
        <w:t xml:space="preserve"> are true to the best of his </w:t>
      </w:r>
      <w:r>
        <w:rPr>
          <w:rFonts w:ascii="Times New Roman" w:hAnsi="Times New Roman"/>
          <w:color w:val="0000FF"/>
          <w:sz w:val="20"/>
          <w:u w:val="single"/>
          <w:bdr w:val="double" w:sz="2" w:space="1" w:color="000000"/>
        </w:rPr>
        <w:t>or her</w:t>
      </w:r>
      <w:r>
        <w:rPr>
          <w:rFonts w:ascii="Times New Roman" w:hAnsi="Times New Roman"/>
          <w:sz w:val="20"/>
        </w:rPr>
        <w:t xml:space="preserve"> knowledge, information</w:t>
      </w:r>
      <w:r>
        <w:rPr>
          <w:rFonts w:ascii="Times New Roman" w:hAnsi="Times New Roman"/>
          <w:color w:val="0000FF"/>
          <w:sz w:val="20"/>
          <w:u w:val="single"/>
          <w:bdr w:val="double" w:sz="2" w:space="1" w:color="000000"/>
        </w:rPr>
        <w:t>,</w:t>
      </w:r>
      <w:r>
        <w:rPr>
          <w:rFonts w:ascii="Times New Roman" w:hAnsi="Times New Roman"/>
          <w:sz w:val="20"/>
        </w:rPr>
        <w:t xml:space="preserve"> and belief.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3"/>
        <w:gridCol w:w="60"/>
        <w:gridCol w:w="3299"/>
      </w:tblGrid>
      <w:tr>
        <w:trPr/>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PRIVATE INCOME FUND</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3"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Brad Allen</w:t>
            </w:r>
          </w:p>
        </w:tc>
      </w:tr>
      <w:tr>
        <w:trPr/>
        <w:tc>
          <w:tcPr>
            <w:tcW w:w="723" w:type="dxa"/>
            <w:tcBorders/>
          </w:tcPr>
          <w:p>
            <w:pPr>
              <w:pStyle w:val="TableContents"/>
              <w:bidi w:val="0"/>
              <w:spacing w:before="0" w:after="283"/>
              <w:jc w:val="left"/>
              <w:rPr>
                <w:strike/>
                <w:color w:val="FF0000"/>
              </w:rPr>
            </w:pPr>
            <w:r>
              <w:rPr>
                <w:strike/>
                <w:color w:val="FF0000"/>
              </w:rPr>
              <w:t xml:space="preserve">Title: </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Treasurer (Principal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NATIONAL GROUP, LLC</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3"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Brad Allen</w:t>
            </w:r>
          </w:p>
        </w:tc>
      </w:tr>
      <w:tr>
        <w:trPr/>
        <w:tc>
          <w:tcPr>
            <w:tcW w:w="723"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Managing Partner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PRIVATE MARKET OPPORTUNITIES IX (Q), LP</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3"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Brad Allen</w:t>
            </w:r>
          </w:p>
        </w:tc>
      </w:tr>
      <w:tr>
        <w:trPr/>
        <w:tc>
          <w:tcPr>
            <w:tcW w:w="723"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PRIVATE MARKET OPPORTUNITIES IX, LP</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3"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Brad Allen</w:t>
            </w:r>
          </w:p>
        </w:tc>
      </w:tr>
      <w:tr>
        <w:trPr/>
        <w:tc>
          <w:tcPr>
            <w:tcW w:w="723"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REAL ESTATE LENDING FUND, LLC</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3"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Brad Allen</w:t>
            </w:r>
          </w:p>
        </w:tc>
      </w:tr>
      <w:tr>
        <w:trPr/>
        <w:tc>
          <w:tcPr>
            <w:tcW w:w="723"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REAL ESTATE INVESTMENT TRUST, LLC</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3"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Brad Allen</w:t>
            </w:r>
          </w:p>
        </w:tc>
      </w:tr>
      <w:tr>
        <w:trPr/>
        <w:tc>
          <w:tcPr>
            <w:tcW w:w="723"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trike/>
                <w:color w:val="FF0000"/>
              </w:rPr>
            </w:pPr>
            <w:r>
              <w:rPr>
                <w:strike/>
                <w:color w:val="FF0000"/>
              </w:rPr>
              <w:t>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73"/>
        <w:gridCol w:w="73"/>
        <w:gridCol w:w="735"/>
        <w:gridCol w:w="65"/>
        <w:gridCol w:w="2736"/>
      </w:tblGrid>
      <w:tr>
        <w:trPr/>
        <w:tc>
          <w:tcPr>
            <w:tcW w:w="473"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CORPORATION</w:t>
            </w:r>
          </w:p>
        </w:tc>
      </w:tr>
      <w:tr>
        <w:trPr>
          <w:trHeight w:val="240" w:hRule="atLeast"/>
        </w:trPr>
        <w:tc>
          <w:tcPr>
            <w:tcW w:w="473" w:type="dxa"/>
            <w:tcBorders/>
            <w:vAlign w:val="center"/>
          </w:tcPr>
          <w:p>
            <w:pPr>
              <w:pStyle w:val="TableContents"/>
              <w:bidi w:val="0"/>
              <w:spacing w:before="0" w:after="283"/>
              <w:jc w:val="left"/>
              <w:rPr>
                <w:sz w:val="4"/>
                <w:szCs w:val="4"/>
              </w:rPr>
            </w:pPr>
            <w:r>
              <w:rPr>
                <w:sz w:val="4"/>
                <w:szCs w:val="4"/>
              </w:rPr>
            </w:r>
          </w:p>
        </w:tc>
        <w:tc>
          <w:tcPr>
            <w:tcW w:w="3609" w:type="dxa"/>
            <w:gridSpan w:val="4"/>
            <w:tcBorders/>
            <w:vAlign w:val="center"/>
          </w:tcPr>
          <w:p>
            <w:pPr>
              <w:pStyle w:val="TableContents"/>
              <w:bidi w:val="0"/>
              <w:spacing w:before="0" w:after="283"/>
              <w:jc w:val="left"/>
              <w:rPr>
                <w:sz w:val="4"/>
                <w:szCs w:val="4"/>
              </w:rPr>
            </w:pPr>
            <w:r>
              <w:rPr>
                <w:sz w:val="4"/>
                <w:szCs w:val="4"/>
              </w:rPr>
            </w:r>
          </w:p>
        </w:tc>
      </w:tr>
      <w:tr>
        <w:trPr/>
        <w:tc>
          <w:tcPr>
            <w:tcW w:w="473"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73" w:type="dxa"/>
            <w:tcBorders/>
            <w:vAlign w:val="bottom"/>
          </w:tcPr>
          <w:p>
            <w:pPr>
              <w:pStyle w:val="TableContents"/>
              <w:bidi w:val="0"/>
              <w:spacing w:before="0" w:after="283"/>
              <w:jc w:val="left"/>
              <w:rPr/>
            </w:pPr>
            <w:r>
              <w:rPr/>
              <w:t> </w:t>
            </w:r>
          </w:p>
        </w:tc>
        <w:tc>
          <w:tcPr>
            <w:tcW w:w="3536"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473"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5" w:type="dxa"/>
            <w:tcBorders/>
            <w:vAlign w:val="bottom"/>
          </w:tcPr>
          <w:p>
            <w:pPr>
              <w:pStyle w:val="TableContents"/>
              <w:bidi w:val="0"/>
              <w:spacing w:before="0" w:after="283"/>
              <w:jc w:val="left"/>
              <w:rPr/>
            </w:pPr>
            <w:r>
              <w:rPr/>
              <w:t> </w:t>
            </w:r>
          </w:p>
        </w:tc>
        <w:tc>
          <w:tcPr>
            <w:tcW w:w="273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473"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5" w:type="dxa"/>
            <w:tcBorders/>
            <w:vAlign w:val="bottom"/>
          </w:tcPr>
          <w:p>
            <w:pPr>
              <w:pStyle w:val="TableContents"/>
              <w:bidi w:val="0"/>
              <w:spacing w:before="0" w:after="283"/>
              <w:jc w:val="left"/>
              <w:rPr/>
            </w:pPr>
            <w:r>
              <w:rPr/>
              <w:t> </w:t>
            </w:r>
          </w:p>
        </w:tc>
        <w:tc>
          <w:tcPr>
            <w:tcW w:w="273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Chief Executive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ADVISORS, LLC</w:t>
            </w:r>
          </w:p>
        </w:tc>
      </w:tr>
      <w:tr>
        <w:trPr>
          <w:trHeight w:val="240" w:hRule="atLeast"/>
        </w:trPr>
        <w:tc>
          <w:tcPr>
            <w:tcW w:w="473" w:type="dxa"/>
            <w:tcBorders/>
            <w:vAlign w:val="center"/>
          </w:tcPr>
          <w:p>
            <w:pPr>
              <w:pStyle w:val="TableContents"/>
              <w:bidi w:val="0"/>
              <w:spacing w:before="0" w:after="283"/>
              <w:jc w:val="left"/>
              <w:rPr>
                <w:sz w:val="4"/>
                <w:szCs w:val="4"/>
              </w:rPr>
            </w:pPr>
            <w:r>
              <w:rPr>
                <w:sz w:val="4"/>
                <w:szCs w:val="4"/>
              </w:rPr>
            </w:r>
          </w:p>
        </w:tc>
        <w:tc>
          <w:tcPr>
            <w:tcW w:w="3609" w:type="dxa"/>
            <w:gridSpan w:val="4"/>
            <w:tcBorders/>
            <w:vAlign w:val="center"/>
          </w:tcPr>
          <w:p>
            <w:pPr>
              <w:pStyle w:val="TableContents"/>
              <w:bidi w:val="0"/>
              <w:spacing w:before="0" w:after="283"/>
              <w:jc w:val="left"/>
              <w:rPr>
                <w:sz w:val="4"/>
                <w:szCs w:val="4"/>
              </w:rPr>
            </w:pPr>
            <w:r>
              <w:rPr>
                <w:sz w:val="4"/>
                <w:szCs w:val="4"/>
              </w:rPr>
            </w:r>
          </w:p>
        </w:tc>
      </w:tr>
      <w:tr>
        <w:trPr/>
        <w:tc>
          <w:tcPr>
            <w:tcW w:w="473"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73" w:type="dxa"/>
            <w:tcBorders/>
            <w:vAlign w:val="bottom"/>
          </w:tcPr>
          <w:p>
            <w:pPr>
              <w:pStyle w:val="TableContents"/>
              <w:bidi w:val="0"/>
              <w:spacing w:before="0" w:after="283"/>
              <w:jc w:val="left"/>
              <w:rPr/>
            </w:pPr>
            <w:r>
              <w:rPr/>
              <w:t> </w:t>
            </w:r>
          </w:p>
        </w:tc>
        <w:tc>
          <w:tcPr>
            <w:tcW w:w="3536"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473"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5" w:type="dxa"/>
            <w:tcBorders/>
            <w:vAlign w:val="bottom"/>
          </w:tcPr>
          <w:p>
            <w:pPr>
              <w:pStyle w:val="TableContents"/>
              <w:bidi w:val="0"/>
              <w:spacing w:before="0" w:after="283"/>
              <w:jc w:val="left"/>
              <w:rPr/>
            </w:pPr>
            <w:r>
              <w:rPr/>
              <w:t> </w:t>
            </w:r>
          </w:p>
        </w:tc>
        <w:tc>
          <w:tcPr>
            <w:tcW w:w="273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473"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5" w:type="dxa"/>
            <w:tcBorders/>
            <w:vAlign w:val="bottom"/>
          </w:tcPr>
          <w:p>
            <w:pPr>
              <w:pStyle w:val="TableContents"/>
              <w:bidi w:val="0"/>
              <w:spacing w:before="0" w:after="283"/>
              <w:jc w:val="left"/>
              <w:rPr/>
            </w:pPr>
            <w:r>
              <w:rPr/>
              <w:t> </w:t>
            </w:r>
          </w:p>
        </w:tc>
        <w:tc>
          <w:tcPr>
            <w:tcW w:w="273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Chief Executive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WHOLLY-OWNED SUBSIDIARIES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IV, L.P.</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FIC FUNDING, LLC</w:t>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HOLDINGS,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2"/>
        <w:gridCol w:w="60"/>
        <w:gridCol w:w="686"/>
        <w:gridCol w:w="60"/>
        <w:gridCol w:w="2914"/>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AFFILIATED FUNDS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CREDIT OPPORTUNITIES, L.P.</w:t>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EQUITY OPPORTUNITIES FUND, L.P.</w:t>
            </w:r>
          </w:p>
        </w:tc>
      </w:tr>
      <w:tr>
        <w:trPr/>
        <w:tc>
          <w:tcPr>
            <w:tcW w:w="4082" w:type="dxa"/>
            <w:gridSpan w:val="5"/>
            <w:tcBorders/>
          </w:tcPr>
          <w:p>
            <w:pPr>
              <w:pStyle w:val="TableContents"/>
              <w:bidi w:val="0"/>
              <w:spacing w:before="0" w:after="283"/>
              <w:jc w:val="left"/>
              <w:rPr>
                <w:strike/>
                <w:color w:val="FF0000"/>
              </w:rPr>
            </w:pPr>
            <w:r>
              <w:rPr>
                <w:strike/>
                <w:color w:val="FF0000"/>
              </w:rPr>
              <w:t>EXHIBIT A</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strike/>
                <w:color w:val="FF0000"/>
              </w:rPr>
            </w:pPr>
            <w:r>
              <w:rPr>
                <w:strike/>
                <w:color w:val="FF0000"/>
              </w:rPr>
              <w:t>Resolutions Adopted by the Board of Trustees of Keystone Private Income Fund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trike/>
          <w:color w:val="FF0000"/>
          <w:sz w:val="20"/>
        </w:rPr>
        <w:t>Approval of Filing Section 17(d) Application for Co-Investment Relief</w:t>
      </w:r>
      <w:r>
        <w:rPr>
          <w:rFonts w:ascii="Times New Roman" w:hAnsi="Times New Roman"/>
          <w:i/>
          <w:sz w:val="20"/>
        </w:rPr>
        <w:t xml:space="preserve"> </w:t>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B</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Resolutions of the Board of Directors (the “Board”) of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Fidus Investment Corporation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w:t>
      </w:r>
      <w:r>
        <w:rPr>
          <w:rFonts w:ascii="Times New Roman" w:hAnsi="Times New Roman"/>
          <w:strike/>
          <w:color w:val="FF0000"/>
          <w:sz w:val="20"/>
        </w:rPr>
        <w:t xml:space="preserve"> of Trustees of the Keystone Private Income Fund (the “Fund”) deems it is</w:t>
      </w:r>
      <w:r>
        <w:rPr>
          <w:rFonts w:ascii="Times New Roman" w:hAnsi="Times New Roman"/>
          <w:strike/>
          <w:color w:val="008000"/>
          <w:sz w:val="20"/>
        </w:rPr>
        <w:t xml:space="preserve"> advisable and in the best interest of the</w:t>
      </w:r>
      <w:r>
        <w:rPr>
          <w:rFonts w:ascii="Times New Roman" w:hAnsi="Times New Roman"/>
          <w:strike/>
          <w:color w:val="FF0000"/>
          <w:sz w:val="20"/>
        </w:rPr>
        <w:t xml:space="preserve"> Fund to file with</w:t>
      </w:r>
      <w:r>
        <w:rPr>
          <w:rFonts w:ascii="Times New Roman" w:hAnsi="Times New Roman"/>
          <w:color w:val="0000FF"/>
          <w:sz w:val="20"/>
          <w:u w:val="single"/>
          <w:bdr w:val="double" w:sz="2" w:space="1" w:color="000000"/>
        </w:rPr>
        <w:t xml:space="preserve"> has reviewed the Co-Investment Exemptive Application (the “</w:t>
      </w:r>
      <w:r>
        <w:rPr>
          <w:rFonts w:ascii="Times New Roman" w:hAnsi="Times New Roman"/>
          <w:b/>
          <w:i/>
          <w:color w:val="0000FF"/>
          <w:sz w:val="20"/>
          <w:u w:val="single"/>
          <w:bdr w:val="double" w:sz="2" w:space="1" w:color="000000"/>
        </w:rPr>
        <w:t>Exemptive Application</w:t>
      </w:r>
      <w:r>
        <w:rPr>
          <w:rFonts w:ascii="Times New Roman" w:hAnsi="Times New Roman"/>
          <w:color w:val="0000FF"/>
          <w:sz w:val="20"/>
          <w:u w:val="single"/>
          <w:bdr w:val="double" w:sz="2" w:space="1" w:color="000000"/>
        </w:rPr>
        <w:t>”), a copy of which is</w:t>
      </w:r>
      <w:r>
        <w:rPr>
          <w:rFonts w:ascii="Times New Roman" w:hAnsi="Times New Roman"/>
          <w:color w:val="008000"/>
          <w:sz w:val="20"/>
          <w:u w:val="single"/>
          <w:bdr w:val="double" w:sz="2" w:space="1" w:color="000000"/>
        </w:rPr>
        <w:t xml:space="preserve"> attached hereto as Exhibit A,</w:t>
      </w:r>
      <w:r>
        <w:rPr>
          <w:rFonts w:ascii="Times New Roman" w:hAnsi="Times New Roman"/>
          <w:color w:val="0000FF"/>
          <w:sz w:val="20"/>
          <w:u w:val="single"/>
          <w:bdr w:val="double" w:sz="2" w:space="1" w:color="000000"/>
        </w:rPr>
        <w:t xml:space="preserve"> for an order of</w:t>
      </w:r>
      <w:r>
        <w:rPr>
          <w:rFonts w:ascii="Times New Roman" w:hAnsi="Times New Roman"/>
          <w:sz w:val="20"/>
        </w:rPr>
        <w:t xml:space="preserve"> the U.S. Securities and Exchange Commission (the “</w:t>
      </w:r>
      <w:r>
        <w:rPr>
          <w:rFonts w:ascii="Times New Roman" w:hAnsi="Times New Roman"/>
          <w:strike/>
          <w:color w:val="FF0000"/>
          <w:sz w:val="20"/>
        </w:rPr>
        <w:t>Commission”) an application for an order</w:t>
      </w:r>
      <w:r>
        <w:rPr>
          <w:rFonts w:ascii="Times New Roman" w:hAnsi="Times New Roman"/>
          <w:b/>
          <w:i/>
          <w:color w:val="0000FF"/>
          <w:sz w:val="20"/>
          <w:u w:val="single"/>
          <w:bdr w:val="double" w:sz="2" w:space="1" w:color="000000"/>
        </w:rPr>
        <w:t>SEC</w:t>
      </w:r>
      <w:r>
        <w:rPr>
          <w:rFonts w:ascii="Times New Roman" w:hAnsi="Times New Roman"/>
          <w:color w:val="0000FF"/>
          <w:sz w:val="20"/>
          <w:u w:val="single"/>
          <w:bdr w:val="double" w:sz="2" w:space="1" w:color="000000"/>
        </w:rPr>
        <w:t>”)</w:t>
      </w:r>
      <w:r>
        <w:rPr>
          <w:rFonts w:ascii="Times New Roman" w:hAnsi="Times New Roman"/>
          <w:sz w:val="20"/>
        </w:rPr>
        <w:t xml:space="preserve"> pursuant to Sections 17(d) and 57(i) of the Investment Company Act of 1940, as amended (the “</w:t>
      </w:r>
      <w:r>
        <w:rPr>
          <w:rFonts w:ascii="Times New Roman" w:hAnsi="Times New Roman"/>
          <w:b/>
          <w:i/>
          <w:sz w:val="20"/>
        </w:rPr>
        <w:t>1940 Act</w:t>
      </w:r>
      <w:r>
        <w:rPr>
          <w:rFonts w:ascii="Times New Roman" w:hAnsi="Times New Roman"/>
          <w:sz w:val="20"/>
        </w:rPr>
        <w:t xml:space="preserve">”), and Rule 17d-1 </w:t>
      </w:r>
      <w:r>
        <w:rPr>
          <w:rFonts w:ascii="Times New Roman" w:hAnsi="Times New Roman"/>
          <w:strike/>
          <w:color w:val="FF0000"/>
          <w:sz w:val="20"/>
        </w:rPr>
        <w:t>promulgated</w:t>
      </w:r>
      <w:r>
        <w:rPr>
          <w:rFonts w:ascii="Times New Roman" w:hAnsi="Times New Roman"/>
          <w:sz w:val="20"/>
        </w:rPr>
        <w:t xml:space="preserve"> thereunder </w:t>
      </w:r>
      <w:r>
        <w:rPr>
          <w:rFonts w:ascii="Times New Roman" w:hAnsi="Times New Roman"/>
          <w:strike/>
          <w:color w:val="FF0000"/>
          <w:sz w:val="20"/>
        </w:rPr>
        <w:t>(the “Application”), to authorize the entering into of</w:t>
      </w:r>
      <w:r>
        <w:rPr>
          <w:rFonts w:ascii="Times New Roman" w:hAnsi="Times New Roman"/>
          <w:color w:val="0000FF"/>
          <w:sz w:val="20"/>
          <w:u w:val="single"/>
          <w:bdr w:val="double" w:sz="2" w:space="1" w:color="000000"/>
        </w:rPr>
        <w:t>permitting</w:t>
      </w:r>
      <w:r>
        <w:rPr>
          <w:rFonts w:ascii="Times New Roman" w:hAnsi="Times New Roman"/>
          <w:sz w:val="20"/>
        </w:rPr>
        <w:t xml:space="preserve"> certain joint transactions that otherwise may be prohibited by Sections 17(d) and 57(a)(4) of the 1940 Act and Rule 17d-1</w:t>
      </w:r>
      <w:r>
        <w:rPr>
          <w:rFonts w:ascii="Times New Roman" w:hAnsi="Times New Roman"/>
          <w:strike/>
          <w:color w:val="FF0000"/>
          <w:sz w:val="20"/>
        </w:rPr>
        <w:t xml:space="preserve"> promulgated</w:t>
      </w:r>
      <w:r>
        <w:rPr>
          <w:rFonts w:ascii="Times New Roman" w:hAnsi="Times New Roman"/>
          <w:sz w:val="20"/>
        </w:rPr>
        <w:t xml:space="preserve"> thereunder</w:t>
      </w:r>
      <w:r>
        <w:rPr>
          <w:rFonts w:ascii="Times New Roman" w:hAnsi="Times New Roman"/>
          <w:strike/>
          <w:color w:val="FF0000"/>
          <w:sz w:val="20"/>
        </w:rPr>
        <w:t>,</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WHEREAS</w:t>
      </w:r>
      <w:r>
        <w:rPr>
          <w:rFonts w:ascii="Times New Roman" w:hAnsi="Times New Roman"/>
          <w:color w:val="0000FF"/>
          <w:sz w:val="20"/>
          <w:u w:val="single"/>
          <w:bdr w:val="double" w:sz="2" w:space="1" w:color="000000"/>
        </w:rPr>
        <w:t>, the Board deems it</w:t>
      </w:r>
      <w:r>
        <w:rPr>
          <w:rFonts w:ascii="Times New Roman" w:hAnsi="Times New Roman"/>
          <w:color w:val="008000"/>
          <w:sz w:val="20"/>
          <w:u w:val="single"/>
          <w:bdr w:val="double" w:sz="2" w:space="1" w:color="000000"/>
        </w:rPr>
        <w:t xml:space="preserve"> advisable and in the best interest of the</w:t>
      </w:r>
      <w:r>
        <w:rPr>
          <w:rFonts w:ascii="Times New Roman" w:hAnsi="Times New Roman"/>
          <w:color w:val="0000FF"/>
          <w:sz w:val="20"/>
          <w:u w:val="single"/>
          <w:bdr w:val="double" w:sz="2" w:space="1" w:color="000000"/>
        </w:rPr>
        <w:t xml:space="preserve"> Company that the Company file the Exemptive Application.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w:t>
      </w:r>
      <w:r>
        <w:rPr>
          <w:rFonts w:ascii="Times New Roman" w:hAnsi="Times New Roman"/>
          <w:strike/>
          <w:color w:val="FF0000"/>
          <w:sz w:val="20"/>
        </w:rPr>
        <w:t>officers of Keystone National Group, LLC and the Fund be, and each of them</w:t>
      </w:r>
      <w:r>
        <w:rPr>
          <w:rFonts w:ascii="Times New Roman" w:hAnsi="Times New Roman"/>
          <w:color w:val="0000FF"/>
          <w:sz w:val="20"/>
          <w:u w:val="single"/>
          <w:bdr w:val="double" w:sz="2" w:space="1" w:color="000000"/>
        </w:rPr>
        <w:t>Board shall be, and</w:t>
      </w:r>
      <w:r>
        <w:rPr>
          <w:rFonts w:ascii="Times New Roman" w:hAnsi="Times New Roman"/>
          <w:sz w:val="20"/>
        </w:rPr>
        <w:t xml:space="preserve"> hereby is,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w:t>
      </w:r>
      <w:r>
        <w:rPr>
          <w:rFonts w:ascii="Times New Roman" w:hAnsi="Times New Roman"/>
          <w:strike/>
          <w:color w:val="FF0000"/>
          <w:sz w:val="20"/>
        </w:rPr>
        <w:t xml:space="preserve"> on behalf of</w:t>
      </w:r>
      <w:r>
        <w:rPr>
          <w:rFonts w:ascii="Times New Roman" w:hAnsi="Times New Roman"/>
          <w:color w:val="0000FF"/>
          <w:sz w:val="20"/>
          <w:u w:val="single"/>
          <w:bdr w:val="double" w:sz="2" w:space="1" w:color="000000"/>
        </w:rPr>
        <w:t>, in</w:t>
      </w:r>
      <w:r>
        <w:rPr>
          <w:rFonts w:ascii="Times New Roman" w:hAnsi="Times New Roman"/>
          <w:sz w:val="20"/>
        </w:rPr>
        <w:t xml:space="preserve"> the </w:t>
      </w:r>
      <w:r>
        <w:rPr>
          <w:rFonts w:ascii="Times New Roman" w:hAnsi="Times New Roman"/>
          <w:strike/>
          <w:color w:val="FF0000"/>
          <w:sz w:val="20"/>
        </w:rPr>
        <w:t>Fund and in its</w:t>
      </w:r>
      <w:r>
        <w:rPr>
          <w:rFonts w:ascii="Times New Roman" w:hAnsi="Times New Roman"/>
          <w:sz w:val="20"/>
        </w:rPr>
        <w:t xml:space="preserve"> name and on behalf of the</w:t>
      </w:r>
      <w:r>
        <w:rPr>
          <w:rFonts w:ascii="Times New Roman" w:hAnsi="Times New Roman"/>
          <w:strike/>
          <w:color w:val="FF0000"/>
          <w:sz w:val="20"/>
        </w:rPr>
        <w:t xml:space="preserve"> Fund</w:t>
      </w:r>
      <w:r>
        <w:rPr>
          <w:rFonts w:ascii="Times New Roman" w:hAnsi="Times New Roman"/>
          <w:color w:val="0000FF"/>
          <w:sz w:val="20"/>
          <w:u w:val="single"/>
          <w:bdr w:val="double" w:sz="2" w:space="1" w:color="000000"/>
        </w:rPr>
        <w:t>Company</w:t>
      </w:r>
      <w:r>
        <w:rPr>
          <w:rFonts w:ascii="Times New Roman" w:hAnsi="Times New Roman"/>
          <w:sz w:val="20"/>
        </w:rPr>
        <w:t xml:space="preserve">, to </w:t>
      </w:r>
      <w:r>
        <w:rPr>
          <w:rFonts w:ascii="Times New Roman" w:hAnsi="Times New Roman"/>
          <w:strike/>
          <w:color w:val="FF0000"/>
          <w:sz w:val="20"/>
        </w:rPr>
        <w:t>prepare, execute, and</w:t>
      </w:r>
      <w:r>
        <w:rPr>
          <w:rFonts w:ascii="Times New Roman" w:hAnsi="Times New Roman"/>
          <w:sz w:val="20"/>
        </w:rPr>
        <w:t xml:space="preserve"> cause to be </w:t>
      </w:r>
      <w:r>
        <w:rPr>
          <w:rFonts w:ascii="Times New Roman" w:hAnsi="Times New Roman"/>
          <w:color w:val="0000FF"/>
          <w:sz w:val="20"/>
          <w:u w:val="single"/>
          <w:bdr w:val="double" w:sz="2" w:space="1" w:color="000000"/>
        </w:rPr>
        <w:t>executed, delivered and</w:t>
      </w:r>
      <w:r>
        <w:rPr>
          <w:rFonts w:ascii="Times New Roman" w:hAnsi="Times New Roman"/>
          <w:sz w:val="20"/>
        </w:rPr>
        <w:t xml:space="preserve"> filed with the </w:t>
      </w:r>
      <w:r>
        <w:rPr>
          <w:rFonts w:ascii="Times New Roman" w:hAnsi="Times New Roman"/>
          <w:strike/>
          <w:color w:val="FF0000"/>
          <w:sz w:val="20"/>
        </w:rPr>
        <w:t>Commission an Application for an Order of Exemption, substantially in the form</w:t>
      </w:r>
      <w:r>
        <w:rPr>
          <w:rFonts w:ascii="Times New Roman" w:hAnsi="Times New Roman"/>
          <w:strike/>
          <w:color w:val="008000"/>
          <w:sz w:val="20"/>
        </w:rPr>
        <w:t xml:space="preserve"> attached hereto as Exhibit A,</w:t>
      </w:r>
      <w:r>
        <w:rPr>
          <w:rFonts w:ascii="Times New Roman" w:hAnsi="Times New Roman"/>
          <w:strike/>
          <w:color w:val="FF0000"/>
          <w:sz w:val="20"/>
        </w:rPr>
        <w:t xml:space="preserve"> and any amendments thereto, pursuant to Section 17(d) of the 1940 Act, and Rule 17d-1 promulgated under the 1940 Act, authorizing certain joint transactions that otherwise may be prohibited by Section 17(d) of the 1940 Act; and it is further</w:t>
      </w:r>
      <w:r>
        <w:rPr>
          <w:rFonts w:ascii="Times New Roman" w:hAnsi="Times New Roman"/>
          <w:color w:val="0000FF"/>
          <w:sz w:val="20"/>
          <w:u w:val="single"/>
          <w:bdr w:val="double" w:sz="2" w:space="1" w:color="000000"/>
        </w:rPr>
        <w:t>SEC the Exemptive Application, in substantially the form provided to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that the</w:t>
      </w:r>
      <w:r>
        <w:rPr>
          <w:rFonts w:ascii="Times New Roman" w:hAnsi="Times New Roman"/>
          <w:strike/>
          <w:color w:val="FF0000"/>
          <w:sz w:val="20"/>
        </w:rPr>
        <w:t xml:space="preserve"> officers of the Fund be, and each of them</w:t>
      </w:r>
      <w:r>
        <w:rPr>
          <w:rFonts w:ascii="Times New Roman" w:hAnsi="Times New Roman"/>
          <w:color w:val="0000FF"/>
          <w:sz w:val="20"/>
          <w:u w:val="single"/>
          <w:bdr w:val="double" w:sz="2" w:space="1" w:color="000000"/>
        </w:rPr>
        <w:t>Authorized Officers (as defined below) shall be, and</w:t>
      </w:r>
      <w:r>
        <w:rPr>
          <w:rFonts w:ascii="Times New Roman" w:hAnsi="Times New Roman"/>
          <w:sz w:val="20"/>
        </w:rPr>
        <w:t xml:space="preserve"> hereby</w:t>
      </w:r>
      <w:r>
        <w:rPr>
          <w:rFonts w:ascii="Times New Roman" w:hAnsi="Times New Roman"/>
          <w:strike/>
          <w:color w:val="FF0000"/>
          <w:sz w:val="20"/>
        </w:rPr>
        <w:t xml:space="preserve"> is</w:t>
      </w:r>
      <w:r>
        <w:rPr>
          <w:rFonts w:ascii="Times New Roman" w:hAnsi="Times New Roman"/>
          <w:color w:val="0000FF"/>
          <w:sz w:val="20"/>
          <w:u w:val="single"/>
          <w:bdr w:val="double" w:sz="2" w:space="1" w:color="000000"/>
        </w:rPr>
        <w:t>are</w:t>
      </w:r>
      <w:r>
        <w:rPr>
          <w:rFonts w:ascii="Times New Roman" w:hAnsi="Times New Roman"/>
          <w:sz w:val="20"/>
        </w:rPr>
        <w:t>,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w:t>
      </w:r>
      <w:r>
        <w:rPr>
          <w:rFonts w:ascii="Times New Roman" w:hAnsi="Times New Roman"/>
          <w:strike/>
          <w:color w:val="FF0000"/>
          <w:sz w:val="20"/>
        </w:rPr>
        <w:t xml:space="preserve"> to take such further action and execute such other documents as such officer or officers shall deem necessary or advisable</w:t>
      </w:r>
      <w:r>
        <w:rPr>
          <w:rFonts w:ascii="Times New Roman" w:hAnsi="Times New Roman"/>
          <w:color w:val="0000FF"/>
          <w:sz w:val="20"/>
          <w:u w:val="single"/>
          <w:bdr w:val="double" w:sz="2" w:space="1" w:color="000000"/>
        </w:rPr>
        <w:t>, in the name and on behalf of the Company, to cause to be made, executed, delivered and filed with the SEC any amendments to the Exemptive Application, together with such exhibits and other documents thereto, as are satisfactory in form and substance to counsel to the Company</w:t>
      </w:r>
      <w:r>
        <w:rPr>
          <w:rFonts w:ascii="Times New Roman" w:hAnsi="Times New Roman"/>
          <w:sz w:val="20"/>
        </w:rPr>
        <w:t xml:space="preserve"> in order to effectuate the </w:t>
      </w:r>
      <w:r>
        <w:rPr>
          <w:rFonts w:ascii="Times New Roman" w:hAnsi="Times New Roman"/>
          <w:strike/>
          <w:color w:val="FF0000"/>
          <w:sz w:val="20"/>
        </w:rPr>
        <w:t>intent of the</w:t>
      </w:r>
      <w:r>
        <w:rPr>
          <w:rFonts w:ascii="Times New Roman" w:hAnsi="Times New Roman"/>
          <w:sz w:val="20"/>
        </w:rPr>
        <w:t xml:space="preserve"> foregoing </w:t>
      </w:r>
      <w:r>
        <w:rPr>
          <w:rFonts w:ascii="Times New Roman" w:hAnsi="Times New Roman"/>
          <w:strike/>
          <w:color w:val="FF0000"/>
          <w:sz w:val="20"/>
        </w:rPr>
        <w:t>resolution; and it is further</w:t>
      </w:r>
      <w:r>
        <w:rPr>
          <w:rFonts w:ascii="Times New Roman" w:hAnsi="Times New Roman"/>
          <w:color w:val="0000FF"/>
          <w:sz w:val="20"/>
          <w:u w:val="single"/>
          <w:bdr w:val="double" w:sz="2" w:space="1" w:color="000000"/>
        </w:rPr>
        <w:t>, such determination to be conclusively evidenced by the taking of any such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xml:space="preserve">, that </w:t>
      </w:r>
      <w:r>
        <w:rPr>
          <w:rFonts w:ascii="Times New Roman" w:hAnsi="Times New Roman"/>
          <w:strike/>
          <w:color w:val="FF0000"/>
          <w:sz w:val="20"/>
        </w:rPr>
        <w:t>any and all actions previously taken by the Fund or any of its trustees or officers</w:t>
      </w:r>
      <w:r>
        <w:rPr>
          <w:rFonts w:ascii="Times New Roman" w:hAnsi="Times New Roman"/>
          <w:color w:val="0000FF"/>
          <w:sz w:val="20"/>
          <w:u w:val="single"/>
          <w:bdr w:val="double" w:sz="2" w:space="1" w:color="000000"/>
        </w:rPr>
        <w:t>all acts and things previously done by the Authorized Officers, on or prior to the date hereof, in the name and on behalf of the Company</w:t>
      </w:r>
      <w:r>
        <w:rPr>
          <w:rFonts w:ascii="Times New Roman" w:hAnsi="Times New Roman"/>
          <w:sz w:val="20"/>
        </w:rPr>
        <w:t xml:space="preserve"> in connection with the </w:t>
      </w:r>
      <w:r>
        <w:rPr>
          <w:rFonts w:ascii="Times New Roman" w:hAnsi="Times New Roman"/>
          <w:strike/>
          <w:color w:val="FF0000"/>
          <w:sz w:val="20"/>
        </w:rPr>
        <w:t>actions contemplated by the</w:t>
      </w:r>
      <w:r>
        <w:rPr>
          <w:rFonts w:ascii="Times New Roman" w:hAnsi="Times New Roman"/>
          <w:sz w:val="20"/>
        </w:rPr>
        <w:t xml:space="preserve"> foregoing resolutions </w:t>
      </w:r>
      <w:r>
        <w:rPr>
          <w:rFonts w:ascii="Times New Roman" w:hAnsi="Times New Roman"/>
          <w:strike/>
          <w:color w:val="FF0000"/>
          <w:sz w:val="20"/>
        </w:rPr>
        <w:t>be, and each of them hereby is</w:t>
      </w:r>
      <w:r>
        <w:rPr>
          <w:rFonts w:ascii="Times New Roman" w:hAnsi="Times New Roman"/>
          <w:color w:val="0000FF"/>
          <w:sz w:val="20"/>
          <w:u w:val="single"/>
          <w:bdr w:val="double" w:sz="2" w:space="1" w:color="000000"/>
        </w:rPr>
        <w:t>are in all respects authorized</w:t>
      </w:r>
      <w:r>
        <w:rPr>
          <w:rFonts w:ascii="Times New Roman" w:hAnsi="Times New Roman"/>
          <w:sz w:val="20"/>
        </w:rPr>
        <w:t xml:space="preserve">, ratified, </w:t>
      </w:r>
      <w:r>
        <w:rPr>
          <w:rFonts w:ascii="Times New Roman" w:hAnsi="Times New Roman"/>
          <w:strike/>
          <w:color w:val="FF0000"/>
          <w:sz w:val="20"/>
        </w:rPr>
        <w:t>confirmed,</w:t>
      </w:r>
      <w:r>
        <w:rPr>
          <w:rFonts w:ascii="Times New Roman" w:hAnsi="Times New Roman"/>
          <w:sz w:val="20"/>
        </w:rPr>
        <w:t xml:space="preserve"> approved</w:t>
      </w:r>
      <w:r>
        <w:rPr>
          <w:rFonts w:ascii="Times New Roman" w:hAnsi="Times New Roman"/>
          <w:color w:val="0000FF"/>
          <w:sz w:val="20"/>
          <w:u w:val="single"/>
          <w:bdr w:val="double" w:sz="2" w:space="1" w:color="000000"/>
        </w:rPr>
        <w:t>, confirmed</w:t>
      </w:r>
      <w:r>
        <w:rPr>
          <w:rFonts w:ascii="Times New Roman" w:hAnsi="Times New Roman"/>
          <w:sz w:val="20"/>
        </w:rPr>
        <w:t xml:space="preserve"> and adopted</w:t>
      </w:r>
      <w:r>
        <w:rPr>
          <w:rFonts w:ascii="Times New Roman" w:hAnsi="Times New Roman"/>
          <w:strike/>
          <w:color w:val="FF0000"/>
          <w:sz w:val="20"/>
        </w:rPr>
        <w:t xml:space="preserve"> in all respects</w:t>
      </w:r>
      <w:r>
        <w:rPr>
          <w:rFonts w:ascii="Times New Roman" w:hAnsi="Times New Roman"/>
          <w:sz w:val="20"/>
        </w:rPr>
        <w:t xml:space="preserve"> as</w:t>
      </w:r>
      <w:r>
        <w:rPr>
          <w:rFonts w:ascii="Times New Roman" w:hAnsi="Times New Roman"/>
          <w:strike/>
          <w:color w:val="FF0000"/>
          <w:sz w:val="20"/>
        </w:rPr>
        <w:t xml:space="preserve"> and for</w:t>
      </w:r>
      <w:r>
        <w:rPr>
          <w:rFonts w:ascii="Times New Roman" w:hAnsi="Times New Roman"/>
          <w:sz w:val="20"/>
        </w:rPr>
        <w:t xml:space="preserve"> the acts and deeds</w:t>
      </w:r>
      <w:r>
        <w:rPr>
          <w:rFonts w:ascii="Times New Roman" w:hAnsi="Times New Roman"/>
          <w:color w:val="0000FF"/>
          <w:sz w:val="20"/>
          <w:u w:val="single"/>
          <w:bdr w:val="double" w:sz="2" w:space="1" w:color="000000"/>
        </w:rPr>
        <w:t xml:space="preserve"> by and on behalf</w:t>
      </w:r>
      <w:r>
        <w:rPr>
          <w:rFonts w:ascii="Times New Roman" w:hAnsi="Times New Roman"/>
          <w:sz w:val="20"/>
        </w:rPr>
        <w:t xml:space="preserve"> of the</w:t>
      </w:r>
      <w:r>
        <w:rPr>
          <w:rFonts w:ascii="Times New Roman" w:hAnsi="Times New Roman"/>
          <w:strike/>
          <w:color w:val="FF0000"/>
          <w:sz w:val="20"/>
        </w:rPr>
        <w:t xml:space="preserve"> Fund.</w:t>
      </w:r>
      <w:r>
        <w:rPr>
          <w:rFonts w:ascii="Times New Roman" w:hAnsi="Times New Roman"/>
          <w:color w:val="0000FF"/>
          <w:sz w:val="20"/>
          <w:u w:val="single"/>
          <w:bdr w:val="double" w:sz="2" w:space="1" w:color="000000"/>
        </w:rPr>
        <w:t>Company;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 RESOLVED</w:t>
      </w:r>
      <w:r>
        <w:rPr>
          <w:rFonts w:ascii="Times New Roman" w:hAnsi="Times New Roman"/>
          <w:color w:val="0000FF"/>
          <w:sz w:val="20"/>
          <w:u w:val="single"/>
          <w:bdr w:val="double" w:sz="2" w:space="1" w:color="000000"/>
        </w:rPr>
        <w:t>, that each of Chief Executive Officer and Chief Financial Officer of the Company (the “</w:t>
      </w:r>
      <w:r>
        <w:rPr>
          <w:rFonts w:ascii="Times New Roman" w:hAnsi="Times New Roman"/>
          <w:b/>
          <w:i/>
          <w:color w:val="0000FF"/>
          <w:sz w:val="20"/>
          <w:u w:val="single"/>
          <w:bdr w:val="double" w:sz="2" w:space="1" w:color="000000"/>
        </w:rPr>
        <w:t>Authorized Officers</w:t>
      </w:r>
      <w:r>
        <w:rPr>
          <w:rFonts w:ascii="Times New Roman" w:hAnsi="Times New Roman"/>
          <w:color w:val="0000FF"/>
          <w:sz w:val="20"/>
          <w:u w:val="single"/>
          <w:bdr w:val="double" w:sz="2" w:space="1" w:color="000000"/>
        </w:rPr>
        <w:t>”) be, and hereby is, authorized, empowered and directed to certify and deliver copies of these resolutions to such governmental bodies, agencies, persons, firms or corporations as the Authorized Officer may deem necessary and to identify by such Authorized Officer’s signature or certificate, or in such form as may be required, the documents and instruments presented to and approved herein and to furnish evidence of the approval of any document, instrument or provision or any addition, deletion or change in any document or instrument.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Schedule A – Existing Wholly-Owned Subsidiaries</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Existing Wholly-Owned Subsidiaries of Fidus Investment Corporation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Fidus Mezzanine Capital,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IV,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FIC Funding, LLC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Holdings, Inc.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Schedule B – Existing Affiliated Funds</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Existing Affiliated Funds Advised by Fidus Investment Advisors, LLC:</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Fidus Credit Opportunities,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Equity Opportunities Fund, L.P.</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C</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Marked Copies of Amendment No. 1 Showing Changes from the Final Versions of the Two Applications</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Identified as Substantially Identical Under Rule 0-5(e)(3)</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D</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Marked Copies of the Amendment No. 1 to the Application Showing Changes from the Application Filed with</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the Commission on August 28, 2026</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color w:val="0000FF"/>
          <w:sz w:val="20"/>
          <w:u w:val="single"/>
          <w:bdr w:val="double" w:sz="2" w:space="1" w:color="000000"/>
        </w:rPr>
        <w:t>File No. 812-16082</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File No. 812-15805</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U.S. 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EXPEDITED REVIEW REQUESTED UNDER 17 CFR 270.0-5(d)</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In the Matter of the Application of: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BLUEROCK PRIVATE REAL ESTATE FUND, BLUEROCK HIGH INCOME INSTITUTIONAL CREDIT FUND, BLUEROCK FUND ADVISOR, LLC AND BLUEROCK CREDIT FUND ADVISOR, LLC</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FIDUS INVESTMENT CORPORATION, FIDUS CREDIT OPPORTUNITIES, L.P., FIDUS EQUITY OPPORTUNITIES FUND, L.P., FIDUS MEZZANINE CAPITAL, L.P., FIDUS MEZZANINE CAPITAL II, L.P., FIDUS MEZZANINE CAPITAL III, L.P., FIDUS MEZZANINE CAPITAL IV, L.P., FIC FUNDING, LLC, FIDUS INVESTMENT HOLDINGS, INC., AND FIDUS INVESTMENT ADVISORS, LLC</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trike/>
          <w:color w:val="FF0000"/>
          <w:sz w:val="20"/>
        </w:rPr>
        <w:t>919 Third</w:t>
      </w:r>
      <w:r>
        <w:rPr>
          <w:rFonts w:ascii="Times New Roman" w:hAnsi="Times New Roman"/>
          <w:color w:val="0000FF"/>
          <w:sz w:val="20"/>
          <w:u w:val="single"/>
          <w:bdr w:val="double" w:sz="2" w:space="1" w:color="000000"/>
        </w:rPr>
        <w:t>1603 Orrington</w:t>
      </w:r>
      <w:r>
        <w:rPr>
          <w:rFonts w:ascii="Times New Roman" w:hAnsi="Times New Roman"/>
          <w:sz w:val="20"/>
        </w:rPr>
        <w:t xml:space="preserve"> Avenue, </w:t>
      </w:r>
      <w:r>
        <w:rPr>
          <w:rFonts w:ascii="Times New Roman" w:hAnsi="Times New Roman"/>
          <w:strike/>
          <w:color w:val="FF0000"/>
          <w:sz w:val="20"/>
        </w:rPr>
        <w:t>40th Floor</w:t>
      </w:r>
      <w:r>
        <w:rPr>
          <w:rFonts w:ascii="Times New Roman" w:hAnsi="Times New Roman"/>
          <w:color w:val="0000FF"/>
          <w:sz w:val="20"/>
          <w:u w:val="single"/>
          <w:bdr w:val="double" w:sz="2" w:space="1" w:color="000000"/>
        </w:rPr>
        <w:t>Suite 1005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New York, NY 10022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(212) 843 -1601</w:t>
      </w: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AMENDMENT NO. </w:t>
      </w:r>
      <w:r>
        <w:rPr>
          <w:rFonts w:ascii="Times New Roman" w:hAnsi="Times New Roman"/>
          <w:strike/>
          <w:color w:val="FF0000"/>
          <w:sz w:val="20"/>
        </w:rPr>
        <w:t>4</w:t>
      </w:r>
      <w:r>
        <w:rPr>
          <w:rFonts w:ascii="Times New Roman" w:hAnsi="Times New Roman"/>
          <w:color w:val="0000FF"/>
          <w:sz w:val="20"/>
          <w:u w:val="single"/>
          <w:bdr w:val="double" w:sz="2" w:space="1" w:color="000000"/>
        </w:rPr>
        <w:t>1</w:t>
      </w:r>
      <w:r>
        <w:rPr>
          <w:rFonts w:ascii="Times New Roman" w:hAnsi="Times New Roman"/>
          <w:sz w:val="20"/>
        </w:rPr>
        <w:t xml:space="preserve"> TO THE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All Communications, Notices and Orders to: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Edward H. Ross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Fidus Investment Corporation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1603 Orrington Avenue, Suite 1005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eross@fidusinv.com</w:t>
      </w:r>
      <w:r>
        <w:rPr>
          <w:rFonts w:ascii="Times New Roman" w:hAnsi="Times New Roman"/>
          <w:sz w:val="20"/>
        </w:rPr>
        <w:t xml:space="preserve"> </w:t>
      </w:r>
    </w:p>
    <w:p>
      <w:pPr>
        <w:pStyle w:val="TextBody"/>
        <w:bidi w:val="0"/>
        <w:spacing w:before="200" w:after="0"/>
        <w:jc w:val="center"/>
        <w:rPr>
          <w:rFonts w:ascii="Times New Roman" w:hAnsi="Times New Roman"/>
          <w:b/>
          <w:sz w:val="20"/>
        </w:rPr>
      </w:pPr>
      <w:r>
        <w:rPr>
          <w:rFonts w:ascii="Times New Roman" w:hAnsi="Times New Roman"/>
          <w:b/>
          <w:strike/>
          <w:color w:val="FF0000"/>
          <w:sz w:val="20"/>
        </w:rPr>
        <w:t>Jason Emala, Esq.</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Bluerock Asset Management, LLC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919 Third Avenue, 40th Floor</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New York, NY 10022</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Telephone: (212) 843-1601</w:t>
      </w:r>
      <w:r>
        <w:rPr>
          <w:rFonts w:ascii="Times New Roman" w:hAnsi="Times New Roman"/>
          <w:b/>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i/>
          <w:sz w:val="20"/>
        </w:rPr>
      </w:pPr>
      <w:r>
        <w:rPr>
          <w:rFonts w:ascii="Times New Roman" w:hAnsi="Times New Roman"/>
          <w:i/>
          <w:sz w:val="20"/>
        </w:rPr>
        <w:t xml:space="preserve">Copies to: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Nicole Simon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Stradley Ronon Stevens &amp; Young, LLP</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100 Park Avenue, Suite 2000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New York, NY 10017</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Telephone: (212) 812-4137</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Steven B. Boehm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Anne G. Oberndorf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Payam Siadatpour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Eversheds Sutherland (US)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700 6th Street, N.W.</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Washington, D.C. 20001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(202) 383-0100</w:t>
      </w:r>
      <w:r>
        <w:rPr>
          <w:rFonts w:ascii="Times New Roman" w:hAnsi="Times New Roman"/>
          <w:sz w:val="20"/>
        </w:rPr>
        <w:t xml:space="preserve">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stevenboehm@eversheds-sutherland.us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anneoberndorf@eversheds-sutherland.us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payamsiadatpour@eversheds-sutherland.us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trike/>
          <w:color w:val="FF0000"/>
          <w:sz w:val="20"/>
        </w:rPr>
        <w:t>June 8</w:t>
      </w:r>
      <w:r>
        <w:rPr>
          <w:rFonts w:ascii="Times New Roman" w:hAnsi="Times New Roman"/>
          <w:color w:val="0000FF"/>
          <w:sz w:val="20"/>
          <w:u w:val="single"/>
          <w:bdr w:val="double" w:sz="2" w:space="1" w:color="000000"/>
        </w:rPr>
        <w:t>October 21</w:t>
      </w:r>
      <w:r>
        <w:rPr>
          <w:rFonts w:ascii="Times New Roman" w:hAnsi="Times New Roman"/>
          <w:sz w:val="20"/>
        </w:rPr>
        <w:t xml:space="preserve">, 2026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UNITED STATES OF AMERICA</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BEFORE THE</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SECURITIES AND EXCHANGE COMMISSION</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trike/>
          <w:color w:val="FF0000"/>
          <w:sz w:val="20"/>
        </w:rPr>
        <w:t>I.</w:t>
      </w:r>
      <w:r>
        <w:rPr>
          <w:rFonts w:ascii="Times New Roman" w:hAnsi="Times New Roman"/>
          <w:strike/>
          <w:color w:val="FF0000"/>
          <w:sz w:val="20"/>
        </w:rPr>
        <w:t xml:space="preserve"> </w:t>
      </w:r>
      <w:r>
        <w:rPr>
          <w:rFonts w:ascii="Times New Roman" w:hAnsi="Times New Roman"/>
          <w:b/>
          <w:strike/>
          <w:color w:val="FF0000"/>
          <w:sz w:val="20"/>
        </w:rPr>
        <w:t>SUMMARY OF APPLICATION</w:t>
      </w:r>
      <w:r>
        <w:rPr>
          <w:rFonts w:ascii="Times New Roman" w:hAnsi="Times New Roman"/>
          <w:color w:val="FF0000"/>
          <w:sz w:val="20"/>
        </w:rPr>
        <w:t xml:space="preserve"> </w:t>
      </w:r>
    </w:p>
    <w:p>
      <w:pPr>
        <w:pStyle w:val="TextBody"/>
        <w:bidi w:val="0"/>
        <w:spacing w:before="120" w:after="0"/>
        <w:jc w:val="left"/>
        <w:rPr>
          <w:rFonts w:ascii="Times New Roman" w:hAnsi="Times New Roman"/>
          <w:b/>
          <w:sz w:val="20"/>
        </w:rPr>
      </w:pPr>
      <w:r>
        <w:rPr>
          <w:rFonts w:ascii="Times New Roman" w:hAnsi="Times New Roman"/>
          <w:b/>
          <w:color w:val="0000FF"/>
          <w:sz w:val="20"/>
          <w:u w:val="single"/>
          <w:bdr w:val="double" w:sz="2" w:space="1" w:color="000000"/>
        </w:rPr>
        <w:t>I. SUMMARY OF APPLCIATION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following entities hereby request an order (the “</w:t>
      </w:r>
      <w:r>
        <w:rPr>
          <w:rFonts w:ascii="Times New Roman" w:hAnsi="Times New Roman"/>
          <w:b/>
          <w:i/>
          <w:sz w:val="20"/>
        </w:rPr>
        <w:t>Order</w:t>
      </w:r>
      <w:r>
        <w:rPr>
          <w:rFonts w:ascii="Times New Roman" w:hAnsi="Times New Roman"/>
          <w:sz w:val="20"/>
        </w:rPr>
        <w:t>”) of the U.S. Securities and Exchange Commission (the “</w:t>
      </w:r>
      <w:r>
        <w:rPr>
          <w:rFonts w:ascii="Times New Roman" w:hAnsi="Times New Roman"/>
          <w:b/>
          <w:i/>
          <w:sz w:val="20"/>
        </w:rPr>
        <w:t>SEC</w:t>
      </w:r>
      <w:r>
        <w:rPr>
          <w:rFonts w:ascii="Times New Roman" w:hAnsi="Times New Roman"/>
          <w:sz w:val="20"/>
        </w:rPr>
        <w:t>” or “</w:t>
      </w:r>
      <w:r>
        <w:rPr>
          <w:rFonts w:ascii="Times New Roman" w:hAnsi="Times New Roman"/>
          <w:b/>
          <w:i/>
          <w:sz w:val="20"/>
        </w:rPr>
        <w:t>Commission</w:t>
      </w:r>
      <w:r>
        <w:rPr>
          <w:rFonts w:ascii="Times New Roman" w:hAnsi="Times New Roman"/>
          <w:sz w:val="20"/>
        </w:rPr>
        <w:t>”) under Sections 17(d) and 57(i) of the Investment Company Act of 1940, as amended (the “</w:t>
      </w:r>
      <w:r>
        <w:rPr>
          <w:rFonts w:ascii="Times New Roman" w:hAnsi="Times New Roman"/>
          <w:b/>
          <w:i/>
          <w:sz w:val="20"/>
        </w:rPr>
        <w:t>1940 Act</w:t>
      </w:r>
      <w:r>
        <w:rPr>
          <w:rFonts w:ascii="Times New Roman" w:hAnsi="Times New Roman"/>
          <w:sz w:val="20"/>
        </w:rPr>
        <w:t>”),1 and Rule 17d-1, permitting certain joint transactions otherwise prohibited by Sections 17(d) and 57(a)(4) of the 1940 Act and Rule 17d-1 thereunder.</w:t>
      </w:r>
      <w:r>
        <w:rPr>
          <w:rFonts w:ascii="Times New Roman" w:hAnsi="Times New Roman"/>
          <w:color w:val="0000FF"/>
          <w:sz w:val="20"/>
          <w:u w:val="single"/>
          <w:bdr w:val="double" w:sz="2" w:space="1" w:color="000000"/>
        </w:rPr>
        <w:t xml:space="preserve"> The Order would supersede the exemptive order issued by the Commission on August 29, 2024 (the “</w:t>
      </w:r>
      <w:r>
        <w:rPr>
          <w:rFonts w:ascii="Times New Roman" w:hAnsi="Times New Roman"/>
          <w:b/>
          <w:i/>
          <w:color w:val="0000FF"/>
          <w:sz w:val="20"/>
          <w:u w:val="single"/>
          <w:bdr w:val="double" w:sz="2" w:space="1" w:color="000000"/>
        </w:rPr>
        <w:t>Prior Order</w:t>
      </w:r>
      <w:r>
        <w:rPr>
          <w:rFonts w:ascii="Times New Roman" w:hAnsi="Times New Roman"/>
          <w:color w:val="0000FF"/>
          <w:sz w:val="20"/>
          <w:u w:val="single"/>
          <w:bdr w:val="double" w:sz="2" w:space="1" w:color="000000"/>
        </w:rPr>
        <w:t xml:space="preserve">”)2 that was granted pursuant to Sections 17(d), 57(i) and Rule 17d-1, with the result that no person will continue to rely on the Prior Order if the Order is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strike/>
                <w:color w:val="FF0000"/>
              </w:rPr>
            </w:pPr>
            <w:r>
              <w:rPr>
                <w:strike/>
                <w:color w:val="FF0000"/>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Bluerock Private Real Estate Fund (“</w:t>
            </w:r>
            <w:r>
              <w:rPr>
                <w:rFonts w:ascii="Times New Roman" w:hAnsi="Times New Roman"/>
                <w:b/>
                <w:i/>
                <w:strike/>
                <w:color w:val="FF0000"/>
                <w:sz w:val="20"/>
              </w:rPr>
              <w:t>BPRE</w:t>
            </w:r>
            <w:r>
              <w:rPr>
                <w:rFonts w:ascii="Times New Roman" w:hAnsi="Times New Roman"/>
                <w:strike/>
                <w:color w:val="FF0000"/>
                <w:sz w:val="20"/>
              </w:rPr>
              <w:t>”), an externally managed, non-diversified closed-end management investment company registered under the 1940 Act and listed on the New York Stock Exchange;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Bluerock High Income Institutional Credit Fund (“</w:t>
            </w:r>
            <w:r>
              <w:rPr>
                <w:rFonts w:ascii="Times New Roman" w:hAnsi="Times New Roman"/>
                <w:b/>
                <w:i/>
                <w:strike/>
                <w:color w:val="FF0000"/>
                <w:sz w:val="20"/>
              </w:rPr>
              <w:t>HI</w:t>
            </w:r>
            <w:r>
              <w:rPr>
                <w:rFonts w:ascii="Times New Roman" w:hAnsi="Times New Roman"/>
                <w:strike/>
                <w:color w:val="FF0000"/>
                <w:sz w:val="20"/>
              </w:rPr>
              <w:t>” and, together with BPRE,</w:t>
            </w:r>
            <w:r>
              <w:rPr>
                <w:rFonts w:ascii="Times New Roman" w:hAnsi="Times New Roman"/>
                <w:color w:val="0000FF"/>
                <w:sz w:val="20"/>
                <w:u w:val="single"/>
                <w:bdr w:val="double" w:sz="2" w:space="1" w:color="000000"/>
              </w:rPr>
              <w:t xml:space="preserve"> Fidus Investment Corporation (</w:t>
            </w:r>
            <w:r>
              <w:rPr>
                <w:rFonts w:ascii="Times New Roman" w:hAnsi="Times New Roman"/>
                <w:sz w:val="20"/>
              </w:rPr>
              <w:t>the “</w:t>
            </w:r>
            <w:r>
              <w:rPr>
                <w:rFonts w:ascii="Times New Roman" w:hAnsi="Times New Roman"/>
                <w:b/>
                <w:i/>
                <w:sz w:val="20"/>
              </w:rPr>
              <w:t>Existing Regulated</w:t>
            </w:r>
            <w:r>
              <w:rPr>
                <w:rFonts w:ascii="Times New Roman" w:hAnsi="Times New Roman"/>
                <w:strike/>
                <w:color w:val="FF0000"/>
                <w:sz w:val="20"/>
              </w:rPr>
              <w:t xml:space="preserve"> </w:t>
            </w:r>
            <w:r>
              <w:rPr>
                <w:rFonts w:ascii="Times New Roman" w:hAnsi="Times New Roman"/>
                <w:b/>
                <w:i/>
                <w:strike/>
                <w:color w:val="FF0000"/>
                <w:sz w:val="20"/>
              </w:rPr>
              <w:t>Funds</w:t>
            </w:r>
            <w:r>
              <w:rPr>
                <w:rFonts w:ascii="Times New Roman" w:hAnsi="Times New Roman"/>
                <w:strike/>
                <w:color w:val="FF0000"/>
                <w:sz w:val="20"/>
              </w:rPr>
              <w:t>”), an externally managed</w:t>
            </w:r>
            <w:r>
              <w:rPr>
                <w:rFonts w:ascii="Times New Roman" w:hAnsi="Times New Roman"/>
                <w:b/>
                <w:i/>
                <w:color w:val="0000FF"/>
                <w:sz w:val="20"/>
                <w:u w:val="single"/>
                <w:bdr w:val="double" w:sz="2" w:space="1" w:color="000000"/>
              </w:rPr>
              <w:t>Fund</w:t>
            </w:r>
            <w:r>
              <w:rPr>
                <w:rFonts w:ascii="Times New Roman" w:hAnsi="Times New Roman"/>
                <w:color w:val="0000FF"/>
                <w:sz w:val="20"/>
                <w:u w:val="single"/>
                <w:bdr w:val="double" w:sz="2" w:space="1" w:color="000000"/>
              </w:rPr>
              <w:t>”), a corporation formed under the General Corporate Laws of the State of Maryland for the purpose of operating as an externally-managed</w:t>
            </w:r>
            <w:r>
              <w:rPr>
                <w:rFonts w:ascii="Times New Roman" w:hAnsi="Times New Roman"/>
                <w:sz w:val="20"/>
              </w:rPr>
              <w:t>, non-diversified, closed-end management investment company</w:t>
            </w:r>
            <w:r>
              <w:rPr>
                <w:rFonts w:ascii="Times New Roman" w:hAnsi="Times New Roman"/>
                <w:strike/>
                <w:color w:val="FF0000"/>
                <w:sz w:val="20"/>
              </w:rPr>
              <w:t xml:space="preserve"> registered</w:t>
            </w:r>
            <w:r>
              <w:rPr>
                <w:rFonts w:ascii="Times New Roman" w:hAnsi="Times New Roman"/>
                <w:color w:val="0000FF"/>
                <w:sz w:val="20"/>
                <w:u w:val="single"/>
                <w:bdr w:val="double" w:sz="2" w:space="1" w:color="000000"/>
              </w:rPr>
              <w:t>that has elected to be regulated as a business development company (“</w:t>
            </w:r>
            <w:r>
              <w:rPr>
                <w:rFonts w:ascii="Times New Roman" w:hAnsi="Times New Roman"/>
                <w:b/>
                <w:i/>
                <w:color w:val="0000FF"/>
                <w:sz w:val="20"/>
                <w:u w:val="single"/>
                <w:bdr w:val="double" w:sz="2" w:space="1" w:color="000000"/>
              </w:rPr>
              <w:t>BDC</w:t>
            </w:r>
            <w:r>
              <w:rPr>
                <w:rFonts w:ascii="Times New Roman" w:hAnsi="Times New Roman"/>
                <w:color w:val="0000FF"/>
                <w:sz w:val="20"/>
                <w:u w:val="single"/>
                <w:bdr w:val="double" w:sz="2" w:space="1" w:color="000000"/>
              </w:rPr>
              <w:t>”)</w:t>
            </w:r>
            <w:r>
              <w:rPr>
                <w:rFonts w:ascii="Times New Roman" w:hAnsi="Times New Roman"/>
                <w:sz w:val="20"/>
              </w:rPr>
              <w:t xml:space="preserve"> under the 1940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9797" w:type="dxa"/>
            <w:tcBorders/>
          </w:tcPr>
          <w:p>
            <w:pPr>
              <w:pStyle w:val="TableContents"/>
              <w:bidi w:val="0"/>
              <w:spacing w:before="0" w:after="0"/>
              <w:jc w:val="left"/>
              <w:rPr>
                <w:rFonts w:ascii="Times New Roman" w:hAnsi="Times New Roman"/>
              </w:rPr>
            </w:pPr>
            <w:r>
              <w:rPr>
                <w:rFonts w:ascii="Times New Roman" w:hAnsi="Times New Roman"/>
                <w:color w:val="0000FF"/>
                <w:u w:val="single"/>
                <w:bdr w:val="double" w:sz="2" w:space="1" w:color="000000"/>
              </w:rPr>
              <w:t>Certain vehicles (as identified on Schedule A hereto) (the “</w:t>
            </w:r>
            <w:r>
              <w:rPr>
                <w:rFonts w:ascii="Times New Roman" w:hAnsi="Times New Roman"/>
                <w:b/>
                <w:i/>
                <w:color w:val="0000FF"/>
                <w:u w:val="single"/>
                <w:bdr w:val="double" w:sz="2" w:space="1" w:color="000000"/>
              </w:rPr>
              <w:t>Existing Wholly-Owned Subsidiaries</w:t>
            </w:r>
            <w:r>
              <w:rPr>
                <w:rFonts w:ascii="Times New Roman" w:hAnsi="Times New Roman"/>
                <w:color w:val="0000FF"/>
                <w:u w:val="single"/>
                <w:bdr w:val="double" w:sz="2" w:space="1" w:color="000000"/>
              </w:rPr>
              <w:t>”), each of which is a separate and distinct legal entity and each of which is a Wholly-Owned Investment Sub (as defined below) of the Existing Regulated Fund.</w:t>
            </w:r>
            <w:r>
              <w:rPr>
                <w:rFonts w:ascii="Times New Roman" w:hAnsi="Times New Roman"/>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2"/>
        <w:gridCol w:w="9803"/>
      </w:tblGrid>
      <w:tr>
        <w:trPr/>
        <w:tc>
          <w:tcPr>
            <w:tcW w:w="402" w:type="dxa"/>
            <w:tcBorders/>
          </w:tcPr>
          <w:p>
            <w:pPr>
              <w:pStyle w:val="TableContents"/>
              <w:bidi w:val="0"/>
              <w:spacing w:before="0" w:after="283"/>
              <w:jc w:val="left"/>
              <w:rPr>
                <w:strike/>
                <w:color w:val="FF0000"/>
              </w:rPr>
            </w:pPr>
            <w:r>
              <w:rPr>
                <w:strike/>
                <w:color w:val="FF0000"/>
              </w:rPr>
              <w:t></w:t>
            </w:r>
          </w:p>
        </w:tc>
        <w:tc>
          <w:tcPr>
            <w:tcW w:w="9803"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Bluerock Fund Advisor, LLC</w:t>
            </w:r>
            <w:r>
              <w:rPr>
                <w:rFonts w:ascii="Times New Roman" w:hAnsi="Times New Roman"/>
                <w:color w:val="0000FF"/>
                <w:sz w:val="20"/>
                <w:u w:val="single"/>
                <w:bdr w:val="double" w:sz="2" w:space="1" w:color="000000"/>
              </w:rPr>
              <w:t>Fidus Investment Advisors, LLC,</w:t>
            </w:r>
            <w:r>
              <w:rPr>
                <w:rFonts w:ascii="Times New Roman" w:hAnsi="Times New Roman"/>
                <w:sz w:val="20"/>
              </w:rPr>
              <w:t xml:space="preserve"> and its successors</w:t>
            </w:r>
            <w:r>
              <w:rPr>
                <w:rFonts w:ascii="Times New Roman" w:hAnsi="Times New Roman"/>
                <w:strike/>
                <w:color w:val="FF0000"/>
                <w:sz w:val="13"/>
              </w:rPr>
              <w:t>2</w:t>
            </w:r>
            <w:r>
              <w:rPr>
                <w:rFonts w:ascii="Times New Roman" w:hAnsi="Times New Roman"/>
                <w:strike/>
                <w:color w:val="FF0000"/>
                <w:sz w:val="20"/>
              </w:rPr>
              <w:t>(“</w:t>
            </w:r>
            <w:r>
              <w:rPr>
                <w:rFonts w:ascii="Times New Roman" w:hAnsi="Times New Roman"/>
                <w:b/>
                <w:i/>
                <w:strike/>
                <w:color w:val="FF0000"/>
                <w:sz w:val="20"/>
              </w:rPr>
              <w:t>BFA</w:t>
            </w:r>
            <w:r>
              <w:rPr>
                <w:rFonts w:ascii="Times New Roman" w:hAnsi="Times New Roman"/>
                <w:strike/>
                <w:color w:val="FF0000"/>
                <w:sz w:val="20"/>
              </w:rPr>
              <w:t xml:space="preserve">”), an indirect, majority-owned subsidiary of BAM (as defined below) and the </w:t>
            </w:r>
            <w:r>
              <w:rPr>
                <w:rFonts w:ascii="Times New Roman" w:hAnsi="Times New Roman"/>
                <w:color w:val="0000FF"/>
                <w:sz w:val="13"/>
                <w:u w:val="single"/>
                <w:bdr w:val="double" w:sz="2" w:space="1" w:color="000000"/>
              </w:rPr>
              <w:t>3</w:t>
            </w:r>
            <w:r>
              <w:rPr>
                <w:rFonts w:ascii="Times New Roman" w:hAnsi="Times New Roman"/>
                <w:color w:val="0000FF"/>
                <w:sz w:val="20"/>
                <w:u w:val="single"/>
                <w:bdr w:val="double" w:sz="2" w:space="1" w:color="000000"/>
              </w:rPr>
              <w:t xml:space="preserve"> (the “</w:t>
            </w:r>
            <w:r>
              <w:rPr>
                <w:rFonts w:ascii="Times New Roman" w:hAnsi="Times New Roman"/>
                <w:b/>
                <w:i/>
                <w:color w:val="0000FF"/>
                <w:sz w:val="20"/>
                <w:u w:val="single"/>
                <w:bdr w:val="double" w:sz="2" w:space="1" w:color="000000"/>
              </w:rPr>
              <w:t>Existing Adviser</w:t>
            </w:r>
            <w:r>
              <w:rPr>
                <w:rFonts w:ascii="Times New Roman" w:hAnsi="Times New Roman"/>
                <w:color w:val="0000FF"/>
                <w:sz w:val="20"/>
                <w:u w:val="single"/>
                <w:bdr w:val="double" w:sz="2" w:space="1" w:color="000000"/>
              </w:rPr>
              <w:t xml:space="preserve">”), an </w:t>
            </w:r>
            <w:r>
              <w:rPr>
                <w:rFonts w:ascii="Times New Roman" w:hAnsi="Times New Roman"/>
                <w:sz w:val="20"/>
              </w:rPr>
              <w:t xml:space="preserve">investment adviser </w:t>
            </w:r>
            <w:r>
              <w:rPr>
                <w:rFonts w:ascii="Times New Roman" w:hAnsi="Times New Roman"/>
                <w:strike/>
                <w:color w:val="FF0000"/>
                <w:sz w:val="20"/>
              </w:rPr>
              <w:t xml:space="preserve">to BPRE. BFA is </w:t>
            </w:r>
            <w:r>
              <w:rPr>
                <w:rFonts w:ascii="Times New Roman" w:hAnsi="Times New Roman"/>
                <w:sz w:val="20"/>
              </w:rPr>
              <w:t xml:space="preserve">registered with the </w:t>
            </w:r>
            <w:r>
              <w:rPr>
                <w:rFonts w:ascii="Times New Roman" w:hAnsi="Times New Roman"/>
                <w:strike/>
                <w:color w:val="FF0000"/>
                <w:sz w:val="20"/>
              </w:rPr>
              <w:t>SEC as an investment adviser</w:t>
            </w:r>
            <w:r>
              <w:rPr>
                <w:rFonts w:ascii="Times New Roman" w:hAnsi="Times New Roman"/>
                <w:color w:val="0000FF"/>
                <w:sz w:val="20"/>
                <w:u w:val="single"/>
                <w:bdr w:val="double" w:sz="2" w:space="1" w:color="000000"/>
              </w:rPr>
              <w:t>Commission</w:t>
            </w:r>
            <w:r>
              <w:rPr>
                <w:rFonts w:ascii="Times New Roman" w:hAnsi="Times New Roman"/>
                <w:sz w:val="20"/>
              </w:rPr>
              <w:t xml:space="preserve"> under the Investment Advisers Act of 1940 (the “</w:t>
            </w:r>
            <w:r>
              <w:rPr>
                <w:rFonts w:ascii="Times New Roman" w:hAnsi="Times New Roman"/>
                <w:b/>
                <w:i/>
                <w:sz w:val="20"/>
              </w:rPr>
              <w:t>Advisers Act</w:t>
            </w:r>
            <w:r>
              <w:rPr>
                <w:rFonts w:ascii="Times New Roman" w:hAnsi="Times New Roman"/>
                <w:sz w:val="20"/>
              </w:rPr>
              <w:t>”)</w:t>
            </w:r>
            <w:r>
              <w:rPr>
                <w:rFonts w:ascii="Times New Roman" w:hAnsi="Times New Roman"/>
                <w:color w:val="0000FF"/>
                <w:sz w:val="20"/>
                <w:u w:val="single"/>
                <w:bdr w:val="double" w:sz="2" w:space="1" w:color="000000"/>
              </w:rPr>
              <w:t>, which serves as the investment adviser to the Existing Regulated Fund and the Existing Affiliated Funds (defined below)</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strike/>
                <w:color w:val="FF0000"/>
              </w:rPr>
            </w:pPr>
            <w:r>
              <w:rPr>
                <w:strike/>
                <w:color w:val="FF0000"/>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Bluerock Credit Fund Advisor, LLC and its successors (“</w:t>
            </w:r>
            <w:r>
              <w:rPr>
                <w:rFonts w:ascii="Times New Roman" w:hAnsi="Times New Roman"/>
                <w:b/>
                <w:i/>
                <w:strike/>
                <w:color w:val="FF0000"/>
                <w:sz w:val="20"/>
              </w:rPr>
              <w:t>CFA</w:t>
            </w:r>
            <w:r>
              <w:rPr>
                <w:rFonts w:ascii="Times New Roman" w:hAnsi="Times New Roman"/>
                <w:strike/>
                <w:color w:val="FF0000"/>
                <w:sz w:val="20"/>
              </w:rPr>
              <w:t>” and, together with the Existing Regulated Funds and BFA, the “</w:t>
            </w:r>
            <w:r>
              <w:rPr>
                <w:rFonts w:ascii="Times New Roman" w:hAnsi="Times New Roman"/>
                <w:b/>
                <w:i/>
                <w:strike/>
                <w:color w:val="FF0000"/>
                <w:sz w:val="20"/>
              </w:rPr>
              <w:t>Applicants</w:t>
            </w:r>
            <w:r>
              <w:rPr>
                <w:rFonts w:ascii="Times New Roman" w:hAnsi="Times New Roman"/>
                <w:strike/>
                <w:color w:val="FF0000"/>
                <w:sz w:val="20"/>
              </w:rPr>
              <w:t>”), an indirect, majority-owned subsidiary of BAM and the investment adviser to HI.3 CFA is registered with the SEC as an investment adviser under the Advisers Act.</w:t>
            </w:r>
            <w:r>
              <w:rPr>
                <w:rFonts w:ascii="Times New Roman" w:hAnsi="Times New Roman"/>
                <w:sz w:val="20"/>
              </w:rPr>
              <w:t xml:space="preserv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all section and rule references herein are to the 1940 Act and rules promulgated thereunder.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color w:val="0000FF"/>
                <w:sz w:val="13"/>
                <w:u w:val="single"/>
                <w:bdr w:val="double" w:sz="2" w:space="1" w:color="000000"/>
              </w:rPr>
              <w:t>2</w:t>
            </w:r>
            <w:r>
              <w:rPr>
                <w:color w:val="0000FF"/>
                <w:u w:val="single"/>
                <w:bdr w:val="double" w:sz="2" w:space="1" w:color="000000"/>
              </w:rPr>
              <w:t xml:space="preserve">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Corporation, et al. (File No. 812-15496) Release No. IC-35289 (August 2, 2024) (notice), Release No. IC-35309 (August 29, 2024) (order).</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strike/>
                <w:color w:val="FF0000"/>
                <w:sz w:val="13"/>
              </w:rPr>
            </w:pPr>
            <w:r>
              <w:rPr>
                <w:strike/>
                <w:color w:val="FF0000"/>
                <w:sz w:val="13"/>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The term “successor,” as applied to each Adviser (as defined below),</w:t>
            </w:r>
            <w:r>
              <w:rPr>
                <w:rFonts w:ascii="Times New Roman" w:hAnsi="Times New Roman"/>
                <w:strike/>
                <w:color w:val="008000"/>
                <w:sz w:val="20"/>
              </w:rPr>
              <w:t xml:space="preserve"> means an entity that results from a reorganization into another jurisdiction or change in the type of business organization.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color w:val="0000FF"/>
                <w:sz w:val="13"/>
                <w:u w:val="single"/>
                <w:bdr w:val="double" w:sz="2" w:space="1" w:color="000000"/>
              </w:rPr>
              <w:t>3</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term “</w:t>
            </w:r>
            <w:r>
              <w:rPr>
                <w:rFonts w:ascii="Times New Roman" w:hAnsi="Times New Roman"/>
                <w:b/>
                <w:i/>
                <w:color w:val="0000FF"/>
                <w:sz w:val="20"/>
                <w:u w:val="single"/>
                <w:bdr w:val="double" w:sz="2" w:space="1" w:color="000000"/>
              </w:rPr>
              <w:t>successor</w:t>
            </w:r>
            <w:r>
              <w:rPr>
                <w:rFonts w:ascii="Times New Roman" w:hAnsi="Times New Roman"/>
                <w:color w:val="0000FF"/>
                <w:sz w:val="20"/>
                <w:u w:val="single"/>
                <w:bdr w:val="double" w:sz="2" w:space="1" w:color="000000"/>
              </w:rPr>
              <w:t>”</w:t>
            </w:r>
            <w:r>
              <w:rPr>
                <w:rFonts w:ascii="Times New Roman" w:hAnsi="Times New Roman"/>
                <w:color w:val="008000"/>
                <w:sz w:val="20"/>
                <w:u w:val="single"/>
                <w:bdr w:val="double" w:sz="2" w:space="1" w:color="000000"/>
              </w:rPr>
              <w:t xml:space="preserve"> means an entity that results from a reorganization into another jurisdiction or change in the type of business organization.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strike/>
                <w:color w:val="FF0000"/>
                <w:sz w:val="13"/>
              </w:rPr>
            </w:pPr>
            <w:r>
              <w:rPr>
                <w:strike/>
                <w:color w:val="FF0000"/>
                <w:sz w:val="13"/>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trike/>
                <w:color w:val="008000"/>
                <w:sz w:val="20"/>
              </w:rPr>
              <w:t>All existing entities that currently intend to rely upon the requested Order have been named as Applicants. Any other existing or future entity that subsequently relies on the Order will comply with the terms and conditions of the other existing or future entity that subsequently relies on the Order will comply with the terms and conditions of the Application.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9797" w:type="dxa"/>
            <w:tcBorders/>
          </w:tcPr>
          <w:p>
            <w:pPr>
              <w:pStyle w:val="TableContents"/>
              <w:bidi w:val="0"/>
              <w:spacing w:before="0" w:after="0"/>
              <w:jc w:val="left"/>
              <w:rPr>
                <w:rFonts w:ascii="Times New Roman" w:hAnsi="Times New Roman"/>
              </w:rPr>
            </w:pPr>
            <w:r>
              <w:rPr>
                <w:rFonts w:ascii="Times New Roman" w:hAnsi="Times New Roman"/>
                <w:color w:val="0000FF"/>
                <w:u w:val="single"/>
                <w:bdr w:val="double" w:sz="2" w:space="1" w:color="000000"/>
              </w:rPr>
              <w:t>The investment vehicles (as identified on Schedule B hereto), each of which is a separate and distinct legal entity and each of which would be an investment company but for Section 3(c)(7) of the 1940 Act (the “</w:t>
            </w:r>
            <w:r>
              <w:rPr>
                <w:rFonts w:ascii="Times New Roman" w:hAnsi="Times New Roman"/>
                <w:b/>
                <w:i/>
                <w:color w:val="0000FF"/>
                <w:u w:val="single"/>
                <w:bdr w:val="double" w:sz="2" w:space="1" w:color="000000"/>
              </w:rPr>
              <w:t>Existing Affiliated Funds</w:t>
            </w:r>
            <w:r>
              <w:rPr>
                <w:rFonts w:ascii="Times New Roman" w:hAnsi="Times New Roman"/>
                <w:color w:val="0000FF"/>
                <w:u w:val="single"/>
                <w:bdr w:val="double" w:sz="2" w:space="1" w:color="000000"/>
              </w:rPr>
              <w:t>” and collectively with the Existing Regulated Fund, the Existing Wholly-Owned Subsidiaries, and the Existing Adviser, the “</w:t>
            </w:r>
            <w:r>
              <w:rPr>
                <w:rFonts w:ascii="Times New Roman" w:hAnsi="Times New Roman"/>
                <w:b/>
                <w:i/>
                <w:color w:val="0000FF"/>
                <w:u w:val="single"/>
                <w:bdr w:val="double" w:sz="2" w:space="1" w:color="000000"/>
              </w:rPr>
              <w:t>Applicants</w:t>
            </w:r>
            <w:r>
              <w:rPr>
                <w:rFonts w:ascii="Times New Roman" w:hAnsi="Times New Roman"/>
                <w:color w:val="0000FF"/>
                <w:u w:val="single"/>
                <w:bdr w:val="double" w:sz="2" w:space="1" w:color="000000"/>
              </w:rPr>
              <w:t>”).4</w:t>
            </w:r>
            <w:r>
              <w:rPr>
                <w:rFonts w:ascii="Times New Roman" w:hAnsi="Times New Roman"/>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relief requested in this application for the Order (the “</w:t>
      </w:r>
      <w:r>
        <w:rPr>
          <w:rFonts w:ascii="Times New Roman" w:hAnsi="Times New Roman"/>
          <w:b/>
          <w:i/>
          <w:sz w:val="20"/>
        </w:rPr>
        <w:t>Application</w:t>
      </w:r>
      <w:r>
        <w:rPr>
          <w:rFonts w:ascii="Times New Roman" w:hAnsi="Times New Roman"/>
          <w:sz w:val="20"/>
        </w:rPr>
        <w:t>”) would allow a Regulated Fund</w:t>
      </w:r>
      <w:r>
        <w:rPr>
          <w:rFonts w:ascii="Times New Roman" w:hAnsi="Times New Roman"/>
          <w:strike/>
          <w:color w:val="FF0000"/>
          <w:sz w:val="13"/>
        </w:rPr>
        <w:t>4</w:t>
      </w:r>
      <w:r>
        <w:rPr>
          <w:rFonts w:ascii="Times New Roman" w:hAnsi="Times New Roman"/>
          <w:color w:val="0000FF"/>
          <w:sz w:val="20"/>
          <w:u w:val="single"/>
          <w:bdr w:val="double" w:sz="2" w:space="1" w:color="000000"/>
        </w:rPr>
        <w:t>5</w:t>
      </w:r>
      <w:r>
        <w:rPr>
          <w:rFonts w:ascii="Times New Roman" w:hAnsi="Times New Roman"/>
          <w:sz w:val="20"/>
        </w:rPr>
        <w:t xml:space="preserve"> and one or more Affiliated Entities</w:t>
      </w:r>
      <w:r>
        <w:rPr>
          <w:rFonts w:ascii="Times New Roman" w:hAnsi="Times New Roman"/>
          <w:strike/>
          <w:color w:val="FF0000"/>
          <w:sz w:val="20"/>
        </w:rPr>
        <w:t>5</w:t>
      </w:r>
      <w:r>
        <w:rPr>
          <w:rFonts w:ascii="Times New Roman" w:hAnsi="Times New Roman"/>
          <w:color w:val="0000FF"/>
          <w:sz w:val="20"/>
          <w:u w:val="single"/>
          <w:bdr w:val="double" w:sz="2" w:space="1" w:color="000000"/>
        </w:rPr>
        <w:t>6</w:t>
      </w:r>
      <w:r>
        <w:rPr>
          <w:rFonts w:ascii="Times New Roman" w:hAnsi="Times New Roman"/>
          <w:sz w:val="20"/>
        </w:rPr>
        <w:t xml:space="preserve"> to engage in Co-Investment Transactions</w:t>
      </w:r>
      <w:r>
        <w:rPr>
          <w:rFonts w:ascii="Times New Roman" w:hAnsi="Times New Roman"/>
          <w:strike/>
          <w:color w:val="FF0000"/>
          <w:sz w:val="20"/>
        </w:rPr>
        <w:t>6</w:t>
      </w:r>
      <w:r>
        <w:rPr>
          <w:rFonts w:ascii="Times New Roman" w:hAnsi="Times New Roman"/>
          <w:color w:val="0000FF"/>
          <w:sz w:val="20"/>
          <w:u w:val="single"/>
          <w:bdr w:val="double" w:sz="2" w:space="1" w:color="000000"/>
        </w:rPr>
        <w:t>7</w:t>
      </w:r>
      <w:r>
        <w:rPr>
          <w:rFonts w:ascii="Times New Roman" w:hAnsi="Times New Roman"/>
          <w:sz w:val="20"/>
        </w:rPr>
        <w:t xml:space="preserve"> subject to the terms and conditions described herein. The Regulated Funds and Affiliated Entities that participate in a Co-Investment Transaction are collectively referred to herein as “</w:t>
      </w:r>
      <w:r>
        <w:rPr>
          <w:rFonts w:ascii="Times New Roman" w:hAnsi="Times New Roman"/>
          <w:b/>
          <w:i/>
          <w:sz w:val="20"/>
        </w:rPr>
        <w:t>Participants</w:t>
      </w:r>
      <w:r>
        <w:rPr>
          <w:rFonts w:ascii="Times New Roman" w:hAnsi="Times New Roman"/>
          <w:sz w:val="20"/>
        </w:rPr>
        <w:t>.”</w:t>
      </w:r>
      <w:r>
        <w:rPr>
          <w:rFonts w:ascii="Times New Roman" w:hAnsi="Times New Roman"/>
          <w:strike/>
          <w:color w:val="FF0000"/>
          <w:sz w:val="13"/>
        </w:rPr>
        <w:t>7</w:t>
      </w:r>
      <w:r>
        <w:rPr>
          <w:rFonts w:ascii="Times New Roman" w:hAnsi="Times New Roman"/>
          <w:color w:val="0000FF"/>
          <w:sz w:val="20"/>
          <w:u w:val="single"/>
          <w:bdr w:val="double" w:sz="2" w:space="1" w:color="000000"/>
        </w:rPr>
        <w:t>8</w:t>
      </w:r>
      <w:r>
        <w:rPr>
          <w:rFonts w:ascii="Times New Roman" w:hAnsi="Times New Roman"/>
          <w:sz w:val="20"/>
        </w:rPr>
        <w:t xml:space="preserve"> The Applicants do not seek relief for transactions effected consistent with Commission staff no-action positions.</w:t>
      </w:r>
      <w:r>
        <w:rPr>
          <w:rFonts w:ascii="Times New Roman" w:hAnsi="Times New Roman"/>
          <w:strike/>
          <w:color w:val="FF0000"/>
          <w:sz w:val="20"/>
        </w:rPr>
        <w:t>8</w:t>
      </w:r>
      <w:r>
        <w:rPr>
          <w:rFonts w:ascii="Times New Roman" w:hAnsi="Times New Roman"/>
          <w:color w:val="0000FF"/>
          <w:sz w:val="20"/>
          <w:u w:val="single"/>
          <w:bdr w:val="double" w:sz="2" w:space="1" w:color="000000"/>
        </w:rPr>
        <w:t>9</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color w:val="0000FF"/>
                <w:sz w:val="13"/>
                <w:u w:val="single"/>
                <w:bdr w:val="double" w:sz="2" w:space="1" w:color="000000"/>
              </w:rPr>
              <w:t>4</w:t>
            </w: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color w:val="008000"/>
                <w:sz w:val="20"/>
                <w:u w:val="single"/>
                <w:bdr w:val="double" w:sz="2" w:space="1" w:color="000000"/>
              </w:rPr>
              <w:t>All existing entities that currently intend to rely upon the requested Order have been named as Applicants. Any other existing or future entity that subsequently relies on the Order will comply with the terms and conditions of the Application.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sz w:val="13"/>
              </w:rPr>
              <w:t>4</w:t>
            </w:r>
            <w:r>
              <w:rPr>
                <w:color w:val="0000FF"/>
                <w:u w:val="single"/>
                <w:bdr w:val="double" w:sz="2" w:space="1" w:color="000000"/>
              </w:rPr>
              <w:t xml:space="preserve">5 </w:t>
            </w:r>
            <w:r>
              <w:rPr/>
              <w:t> </w:t>
            </w:r>
          </w:p>
        </w:tc>
        <w:tc>
          <w:tcPr>
            <w:tcW w:w="9799" w:type="dxa"/>
            <w:tcBorders/>
          </w:tcPr>
          <w:p>
            <w:pPr>
              <w:pStyle w:val="TableContents"/>
              <w:bidi w:val="0"/>
              <w:spacing w:before="0" w:after="0"/>
              <w:jc w:val="left"/>
              <w:rPr/>
            </w:pPr>
            <w:r>
              <w:rPr/>
              <w:t>“</w:t>
            </w:r>
            <w:r>
              <w:rPr>
                <w:rFonts w:ascii="Times New Roman" w:hAnsi="Times New Roman"/>
                <w:b/>
                <w:i/>
                <w:sz w:val="20"/>
              </w:rPr>
              <w:t>Regulated Fund</w:t>
            </w:r>
            <w:r>
              <w:rPr>
                <w:rFonts w:ascii="Times New Roman" w:hAnsi="Times New Roman"/>
                <w:sz w:val="20"/>
              </w:rPr>
              <w:t>” means the Existing Regulated</w:t>
            </w:r>
            <w:r>
              <w:rPr>
                <w:rFonts w:ascii="Times New Roman" w:hAnsi="Times New Roman"/>
                <w:strike/>
                <w:color w:val="FF0000"/>
                <w:sz w:val="20"/>
              </w:rPr>
              <w:t xml:space="preserve"> Funds</w:t>
            </w:r>
            <w:r>
              <w:rPr>
                <w:rFonts w:ascii="Times New Roman" w:hAnsi="Times New Roman"/>
                <w:color w:val="0000FF"/>
                <w:sz w:val="20"/>
                <w:u w:val="single"/>
                <w:bdr w:val="double" w:sz="2" w:space="1" w:color="000000"/>
              </w:rPr>
              <w:t>Fund</w:t>
            </w:r>
            <w:r>
              <w:rPr>
                <w:rFonts w:ascii="Times New Roman" w:hAnsi="Times New Roman"/>
                <w:sz w:val="20"/>
              </w:rPr>
              <w:t xml:space="preserve"> and any Future Regulated Funds. “</w:t>
            </w:r>
            <w:r>
              <w:rPr>
                <w:rFonts w:ascii="Times New Roman" w:hAnsi="Times New Roman"/>
                <w:b/>
                <w:i/>
                <w:sz w:val="20"/>
              </w:rPr>
              <w:t>Future Regulated Fund</w:t>
            </w:r>
            <w:r>
              <w:rPr>
                <w:rFonts w:ascii="Times New Roman" w:hAnsi="Times New Roman"/>
                <w:sz w:val="20"/>
              </w:rPr>
              <w:t xml:space="preserve">”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hAnsi="Times New Roman"/>
                <w:b/>
                <w:i/>
                <w:sz w:val="20"/>
              </w:rPr>
              <w:t>Wholly-Owned Investment Sub</w:t>
            </w:r>
            <w:r>
              <w:rPr>
                <w:rFonts w:ascii="Times New Roman" w:hAnsi="Times New Roman"/>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hAnsi="Times New Roman"/>
                <w:b/>
                <w:i/>
                <w:sz w:val="20"/>
              </w:rPr>
              <w:t>Joint Venture</w:t>
            </w:r>
            <w:r>
              <w:rPr>
                <w:rFonts w:ascii="Times New Roman" w:hAnsi="Times New Roman"/>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hAnsi="Times New Roman"/>
                <w:b/>
                <w:i/>
                <w:sz w:val="20"/>
              </w:rPr>
              <w:t>BDC Downstream Fund</w:t>
            </w:r>
            <w:r>
              <w:rPr>
                <w:rFonts w:ascii="Times New Roman" w:hAnsi="Times New Roman"/>
                <w:sz w:val="20"/>
              </w:rPr>
              <w:t xml:space="preserve">”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sz w:val="13"/>
              </w:rPr>
              <w:t>5</w:t>
            </w:r>
            <w:r>
              <w:rPr>
                <w:color w:val="0000FF"/>
                <w:u w:val="single"/>
                <w:bdr w:val="double" w:sz="2" w:space="1" w:color="000000"/>
              </w:rPr>
              <w:t xml:space="preserve">6 </w:t>
            </w:r>
            <w:r>
              <w:rPr/>
              <w:t> </w:t>
            </w:r>
          </w:p>
        </w:tc>
        <w:tc>
          <w:tcPr>
            <w:tcW w:w="9799" w:type="dxa"/>
            <w:tcBorders/>
          </w:tcPr>
          <w:p>
            <w:pPr>
              <w:pStyle w:val="TableContents"/>
              <w:bidi w:val="0"/>
              <w:spacing w:before="0" w:after="0"/>
              <w:jc w:val="left"/>
              <w:rPr/>
            </w:pPr>
            <w:r>
              <w:rPr/>
              <w:t>“</w:t>
            </w:r>
            <w:r>
              <w:rPr>
                <w:rFonts w:ascii="Times New Roman" w:hAnsi="Times New Roman"/>
                <w:b/>
                <w:i/>
                <w:sz w:val="20"/>
              </w:rPr>
              <w:t>Affiliated Entity</w:t>
            </w:r>
            <w:r>
              <w:rPr>
                <w:rFonts w:ascii="Times New Roman" w:hAnsi="Times New Roman"/>
                <w:sz w:val="20"/>
              </w:rPr>
              <w:t xml:space="preserve">”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 To the extent that an entity described in clause (b) is not advised by an Adviser, such entity shall be deemed to be an Adviser for purposes of the conditions.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sz w:val="13"/>
              </w:rPr>
              <w:t>6</w:t>
            </w:r>
            <w:r>
              <w:rPr>
                <w:color w:val="0000FF"/>
                <w:u w:val="single"/>
                <w:bdr w:val="double" w:sz="2" w:space="1" w:color="000000"/>
              </w:rPr>
              <w:t xml:space="preserve">7 </w:t>
            </w:r>
            <w:r>
              <w:rPr/>
              <w:t> </w:t>
            </w:r>
          </w:p>
        </w:tc>
        <w:tc>
          <w:tcPr>
            <w:tcW w:w="9799" w:type="dxa"/>
            <w:tcBorders/>
          </w:tcPr>
          <w:p>
            <w:pPr>
              <w:pStyle w:val="TableContents"/>
              <w:bidi w:val="0"/>
              <w:spacing w:before="0" w:after="0"/>
              <w:jc w:val="left"/>
              <w:rPr/>
            </w:pPr>
            <w:r>
              <w:rPr/>
              <w:t>“</w:t>
            </w:r>
            <w:r>
              <w:rPr>
                <w:rFonts w:ascii="Times New Roman" w:hAnsi="Times New Roman"/>
                <w:b/>
                <w:i/>
                <w:sz w:val="20"/>
              </w:rPr>
              <w:t>Co-Investment Transaction</w:t>
            </w:r>
            <w:r>
              <w:rPr>
                <w:rFonts w:ascii="Times New Roman" w:hAnsi="Times New Roman"/>
                <w:sz w:val="20"/>
              </w:rPr>
              <w:t xml:space="preserve">” means the acquisition or Disposition of securities of an issuer in a transaction effected in reliance on the Order or previously granted relief. effected in reliance on the Order or previously granted relief.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7</w:t>
            </w:r>
            <w:r>
              <w:rPr>
                <w:color w:val="0000FF"/>
                <w:u w:val="single"/>
                <w:bdr w:val="double" w:sz="2" w:space="1" w:color="000000"/>
              </w:rPr>
              <w:t xml:space="preserve">8 </w:t>
            </w:r>
            <w:r>
              <w:rPr/>
              <w:t> </w:t>
            </w:r>
          </w:p>
        </w:tc>
        <w:tc>
          <w:tcPr>
            <w:tcW w:w="9798" w:type="dxa"/>
            <w:tcBorders/>
          </w:tcPr>
          <w:p>
            <w:pPr>
              <w:pStyle w:val="TableContents"/>
              <w:bidi w:val="0"/>
              <w:spacing w:before="0" w:after="0"/>
              <w:jc w:val="left"/>
              <w:rPr/>
            </w:pPr>
            <w:r>
              <w:rPr/>
              <w:t>“</w:t>
            </w:r>
            <w:r>
              <w:rPr>
                <w:rFonts w:ascii="Times New Roman" w:hAnsi="Times New Roman"/>
                <w:b/>
                <w:i/>
                <w:sz w:val="20"/>
              </w:rPr>
              <w:t>Adviser</w:t>
            </w:r>
            <w:r>
              <w:rPr>
                <w:rFonts w:ascii="Times New Roman" w:hAnsi="Times New Roman"/>
                <w:sz w:val="20"/>
              </w:rPr>
              <w:t>” means</w:t>
            </w:r>
            <w:r>
              <w:rPr>
                <w:rFonts w:ascii="Times New Roman" w:hAnsi="Times New Roman"/>
                <w:strike/>
                <w:color w:val="FF0000"/>
                <w:sz w:val="20"/>
              </w:rPr>
              <w:t xml:space="preserve"> BFA, CFA</w:t>
            </w:r>
            <w:r>
              <w:rPr>
                <w:rFonts w:ascii="Times New Roman" w:hAnsi="Times New Roman"/>
                <w:color w:val="0000FF"/>
                <w:sz w:val="20"/>
                <w:u w:val="single"/>
                <w:bdr w:val="double" w:sz="2" w:space="1" w:color="000000"/>
              </w:rPr>
              <w:t>the Existing Adviser</w:t>
            </w:r>
            <w:r>
              <w:rPr>
                <w:rFonts w:ascii="Times New Roman" w:hAnsi="Times New Roman"/>
                <w:sz w:val="20"/>
              </w:rPr>
              <w:t>, and any other investment adviser</w:t>
            </w:r>
            <w:r>
              <w:rPr>
                <w:rFonts w:ascii="Times New Roman" w:hAnsi="Times New Roman"/>
                <w:strike/>
                <w:color w:val="FF0000"/>
                <w:sz w:val="20"/>
              </w:rPr>
              <w:t>,</w:t>
            </w:r>
            <w:r>
              <w:rPr>
                <w:rFonts w:ascii="Times New Roman" w:hAnsi="Times New Roman"/>
                <w:sz w:val="20"/>
              </w:rPr>
              <w:t xml:space="preserve"> controlling, controlled by, or under common control with </w:t>
            </w:r>
            <w:r>
              <w:rPr>
                <w:rFonts w:ascii="Times New Roman" w:hAnsi="Times New Roman"/>
                <w:strike/>
                <w:color w:val="FF0000"/>
                <w:sz w:val="20"/>
              </w:rPr>
              <w:t>BFA and/or CFA</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The term “Adviser” also includes any internally-managed Regulated Fund.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8</w:t>
            </w:r>
            <w:r>
              <w:rPr>
                <w:color w:val="0000FF"/>
                <w:u w:val="single"/>
                <w:bdr w:val="double" w:sz="2" w:space="1" w:color="000000"/>
              </w:rPr>
              <w:t xml:space="preserve">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Massachusetts Mutual Life Insurance Co. (pub. avail. June 7, 2000), Massachusetts Mutual Life Insurance Co. (pub. avail. July 28, 2000) and SMC Capital, Inc. (pub. avail. Sept. 5, 1995).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color w:val="0000FF"/>
          <w:sz w:val="20"/>
          <w:u w:val="single"/>
          <w:bdr w:val="double" w:sz="2" w:space="1" w:color="000000"/>
        </w:rPr>
        <w:t>II.</w:t>
      </w:r>
      <w:r>
        <w:rPr>
          <w:rFonts w:ascii="Times New Roman" w:hAnsi="Times New Roman"/>
          <w:b/>
          <w:sz w:val="20"/>
        </w:rPr>
        <w:t xml:space="preserve"> </w:t>
      </w:r>
      <w:r>
        <w:rPr>
          <w:rFonts w:ascii="Times New Roman" w:hAnsi="Times New Roman"/>
          <w:b/>
          <w:strike/>
          <w:color w:val="FF0000"/>
          <w:sz w:val="20"/>
          <w:u w:val="single"/>
        </w:rPr>
        <w:t>II.</w:t>
      </w:r>
      <w:r>
        <w:rPr>
          <w:rFonts w:ascii="Times New Roman" w:hAnsi="Times New Roman"/>
          <w:b/>
          <w:sz w:val="20"/>
        </w:rPr>
        <w:t xml:space="preserve"> </w:t>
      </w:r>
      <w:r>
        <w:rPr>
          <w:rFonts w:ascii="Times New Roman" w:hAnsi="Times New Roman"/>
          <w:b/>
          <w:sz w:val="20"/>
          <w:u w:val="single"/>
        </w:rPr>
        <w:t>GENERAL DESCRIPTION OF THE APPLICANTS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 The Existing Regulated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The Existing Regulated Fund was organized under the General Corporate Laws of the state of Maryland on February 14, 2011, for the purpose of operating as an externally-managed, non-diversified,</w:t>
      </w:r>
      <w:r>
        <w:rPr>
          <w:rFonts w:ascii="Times New Roman" w:hAnsi="Times New Roman"/>
          <w:color w:val="008000"/>
          <w:sz w:val="20"/>
          <w:u w:val="single"/>
          <w:bdr w:val="double" w:sz="2" w:space="1" w:color="000000"/>
        </w:rPr>
        <w:t xml:space="preserve"> closed-end management investment company that</w:t>
      </w:r>
      <w:r>
        <w:rPr>
          <w:rFonts w:ascii="Times New Roman" w:hAnsi="Times New Roman"/>
          <w:color w:val="0000FF"/>
          <w:sz w:val="20"/>
          <w:u w:val="single"/>
          <w:bdr w:val="double" w:sz="2" w:space="1" w:color="000000"/>
        </w:rPr>
        <w:t xml:space="preserve"> has elected to be regulated as a business development company under the 1940 Act. The Existing Regulated Fund completed its initial public offering on June 24, 2011, and its common stock is traded on the NASDAQ Global Market under the symbol “FDUS.” The Existing Regulated Fund has elected and intends to qualify annually to be</w:t>
      </w:r>
      <w:r>
        <w:rPr>
          <w:rFonts w:ascii="Times New Roman" w:hAnsi="Times New Roman"/>
          <w:color w:val="008000"/>
          <w:sz w:val="20"/>
          <w:u w:val="single"/>
          <w:bdr w:val="double" w:sz="2" w:space="1" w:color="000000"/>
        </w:rPr>
        <w:t xml:space="preserve"> treated as a regulated investment company under Sub-Chapter M of the</w:t>
      </w:r>
      <w:r>
        <w:rPr>
          <w:rFonts w:ascii="Times New Roman" w:hAnsi="Times New Roman"/>
          <w:color w:val="0000FF"/>
          <w:sz w:val="20"/>
          <w:u w:val="single"/>
          <w:bdr w:val="double" w:sz="2" w:space="1" w:color="000000"/>
        </w:rPr>
        <w:t xml:space="preserve"> Internal Revenue Code of 1986, as amended. The Existing Regulated Fund’s principal place of business is 1603 Orrington Avenue, Suite 1005, Evanston, Illinois 60201.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Bluerock Asset Management, LLC (“BAM”), a Delaware limited liability company formed in 2022, and/or one or more of its affiliates (collectively with BAM, “Bluerock Control Entities”) have controlling interests in each of the Advisers, and thus may be deemed to indirectly control the Regulated Funds. However, the Bluerock Control Entities are holding companies; they do not currently offer investment advisory services to any person, are not expected to do so in the future, and will not be the source of any Co-Investment Transactions under the requested Order. Accordingly, none of the Bluerock Control Entities have been included as Applicants.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A. BPRE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BPRE (formerly, Bluerock Total Income+ Real Estate Fund) is a Delaware statutory trust formed on May 25, 2012. BPRE is registered under the 1940 Act as a closed-end management investment company. BPRE commenced operations on October 22, 2012. BPRE’s common shares commenced trading on the New York Stock Exchange on December 16, 2025. BPRE is currently treated as a regulated investment company under Sub-Chapter M of the Internal Revenue Code of 1986, as amended (the “</w:t>
      </w:r>
      <w:r>
        <w:rPr>
          <w:rFonts w:ascii="Times New Roman" w:hAnsi="Times New Roman"/>
          <w:b/>
          <w:i/>
          <w:strike/>
          <w:color w:val="FF0000"/>
          <w:sz w:val="20"/>
        </w:rPr>
        <w:t>Code</w:t>
      </w: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BPRE’s primary</w:t>
      </w:r>
      <w:r>
        <w:rPr>
          <w:rFonts w:ascii="Times New Roman" w:hAnsi="Times New Roman"/>
          <w:color w:val="0000FF"/>
          <w:sz w:val="20"/>
          <w:u w:val="single"/>
          <w:bdr w:val="double" w:sz="2" w:space="1" w:color="000000"/>
        </w:rPr>
        <w:t>The Existing Regulated Fund’s</w:t>
      </w:r>
      <w:r>
        <w:rPr>
          <w:rFonts w:ascii="Times New Roman" w:hAnsi="Times New Roman"/>
          <w:sz w:val="20"/>
        </w:rPr>
        <w:t xml:space="preserve"> investment objective is to </w:t>
      </w:r>
      <w:r>
        <w:rPr>
          <w:rFonts w:ascii="Times New Roman" w:hAnsi="Times New Roman"/>
          <w:strike/>
          <w:color w:val="FF0000"/>
          <w:sz w:val="20"/>
        </w:rPr>
        <w:t>generate</w:t>
      </w:r>
      <w:r>
        <w:rPr>
          <w:rFonts w:ascii="Times New Roman" w:hAnsi="Times New Roman"/>
          <w:color w:val="0000FF"/>
          <w:sz w:val="20"/>
          <w:u w:val="single"/>
          <w:bdr w:val="double" w:sz="2" w:space="1" w:color="000000"/>
        </w:rPr>
        <w:t>provide attractive risk-adjusted returns by generating both</w:t>
      </w:r>
      <w:r>
        <w:rPr>
          <w:rFonts w:ascii="Times New Roman" w:hAnsi="Times New Roman"/>
          <w:sz w:val="20"/>
        </w:rPr>
        <w:t xml:space="preserve"> current income </w:t>
      </w:r>
      <w:r>
        <w:rPr>
          <w:rFonts w:ascii="Times New Roman" w:hAnsi="Times New Roman"/>
          <w:strike/>
          <w:color w:val="FF0000"/>
          <w:sz w:val="20"/>
        </w:rPr>
        <w:t>while secondarily seeking long-term</w:t>
      </w:r>
      <w:r>
        <w:rPr>
          <w:rFonts w:ascii="Times New Roman" w:hAnsi="Times New Roman"/>
          <w:color w:val="0000FF"/>
          <w:sz w:val="20"/>
          <w:u w:val="single"/>
          <w:bdr w:val="double" w:sz="2" w:space="1" w:color="000000"/>
        </w:rPr>
        <w:t>from its debt investments and</w:t>
      </w:r>
      <w:r>
        <w:rPr>
          <w:rFonts w:ascii="Times New Roman" w:hAnsi="Times New Roman"/>
          <w:sz w:val="20"/>
        </w:rPr>
        <w:t xml:space="preserve"> capital appreciation </w:t>
      </w:r>
      <w:r>
        <w:rPr>
          <w:rFonts w:ascii="Times New Roman" w:hAnsi="Times New Roman"/>
          <w:strike/>
          <w:color w:val="FF0000"/>
          <w:sz w:val="20"/>
        </w:rPr>
        <w:t>with low to moderate volatility and low correlation to the broader markets.</w:t>
      </w:r>
      <w:r>
        <w:rPr>
          <w:rFonts w:ascii="Times New Roman" w:hAnsi="Times New Roman"/>
          <w:sz w:val="20"/>
        </w:rPr>
        <w:t xml:space="preserve"> </w:t>
      </w:r>
      <w:r>
        <w:rPr>
          <w:rFonts w:ascii="Times New Roman" w:hAnsi="Times New Roman"/>
          <w:color w:val="0000FF"/>
          <w:sz w:val="20"/>
          <w:u w:val="single"/>
          <w:bdr w:val="double" w:sz="2" w:space="1" w:color="000000"/>
        </w:rPr>
        <w:t xml:space="preserve">from its equity related investments. The Existing Regulated Fund may invest in the equity securities of our portfolio companies, such as preferred stock, common stock, warrants and other equity interests, either directly or in conjunction with its debt investments. The Existing Regulated Fund </w:t>
      </w:r>
      <w:r>
        <w:rPr>
          <w:rFonts w:ascii="Times New Roman" w:hAnsi="Times New Roman"/>
          <w:strike/>
          <w:color w:val="FF0000"/>
          <w:sz w:val="20"/>
        </w:rPr>
        <w:t>BPRE has a six-member board of</w:t>
      </w:r>
      <w:r>
        <w:rPr>
          <w:rFonts w:ascii="Times New Roman" w:hAnsi="Times New Roman"/>
          <w:sz w:val="20"/>
        </w:rPr>
        <w:t xml:space="preserve"> </w:t>
      </w:r>
      <w:r>
        <w:rPr>
          <w:rFonts w:ascii="Times New Roman" w:hAnsi="Times New Roman"/>
          <w:strike/>
          <w:color w:val="FF0000"/>
          <w:sz w:val="20"/>
        </w:rPr>
        <w:t>trustees (the “</w:t>
      </w:r>
      <w:r>
        <w:rPr>
          <w:rFonts w:ascii="Times New Roman" w:hAnsi="Times New Roman"/>
          <w:b/>
          <w:i/>
          <w:strike/>
          <w:color w:val="FF0000"/>
          <w:sz w:val="20"/>
        </w:rPr>
        <w:t>BPRE Board</w:t>
      </w:r>
      <w:r>
        <w:rPr>
          <w:rFonts w:ascii="Times New Roman" w:hAnsi="Times New Roman"/>
          <w:strike/>
          <w:color w:val="FF0000"/>
          <w:sz w:val="20"/>
        </w:rPr>
        <w:t>”), of which four members are not “interested” persons of BPRE within the meaning of Section 2(a)(19) of the 1940 Act.9</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strike/>
                <w:color w:val="FF0000"/>
                <w:sz w:val="13"/>
              </w:rPr>
            </w:pPr>
            <w:r>
              <w:rPr>
                <w:strike/>
                <w:color w:val="FF0000"/>
                <w:sz w:val="13"/>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008000"/>
                <w:sz w:val="20"/>
              </w:rPr>
              <w:t>The Board of each Future Regulated Fund will consist of a majority of members who are not “interested persons” of such Future Regulated Fund within the meaning of Section 2(a)(19) of the 1940 Act.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B. HI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HI is a Delaware statutory trust formed on August 19, 2021. HI is registered under the 1940 Act as a </w:t>
      </w:r>
      <w:r>
        <w:rPr>
          <w:rFonts w:ascii="Times New Roman" w:hAnsi="Times New Roman"/>
          <w:strike/>
          <w:color w:val="008000"/>
          <w:sz w:val="20"/>
        </w:rPr>
        <w:t xml:space="preserve">closed-end management investment company that </w:t>
      </w:r>
      <w:r>
        <w:rPr>
          <w:rFonts w:ascii="Times New Roman" w:hAnsi="Times New Roman"/>
          <w:strike/>
          <w:color w:val="FF0000"/>
          <w:sz w:val="20"/>
        </w:rPr>
        <w:t>operates as an interval fund pursuant to Rule 23c-3 under the 1940 Act. HI commenced operations on June 21, 2022. HI is currently</w:t>
      </w:r>
      <w:r>
        <w:rPr>
          <w:rFonts w:ascii="Times New Roman" w:hAnsi="Times New Roman"/>
          <w:strike/>
          <w:color w:val="008000"/>
          <w:sz w:val="20"/>
        </w:rPr>
        <w:t xml:space="preserve"> treated as a regulated investment company under Sub-Chapter M of the</w:t>
      </w:r>
      <w:r>
        <w:rPr>
          <w:rFonts w:ascii="Times New Roman" w:hAnsi="Times New Roman"/>
          <w:strike/>
          <w:color w:val="FF0000"/>
          <w:sz w:val="20"/>
        </w:rPr>
        <w:t xml:space="preserve"> 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HI’s primary investment objective is to generate high current income, while secondarily seeking attractive, long-term risk-adjusted returns, with low correlation to the broader markets.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HI</w:t>
      </w:r>
      <w:r>
        <w:rPr>
          <w:rFonts w:ascii="Times New Roman" w:hAnsi="Times New Roman"/>
          <w:sz w:val="20"/>
        </w:rPr>
        <w:t xml:space="preserve"> has a</w:t>
      </w:r>
      <w:r>
        <w:rPr>
          <w:rFonts w:ascii="Times New Roman" w:hAnsi="Times New Roman"/>
          <w:strike/>
          <w:color w:val="FF0000"/>
          <w:sz w:val="20"/>
        </w:rPr>
        <w:t xml:space="preserve"> six-member</w:t>
      </w:r>
      <w:r>
        <w:rPr>
          <w:rFonts w:ascii="Times New Roman" w:hAnsi="Times New Roman"/>
          <w:color w:val="0000FF"/>
          <w:sz w:val="20"/>
          <w:u w:val="single"/>
          <w:bdr w:val="double" w:sz="2" w:space="1" w:color="000000"/>
        </w:rPr>
        <w:t>five-member</w:t>
      </w:r>
      <w:r>
        <w:rPr>
          <w:rFonts w:ascii="Times New Roman" w:hAnsi="Times New Roman"/>
          <w:sz w:val="20"/>
        </w:rPr>
        <w:t xml:space="preserve"> board</w:t>
      </w:r>
      <w:r>
        <w:rPr>
          <w:rFonts w:ascii="Times New Roman" w:hAnsi="Times New Roman"/>
          <w:strike/>
          <w:color w:val="FF0000"/>
          <w:sz w:val="20"/>
        </w:rPr>
        <w:t xml:space="preserve"> of trustees</w:t>
      </w:r>
      <w:r>
        <w:rPr>
          <w:rFonts w:ascii="Times New Roman" w:hAnsi="Times New Roman"/>
          <w:sz w:val="20"/>
        </w:rPr>
        <w:t xml:space="preserve"> (the “</w:t>
      </w:r>
      <w:r>
        <w:rPr>
          <w:rFonts w:ascii="Times New Roman" w:hAnsi="Times New Roman"/>
          <w:b/>
          <w:i/>
          <w:strike/>
          <w:color w:val="FF0000"/>
          <w:sz w:val="20"/>
        </w:rPr>
        <w:t>HI</w:t>
      </w:r>
      <w:r>
        <w:rPr>
          <w:rFonts w:ascii="Times New Roman" w:hAnsi="Times New Roman"/>
          <w:b/>
          <w:i/>
          <w:color w:val="0000FF"/>
          <w:sz w:val="20"/>
          <w:u w:val="single"/>
          <w:bdr w:val="double" w:sz="2" w:space="1" w:color="000000"/>
        </w:rPr>
        <w:t>Existing Regulated Fund</w:t>
      </w:r>
      <w:r>
        <w:rPr>
          <w:rFonts w:ascii="Times New Roman" w:hAnsi="Times New Roman"/>
          <w:b/>
          <w:i/>
          <w:sz w:val="20"/>
        </w:rPr>
        <w:t xml:space="preserve"> Board</w:t>
      </w:r>
      <w:r>
        <w:rPr>
          <w:rFonts w:ascii="Times New Roman" w:hAnsi="Times New Roman"/>
          <w:b/>
          <w:i/>
          <w:strike/>
          <w:color w:val="FF0000"/>
          <w:sz w:val="20"/>
        </w:rPr>
        <w:t>’’</w:t>
      </w:r>
      <w:r>
        <w:rPr>
          <w:rFonts w:ascii="Times New Roman" w:hAnsi="Times New Roman"/>
          <w:color w:val="0000FF"/>
          <w:sz w:val="20"/>
          <w:u w:val="single"/>
          <w:bdr w:val="double" w:sz="2" w:space="1" w:color="000000"/>
        </w:rPr>
        <w:t xml:space="preserve">,” </w:t>
      </w:r>
      <w:r>
        <w:rPr>
          <w:rFonts w:ascii="Times New Roman" w:hAnsi="Times New Roman"/>
          <w:sz w:val="20"/>
        </w:rPr>
        <w:t xml:space="preserve">and, together with </w:t>
      </w:r>
      <w:r>
        <w:rPr>
          <w:rFonts w:ascii="Times New Roman" w:hAnsi="Times New Roman"/>
          <w:strike/>
          <w:color w:val="FF0000"/>
          <w:sz w:val="20"/>
        </w:rPr>
        <w:t>the BPRE Board, and</w:t>
      </w:r>
      <w:r>
        <w:rPr>
          <w:rFonts w:ascii="Times New Roman" w:hAnsi="Times New Roman"/>
          <w:sz w:val="20"/>
        </w:rPr>
        <w:t xml:space="preserve"> any Future Regulated Fund’s board of directors, the “</w:t>
      </w:r>
      <w:r>
        <w:rPr>
          <w:rFonts w:ascii="Times New Roman" w:hAnsi="Times New Roman"/>
          <w:b/>
          <w:i/>
          <w:sz w:val="20"/>
        </w:rPr>
        <w:t>Board</w:t>
      </w:r>
      <w:r>
        <w:rPr>
          <w:rFonts w:ascii="Times New Roman" w:hAnsi="Times New Roman"/>
          <w:sz w:val="20"/>
        </w:rPr>
        <w:t xml:space="preserve">”), of which </w:t>
      </w:r>
      <w:r>
        <w:rPr>
          <w:rFonts w:ascii="Times New Roman" w:hAnsi="Times New Roman"/>
          <w:strike/>
          <w:color w:val="FF0000"/>
          <w:sz w:val="20"/>
        </w:rPr>
        <w:t>four</w:t>
      </w:r>
      <w:r>
        <w:rPr>
          <w:rFonts w:ascii="Times New Roman" w:hAnsi="Times New Roman"/>
          <w:color w:val="0000FF"/>
          <w:sz w:val="20"/>
          <w:u w:val="single"/>
          <w:bdr w:val="double" w:sz="2" w:space="1" w:color="000000"/>
        </w:rPr>
        <w:t>three</w:t>
      </w:r>
      <w:r>
        <w:rPr>
          <w:rFonts w:ascii="Times New Roman" w:hAnsi="Times New Roman"/>
          <w:sz w:val="20"/>
        </w:rPr>
        <w:t xml:space="preserve"> members are not “interested” persons of </w:t>
      </w:r>
      <w:r>
        <w:rPr>
          <w:rFonts w:ascii="Times New Roman" w:hAnsi="Times New Roman"/>
          <w:strike/>
          <w:color w:val="FF0000"/>
          <w:sz w:val="20"/>
        </w:rPr>
        <w:t>HI</w:t>
      </w:r>
      <w:r>
        <w:rPr>
          <w:rFonts w:ascii="Times New Roman" w:hAnsi="Times New Roman"/>
          <w:color w:val="0000FF"/>
          <w:sz w:val="20"/>
          <w:u w:val="single"/>
          <w:bdr w:val="double" w:sz="2" w:space="1" w:color="000000"/>
        </w:rPr>
        <w:t>the Existing Fund</w:t>
      </w:r>
      <w:r>
        <w:rPr>
          <w:rFonts w:ascii="Times New Roman" w:hAnsi="Times New Roman"/>
          <w:sz w:val="20"/>
        </w:rPr>
        <w:t xml:space="preserve"> within the meaning of Section 2(a)(19) of the 1940 Act.</w:t>
      </w:r>
      <w:r>
        <w:rPr>
          <w:rFonts w:ascii="Times New Roman" w:hAnsi="Times New Roman"/>
          <w:color w:val="0000FF"/>
          <w:sz w:val="20"/>
          <w:u w:val="single"/>
          <w:bdr w:val="double" w:sz="2" w:space="1" w:color="000000"/>
        </w:rPr>
        <w:t>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C. BFA and CFA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BFA is a Delaware limited liability company formed on May 11, 2012. BFA is registered with the SEC as an investment adviser under the Advisers Act. BFA is an indirect, majority-owned subsidiary of BAM and serves as investment adviser to BPRE.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 The Existing Wholly-Owned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Each of the Existing Wholly-Owned Subsidiaries is a direct or indirect wholly-owned subsidiary of the Existing Regulated Fund whose sole business purpose is to hold one or more investments on behalf of the Existing Regulated Fund. Each of the Existing Wholly-Owned Subsidiaries is a separate and distinct legal entity. The Existing Wholly-Owned Subsidiaries have investment objectives and strategies that are substantially the same as, or a subset of, those of the Existing Regulated Fund. The Existing Wholly-Owned Subsidiaries are not registered investment companies or business development companies.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 The Existing Affiliated Funds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The Existing Affiliated Funds are investment funds, each of whose investment adviser is the Existing Adviser and each of which would be an investment company but for Section 3(c)(7) of the 1940 Act.11 A list of the Existing Affiliated Funds and their respective investment adviser is included on Schedule B hereto.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 Existing Adviser</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The Existing Adviser was organized as a limited liability company under the laws of the state of Delaware, and is privately held.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color w:val="0000FF"/>
                <w:sz w:val="13"/>
                <w:u w:val="single"/>
                <w:bdr w:val="double" w:sz="2" w:space="1" w:color="000000"/>
              </w:rPr>
              <w:t>10</w:t>
            </w:r>
            <w:r>
              <w:rPr>
                <w:color w:val="008000"/>
                <w:u w:val="single"/>
                <w:bdr w:val="double" w:sz="2" w:space="1" w:color="000000"/>
              </w:rPr>
              <w:t xml:space="preserve">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color w:val="008000"/>
                <w:sz w:val="20"/>
                <w:u w:val="single"/>
                <w:bdr w:val="double" w:sz="2" w:space="1" w:color="000000"/>
              </w:rPr>
              <w:t>The Board of each Future Regulated Fund will consist of a majority of members who are not “interested persons” of such Future Regulated Fund within the meaning of Section 2(a)(19) of the 1940 Act.</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color w:val="0000FF"/>
                <w:sz w:val="13"/>
                <w:u w:val="single"/>
                <w:bdr w:val="double" w:sz="2" w:space="1" w:color="000000"/>
              </w:rPr>
              <w:t>11</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In the future, an Existing Affiliated Fund may register as an investment company under the 1940 Act and, if so registered, will be considered a Regulated Fund for purposes of this application.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CFA is a Delaware limited liability company formed on November 29, 2017. CFA</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is registered with the </w:t>
      </w:r>
      <w:r>
        <w:rPr>
          <w:rFonts w:ascii="Times New Roman" w:hAnsi="Times New Roman"/>
          <w:strike/>
          <w:color w:val="FF0000"/>
          <w:sz w:val="20"/>
        </w:rPr>
        <w:t>SEC</w:t>
      </w:r>
      <w:r>
        <w:rPr>
          <w:rFonts w:ascii="Times New Roman" w:hAnsi="Times New Roman"/>
          <w:color w:val="0000FF"/>
          <w:sz w:val="20"/>
          <w:u w:val="single"/>
          <w:bdr w:val="double" w:sz="2" w:space="1" w:color="000000"/>
        </w:rPr>
        <w:t>Commission</w:t>
      </w:r>
      <w:r>
        <w:rPr>
          <w:rFonts w:ascii="Times New Roman" w:hAnsi="Times New Roman"/>
          <w:color w:val="0000FF"/>
          <w:sz w:val="20"/>
        </w:rPr>
        <w:t xml:space="preserve"> </w:t>
      </w:r>
      <w:r>
        <w:rPr>
          <w:rFonts w:ascii="Times New Roman" w:hAnsi="Times New Roman"/>
          <w:sz w:val="20"/>
        </w:rPr>
        <w:t>as an investment adviser under the Advisers Act.</w:t>
      </w:r>
      <w:r>
        <w:rPr>
          <w:rFonts w:ascii="Times New Roman" w:hAnsi="Times New Roman"/>
          <w:strike/>
          <w:color w:val="FF0000"/>
          <w:sz w:val="20"/>
        </w:rPr>
        <w:t xml:space="preserve"> CFA is an indirect, majority-owned subsidiary of BAM</w:t>
      </w:r>
      <w:r>
        <w:rPr>
          <w:rFonts w:ascii="Times New Roman" w:hAnsi="Times New Roman"/>
          <w:color w:val="0000FF"/>
          <w:sz w:val="20"/>
          <w:u w:val="single"/>
          <w:bdr w:val="double" w:sz="2" w:space="1" w:color="000000"/>
        </w:rPr>
        <w:t>The Existing Adviser manages the consolidated assets of the Existing Regulated Fund</w:t>
      </w:r>
      <w:r>
        <w:rPr>
          <w:rFonts w:ascii="Times New Roman" w:hAnsi="Times New Roman"/>
          <w:sz w:val="20"/>
        </w:rPr>
        <w:t xml:space="preserve"> and serves as </w:t>
      </w:r>
      <w:r>
        <w:rPr>
          <w:rFonts w:ascii="Times New Roman" w:hAnsi="Times New Roman"/>
          <w:color w:val="0000FF"/>
          <w:sz w:val="20"/>
          <w:u w:val="single"/>
          <w:bdr w:val="double" w:sz="2" w:space="1" w:color="000000"/>
        </w:rPr>
        <w:t>the</w:t>
      </w:r>
      <w:r>
        <w:rPr>
          <w:rFonts w:ascii="Times New Roman" w:hAnsi="Times New Roman"/>
          <w:sz w:val="20"/>
        </w:rPr>
        <w:t xml:space="preserve"> investment adviser to </w:t>
      </w:r>
      <w:r>
        <w:rPr>
          <w:rFonts w:ascii="Times New Roman" w:hAnsi="Times New Roman"/>
          <w:strike/>
          <w:color w:val="FF0000"/>
          <w:sz w:val="20"/>
        </w:rPr>
        <w:t>HI.</w:t>
      </w:r>
      <w:r>
        <w:rPr>
          <w:rFonts w:ascii="Times New Roman" w:hAnsi="Times New Roman"/>
          <w:sz w:val="20"/>
        </w:rPr>
        <w:t xml:space="preserve"> </w:t>
      </w:r>
      <w:r>
        <w:rPr>
          <w:rFonts w:ascii="Times New Roman" w:hAnsi="Times New Roman"/>
          <w:color w:val="0000FF"/>
          <w:sz w:val="20"/>
          <w:u w:val="single"/>
          <w:bdr w:val="double" w:sz="2" w:space="1" w:color="000000"/>
        </w:rPr>
        <w:t>the Existing Regulated Fund pursuant to</w:t>
      </w:r>
      <w:r>
        <w:rPr>
          <w:rFonts w:ascii="Times New Roman" w:hAnsi="Times New Roman"/>
          <w:strike/>
          <w:color w:val="FF0000"/>
          <w:sz w:val="20"/>
        </w:rPr>
        <w:t xml:space="preserve"> Under</w:t>
      </w:r>
      <w:r>
        <w:rPr>
          <w:rFonts w:ascii="Times New Roman" w:hAnsi="Times New Roman"/>
          <w:sz w:val="20"/>
        </w:rPr>
        <w:t xml:space="preserve"> the terms of an investment advisory agreement </w:t>
      </w:r>
      <w:r>
        <w:rPr>
          <w:rFonts w:ascii="Times New Roman" w:hAnsi="Times New Roman"/>
          <w:strike/>
          <w:color w:val="FF0000"/>
          <w:sz w:val="20"/>
        </w:rPr>
        <w:t>with BPRE and HI, BFA and CFA, respectively, will, among other things, manage the investment portfolio, direct purchases and sales of portfolio securities and report thereon to each Existing Regulated Fund’s officers and directors regularly.</w:t>
      </w:r>
      <w:r>
        <w:rPr>
          <w:rFonts w:ascii="Times New Roman" w:hAnsi="Times New Roman"/>
          <w:color w:val="0000FF"/>
          <w:sz w:val="20"/>
          <w:u w:val="single"/>
          <w:bdr w:val="double" w:sz="2" w:space="1" w:color="000000"/>
        </w:rPr>
        <w:t>that has been approved by the Board. The Existing Adviser also advises the Existing Affiliated Funds.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III.</w:t>
      </w:r>
      <w:r>
        <w:rPr>
          <w:rFonts w:ascii="Times New Roman" w:hAnsi="Times New Roman"/>
          <w:b/>
          <w:sz w:val="20"/>
        </w:rPr>
        <w:t xml:space="preserve"> </w:t>
      </w:r>
      <w:r>
        <w:rPr>
          <w:rFonts w:ascii="Times New Roman" w:hAnsi="Times New Roman"/>
          <w:b/>
          <w:strike/>
          <w:color w:val="FF0000"/>
          <w:sz w:val="20"/>
          <w:u w:val="single"/>
        </w:rPr>
        <w:t>III.</w:t>
      </w:r>
      <w:r>
        <w:rPr>
          <w:rFonts w:ascii="Times New Roman" w:hAnsi="Times New Roman"/>
          <w:b/>
          <w:sz w:val="20"/>
        </w:rPr>
        <w:t xml:space="preserve"> </w:t>
      </w:r>
      <w:r>
        <w:rPr>
          <w:rFonts w:ascii="Times New Roman" w:hAnsi="Times New Roman"/>
          <w:b/>
          <w:sz w:val="20"/>
          <w:u w:val="single"/>
        </w:rPr>
        <w:t>ORDER REQUESTED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Applicants request an Order of the Commission under Sections 17(d) and 57(i) of the 1940 Act and Rule 17d-1 thereunder to permit, subject to the terms and conditions set forth below in this Application (the “</w:t>
      </w:r>
      <w:r>
        <w:rPr>
          <w:rFonts w:ascii="Times New Roman" w:hAnsi="Times New Roman"/>
          <w:b/>
          <w:i/>
          <w:sz w:val="20"/>
        </w:rPr>
        <w:t>Conditions</w:t>
      </w:r>
      <w:r>
        <w:rPr>
          <w:rFonts w:ascii="Times New Roman" w:hAnsi="Times New Roman"/>
          <w:sz w:val="20"/>
        </w:rPr>
        <w:t xml:space="preserve">”), each Regulated Fund to be able to participate with one or more Affiliated Entities in Co-Investment Transactions otherwise prohibited by Sections 17(d) and 57(a)(4) of the 1940 Act and Rule 17d-1 thereunder.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u w:val="single"/>
        </w:rPr>
        <w:t>A.</w:t>
      </w:r>
      <w:r>
        <w:rPr>
          <w:rFonts w:ascii="Times New Roman" w:hAnsi="Times New Roman"/>
          <w:sz w:val="20"/>
        </w:rPr>
        <w:t xml:space="preserve"> </w:t>
      </w:r>
      <w:r>
        <w:rPr>
          <w:rFonts w:ascii="Times New Roman" w:hAnsi="Times New Roman"/>
          <w:sz w:val="20"/>
          <w:u w:val="single"/>
        </w:rPr>
        <w:t>Applicable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 </w:t>
      </w:r>
    </w:p>
    <w:p>
      <w:pPr>
        <w:pStyle w:val="TextBody"/>
        <w:bidi w:val="0"/>
        <w:spacing w:before="240" w:after="0"/>
        <w:jc w:val="left"/>
        <w:rPr>
          <w:rFonts w:ascii="Times New Roman" w:hAnsi="Times New Roman"/>
          <w:sz w:val="20"/>
        </w:rPr>
      </w:pPr>
      <w:r>
        <w:rPr>
          <w:rFonts w:ascii="Times New Roman" w:hAnsi="Times New Roman"/>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hAnsi="Times New Roman"/>
          <w:strike/>
          <w:color w:val="FF0000"/>
          <w:sz w:val="20"/>
        </w:rPr>
        <w:t>10</w:t>
      </w:r>
      <w:r>
        <w:rPr>
          <w:rFonts w:ascii="Times New Roman" w:hAnsi="Times New Roman"/>
          <w:color w:val="0000FF"/>
          <w:sz w:val="13"/>
          <w:u w:val="single"/>
          <w:bdr w:val="double" w:sz="2" w:space="1" w:color="000000"/>
        </w:rPr>
        <w:t xml:space="preserve">12 </w:t>
      </w:r>
      <w:r>
        <w:rPr>
          <w:rFonts w:ascii="Times New Roman" w:hAnsi="Times New Roman"/>
          <w:sz w:val="20"/>
        </w:rPr>
        <w:t xml:space="preserve">in which the fund is a participant without first obtaining an order from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 </w:t>
      </w:r>
    </w:p>
    <w:p>
      <w:pPr>
        <w:pStyle w:val="TextBody"/>
        <w:bidi w:val="0"/>
        <w:spacing w:before="240" w:after="0"/>
        <w:jc w:val="left"/>
        <w:rPr>
          <w:rFonts w:ascii="Times New Roman" w:hAnsi="Times New Roman"/>
          <w:sz w:val="20"/>
        </w:rPr>
      </w:pPr>
      <w:r>
        <w:rPr>
          <w:rFonts w:ascii="Times New Roman" w:hAnsi="Times New Roman"/>
          <w:sz w:val="20"/>
        </w:rPr>
        <w:t xml:space="preserve">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10</w:t>
            </w:r>
            <w:r>
              <w:rPr>
                <w:color w:val="0000FF"/>
                <w:sz w:val="13"/>
                <w:u w:val="single"/>
                <w:bdr w:val="double" w:sz="2" w:space="1" w:color="000000"/>
              </w:rPr>
              <w:t xml:space="preserve">12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and any affiliated person of or principal underwriter for such registered company, or any affiliated person of such a person or principal underwriter, have a joint or a joint and several participation, or share in the profits of such enterprise or undertaking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u w:val="single"/>
        </w:rPr>
        <w:t>B.</w:t>
      </w:r>
      <w:r>
        <w:rPr>
          <w:rFonts w:ascii="Times New Roman" w:hAnsi="Times New Roman"/>
          <w:sz w:val="20"/>
        </w:rPr>
        <w:t xml:space="preserve"> </w:t>
      </w:r>
      <w:r>
        <w:rPr>
          <w:rFonts w:ascii="Times New Roman" w:hAnsi="Times New Roman"/>
          <w:sz w:val="20"/>
          <w:u w:val="single"/>
        </w:rPr>
        <w:t>Need for Relief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w:t>
      </w:r>
      <w:r>
        <w:rPr>
          <w:rFonts w:ascii="Times New Roman" w:hAnsi="Times New Roman"/>
          <w:color w:val="0000FF"/>
          <w:sz w:val="20"/>
          <w:u w:val="single"/>
          <w:bdr w:val="double" w:sz="2" w:space="1" w:color="000000"/>
        </w:rPr>
        <w:t xml:space="preserve">fund </w:t>
      </w:r>
      <w:r>
        <w:rPr>
          <w:rFonts w:ascii="Times New Roman" w:hAnsi="Times New Roman"/>
          <w:sz w:val="20"/>
        </w:rPr>
        <w:t xml:space="preserve">or closed-end fund or a business development company, respectively, including a sub-adviser. Thus, an Adviser and any Affiliated Entities that it advises could be deemed to be persons related to Regulated Funds in a manner described by Sections 17(d) and 57(b). </w:t>
      </w:r>
      <w:r>
        <w:rPr>
          <w:rFonts w:ascii="Times New Roman" w:hAnsi="Times New Roman"/>
          <w:strike/>
          <w:color w:val="FF0000"/>
          <w:sz w:val="20"/>
        </w:rPr>
        <w:t>BFA and CFA are each majority-owned by BAM, are under common control, and are thus affiliated persons of each other.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With</w:t>
      </w:r>
      <w:r>
        <w:rPr>
          <w:rFonts w:ascii="Times New Roman" w:hAnsi="Times New Roman"/>
          <w:strike/>
          <w:color w:val="FF0000"/>
          <w:sz w:val="20"/>
        </w:rPr>
        <w:t xml:space="preserve"> Accordingly, with</w:t>
      </w:r>
      <w:r>
        <w:rPr>
          <w:rFonts w:ascii="Times New Roman" w:hAnsi="Times New Roman"/>
          <w:sz w:val="20"/>
        </w:rPr>
        <w:t xml:space="preserve"> respect to </w:t>
      </w:r>
      <w:r>
        <w:rPr>
          <w:rFonts w:ascii="Times New Roman" w:hAnsi="Times New Roman"/>
          <w:strike/>
          <w:color w:val="FF0000"/>
          <w:sz w:val="20"/>
        </w:rPr>
        <w:t>BFA and CFA</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w:t>
      </w:r>
      <w:r>
        <w:rPr>
          <w:rFonts w:ascii="Times New Roman" w:hAnsi="Times New Roman"/>
          <w:strike/>
          <w:color w:val="FF0000"/>
          <w:sz w:val="20"/>
        </w:rPr>
        <w:t>BFA, CFA</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strike/>
          <w:color w:val="FF0000"/>
          <w:sz w:val="20"/>
          <w:u w:val="single"/>
        </w:rPr>
        <w:t>C.</w:t>
      </w:r>
      <w:r>
        <w:rPr>
          <w:rFonts w:ascii="Times New Roman" w:hAnsi="Times New Roman"/>
          <w:sz w:val="20"/>
        </w:rPr>
        <w:t xml:space="preserve"> </w:t>
      </w:r>
      <w:r>
        <w:rPr>
          <w:rFonts w:ascii="Times New Roman" w:hAnsi="Times New Roman"/>
          <w:sz w:val="20"/>
          <w:u w:val="single"/>
        </w:rPr>
        <w:t>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Applicants agree that any Order granting the requested relief will be subject to the following Conditions.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1.</w:t>
      </w:r>
      <w:r>
        <w:rPr>
          <w:rFonts w:ascii="Times New Roman" w:hAnsi="Times New Roman"/>
          <w:sz w:val="20"/>
        </w:rPr>
        <w:t xml:space="preserve"> </w:t>
      </w:r>
      <w:r>
        <w:rPr>
          <w:rFonts w:ascii="Times New Roman" w:hAnsi="Times New Roman"/>
          <w:strike/>
          <w:color w:val="FF0000"/>
          <w:sz w:val="20"/>
          <w:u w:val="single"/>
        </w:rPr>
        <w:t>1.</w:t>
      </w:r>
      <w:r>
        <w:rPr>
          <w:rFonts w:ascii="Times New Roman" w:hAnsi="Times New Roman"/>
          <w:sz w:val="20"/>
        </w:rPr>
        <w:t xml:space="preserve"> </w:t>
      </w:r>
      <w:r>
        <w:rPr>
          <w:rFonts w:ascii="Times New Roman" w:hAnsi="Times New Roman"/>
          <w:sz w:val="20"/>
          <w:u w:val="single"/>
        </w:rPr>
        <w:t>Same Terms</w:t>
      </w:r>
      <w:r>
        <w:rPr>
          <w:rFonts w:ascii="Times New Roman" w:hAnsi="Times New Roman"/>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hAnsi="Times New Roman"/>
          <w:strike/>
          <w:color w:val="FF0000"/>
          <w:sz w:val="20"/>
        </w:rPr>
        <w:t>11</w:t>
      </w:r>
      <w:r>
        <w:rPr>
          <w:rFonts w:ascii="Times New Roman" w:hAnsi="Times New Roman"/>
          <w:color w:val="0000FF"/>
          <w:sz w:val="20"/>
          <w:u w:val="single"/>
          <w:bdr w:val="double" w:sz="2" w:space="1" w:color="000000"/>
        </w:rPr>
        <w:t xml:space="preserve"> 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2.</w:t>
      </w:r>
      <w:r>
        <w:rPr>
          <w:rFonts w:ascii="Times New Roman" w:hAnsi="Times New Roman"/>
          <w:sz w:val="20"/>
        </w:rPr>
        <w:t xml:space="preserve"> </w:t>
      </w:r>
      <w:r>
        <w:rPr>
          <w:rFonts w:ascii="Times New Roman" w:hAnsi="Times New Roman"/>
          <w:strike/>
          <w:color w:val="FF0000"/>
          <w:sz w:val="20"/>
          <w:u w:val="single"/>
        </w:rPr>
        <w:t>2.</w:t>
      </w:r>
      <w:r>
        <w:rPr>
          <w:rFonts w:ascii="Times New Roman" w:hAnsi="Times New Roman"/>
          <w:sz w:val="20"/>
        </w:rPr>
        <w:t xml:space="preserve"> </w:t>
      </w:r>
      <w:r>
        <w:rPr>
          <w:rFonts w:ascii="Times New Roman" w:hAnsi="Times New Roman"/>
          <w:sz w:val="20"/>
          <w:u w:val="single"/>
        </w:rPr>
        <w:t>Existing Investments in the Issuer</w:t>
      </w:r>
      <w:r>
        <w:rPr>
          <w:rFonts w:ascii="Times New Roman" w:hAnsi="Times New Roman"/>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 w:hAnsi="Times New Roman"/>
          <w:strike/>
          <w:color w:val="FF0000"/>
          <w:sz w:val="20"/>
        </w:rPr>
        <w:t>12</w:t>
      </w:r>
      <w:r>
        <w:rPr>
          <w:rFonts w:ascii="Times New Roman" w:hAnsi="Times New Roman"/>
          <w:color w:val="0000FF"/>
          <w:sz w:val="13"/>
          <w:u w:val="single"/>
          <w:bdr w:val="double" w:sz="2" w:space="1" w:color="000000"/>
        </w:rPr>
        <w:t>14</w:t>
      </w:r>
      <w:r>
        <w:rPr>
          <w:rFonts w:ascii="Times New Roman" w:hAnsi="Times New Roman"/>
          <w:sz w:val="20"/>
        </w:rPr>
        <w:t xml:space="preserve"> of the Regulated Fund (“</w:t>
      </w:r>
      <w:r>
        <w:rPr>
          <w:rFonts w:ascii="Times New Roman" w:hAnsi="Times New Roman"/>
          <w:b/>
          <w:i/>
          <w:sz w:val="20"/>
        </w:rPr>
        <w:t>Required Majority</w:t>
      </w:r>
      <w:r>
        <w:rPr>
          <w:rFonts w:ascii="Times New Roman" w:hAnsi="Times New Roman"/>
          <w:sz w:val="20"/>
        </w:rPr>
        <w:t>”) will take the steps set forth in Section 57(f) of the 1940 Act,</w:t>
      </w:r>
      <w:r>
        <w:rPr>
          <w:rFonts w:ascii="Times New Roman" w:hAnsi="Times New Roman"/>
          <w:strike/>
          <w:color w:val="FF0000"/>
          <w:sz w:val="20"/>
        </w:rPr>
        <w:t>13</w:t>
      </w:r>
      <w:r>
        <w:rPr>
          <w:rFonts w:ascii="Times New Roman" w:hAnsi="Times New Roman"/>
          <w:color w:val="0000FF"/>
          <w:sz w:val="13"/>
          <w:u w:val="single"/>
          <w:bdr w:val="double" w:sz="2" w:space="1" w:color="000000"/>
        </w:rPr>
        <w:t xml:space="preserve">15 </w:t>
      </w:r>
      <w:r>
        <w:rPr>
          <w:rFonts w:ascii="Times New Roman" w:hAnsi="Times New Roman"/>
          <w:sz w:val="20"/>
        </w:rPr>
        <w:t xml:space="preserve">unless: (i) the Regulated Fund already holds the same security as each such Affiliated Entity; and (ii) the Regulated Fund and each other Affiliated Entity holding the security is participating in the acquisition in approximate proportion to its then-current holdings.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11</w:t>
            </w:r>
            <w:r>
              <w:rPr>
                <w:color w:val="0000FF"/>
                <w:sz w:val="13"/>
                <w:u w:val="single"/>
                <w:bdr w:val="double" w:sz="2" w:space="1" w:color="000000"/>
              </w:rPr>
              <w:t xml:space="preserve">13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 Board can also, consistent with applicable fund documents, facilitate this opportunity by delegating the authority to veto the selection of such person to a committee of the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12</w:t>
            </w:r>
            <w:r>
              <w:rPr>
                <w:color w:val="0000FF"/>
                <w:sz w:val="13"/>
                <w:u w:val="single"/>
                <w:bdr w:val="double" w:sz="2" w:space="1" w:color="000000"/>
              </w:rPr>
              <w:t xml:space="preserve">14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13</w:t>
            </w:r>
            <w:r>
              <w:rPr>
                <w:color w:val="0000FF"/>
                <w:sz w:val="13"/>
                <w:u w:val="single"/>
                <w:bdr w:val="double" w:sz="2" w:space="1" w:color="000000"/>
              </w:rPr>
              <w:t xml:space="preserve">15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3.</w:t>
      </w:r>
      <w:r>
        <w:rPr>
          <w:rFonts w:ascii="Times New Roman" w:hAnsi="Times New Roman"/>
          <w:sz w:val="20"/>
        </w:rPr>
        <w:t xml:space="preserve"> </w:t>
      </w:r>
      <w:r>
        <w:rPr>
          <w:rFonts w:ascii="Times New Roman" w:hAnsi="Times New Roman"/>
          <w:strike/>
          <w:color w:val="FF0000"/>
          <w:sz w:val="20"/>
          <w:u w:val="single"/>
        </w:rPr>
        <w:t>3.</w:t>
      </w:r>
      <w:r>
        <w:rPr>
          <w:rFonts w:ascii="Times New Roman" w:hAnsi="Times New Roman"/>
          <w:sz w:val="20"/>
        </w:rPr>
        <w:t xml:space="preserve"> </w:t>
      </w:r>
      <w:r>
        <w:rPr>
          <w:rFonts w:ascii="Times New Roman" w:hAnsi="Times New Roman"/>
          <w:sz w:val="20"/>
          <w:u w:val="single"/>
        </w:rPr>
        <w:t>Related Expenses</w:t>
      </w:r>
      <w:r>
        <w:rPr>
          <w:rFonts w:ascii="Times New Roman" w:hAnsi="Times New Roman"/>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 w:hAnsi="Times New Roman"/>
          <w:strike/>
          <w:color w:val="FF0000"/>
          <w:sz w:val="20"/>
        </w:rPr>
        <w:t>14</w:t>
      </w:r>
      <w:r>
        <w:rPr>
          <w:rFonts w:ascii="Times New Roman" w:hAnsi="Times New Roman"/>
          <w:color w:val="0000FF"/>
          <w:sz w:val="20"/>
          <w:u w:val="single"/>
          <w:bdr w:val="double" w:sz="2" w:space="1" w:color="000000"/>
        </w:rPr>
        <w:t>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4.</w:t>
      </w:r>
      <w:r>
        <w:rPr>
          <w:rFonts w:ascii="Times New Roman" w:hAnsi="Times New Roman"/>
          <w:sz w:val="20"/>
        </w:rPr>
        <w:t xml:space="preserve"> </w:t>
      </w:r>
      <w:r>
        <w:rPr>
          <w:rFonts w:ascii="Times New Roman" w:hAnsi="Times New Roman"/>
          <w:strike/>
          <w:color w:val="FF0000"/>
          <w:sz w:val="20"/>
          <w:u w:val="single"/>
        </w:rPr>
        <w:t>4.</w:t>
      </w:r>
      <w:r>
        <w:rPr>
          <w:rFonts w:ascii="Times New Roman" w:hAnsi="Times New Roman"/>
          <w:sz w:val="20"/>
        </w:rPr>
        <w:t xml:space="preserve"> </w:t>
      </w:r>
      <w:r>
        <w:rPr>
          <w:rFonts w:ascii="Times New Roman" w:hAnsi="Times New Roman"/>
          <w:sz w:val="20"/>
          <w:u w:val="single"/>
        </w:rPr>
        <w:t>No Remuneration</w:t>
      </w:r>
      <w:r>
        <w:rPr>
          <w:rFonts w:ascii="Times New Roman" w:hAnsi="Times New Roman"/>
          <w:sz w:val="20"/>
        </w:rPr>
        <w:t>. Any transaction fee</w:t>
      </w:r>
      <w:r>
        <w:rPr>
          <w:rFonts w:ascii="Times New Roman" w:hAnsi="Times New Roman"/>
          <w:strike/>
          <w:color w:val="FF0000"/>
          <w:sz w:val="20"/>
        </w:rPr>
        <w:t>15</w:t>
      </w:r>
      <w:r>
        <w:rPr>
          <w:rFonts w:ascii="Times New Roman" w:hAnsi="Times New Roman"/>
          <w:color w:val="0000FF"/>
          <w:sz w:val="13"/>
          <w:u w:val="single"/>
          <w:bdr w:val="double" w:sz="2" w:space="1" w:color="000000"/>
        </w:rPr>
        <w:t>17</w:t>
      </w:r>
      <w:r>
        <w:rPr>
          <w:rFonts w:ascii="Times New Roman" w:hAnsi="Times New Roman"/>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5.</w:t>
      </w:r>
      <w:r>
        <w:rPr>
          <w:rFonts w:ascii="Times New Roman" w:hAnsi="Times New Roman"/>
          <w:sz w:val="20"/>
        </w:rPr>
        <w:t xml:space="preserve"> </w:t>
      </w:r>
      <w:r>
        <w:rPr>
          <w:rFonts w:ascii="Times New Roman" w:hAnsi="Times New Roman"/>
          <w:strike/>
          <w:color w:val="FF0000"/>
          <w:sz w:val="20"/>
          <w:u w:val="single"/>
        </w:rPr>
        <w:t>5.</w:t>
      </w:r>
      <w:r>
        <w:rPr>
          <w:rFonts w:ascii="Times New Roman" w:hAnsi="Times New Roman"/>
          <w:sz w:val="20"/>
        </w:rPr>
        <w:t xml:space="preserve"> </w:t>
      </w:r>
      <w:r>
        <w:rPr>
          <w:rFonts w:ascii="Times New Roman" w:hAnsi="Times New Roman"/>
          <w:sz w:val="20"/>
          <w:u w:val="single"/>
        </w:rPr>
        <w:t>Co-Investment Policies</w:t>
      </w:r>
      <w:r>
        <w:rPr>
          <w:rFonts w:ascii="Times New Roman" w:hAnsi="Times New Roman"/>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hAnsi="Times New Roman"/>
          <w:b/>
          <w:i/>
          <w:sz w:val="20"/>
        </w:rPr>
        <w:t>Co-Investment Policies</w:t>
      </w:r>
      <w:r>
        <w:rPr>
          <w:rFonts w:ascii="Times New Roman" w:hAnsi="Times New Roman"/>
          <w:sz w:val="20"/>
        </w:rPr>
        <w:t>”). Each Adviser (and each Affiliated Entity that is not advised by an Adviser) will provide its Co-Investment Policies to the Regulated Funds and will notify the Regulated Funds of any material changes thereto.</w:t>
      </w:r>
      <w:r>
        <w:rPr>
          <w:rFonts w:ascii="Times New Roman" w:hAnsi="Times New Roman"/>
          <w:strike/>
          <w:color w:val="FF0000"/>
          <w:sz w:val="20"/>
        </w:rPr>
        <w:t>16</w:t>
      </w:r>
      <w:r>
        <w:rPr>
          <w:rFonts w:ascii="Times New Roman" w:hAnsi="Times New Roman"/>
          <w:color w:val="0000FF"/>
          <w:sz w:val="20"/>
          <w:u w:val="single"/>
          <w:bdr w:val="double" w:sz="2" w:space="1" w:color="000000"/>
        </w:rPr>
        <w:t xml:space="preserve"> 18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6.</w:t>
      </w:r>
      <w:r>
        <w:rPr>
          <w:rFonts w:ascii="Times New Roman" w:hAnsi="Times New Roman"/>
          <w:sz w:val="20"/>
        </w:rPr>
        <w:t xml:space="preserve"> </w:t>
      </w:r>
      <w:r>
        <w:rPr>
          <w:rFonts w:ascii="Times New Roman" w:hAnsi="Times New Roman"/>
          <w:strike/>
          <w:color w:val="FF0000"/>
          <w:sz w:val="20"/>
          <w:u w:val="single"/>
        </w:rPr>
        <w:t>6.</w:t>
      </w:r>
      <w:r>
        <w:rPr>
          <w:rFonts w:ascii="Times New Roman" w:hAnsi="Times New Roman"/>
          <w:sz w:val="20"/>
        </w:rPr>
        <w:t xml:space="preserve"> </w:t>
      </w:r>
      <w:r>
        <w:rPr>
          <w:rFonts w:ascii="Times New Roman" w:hAnsi="Times New Roman"/>
          <w:sz w:val="20"/>
          <w:u w:val="single"/>
        </w:rPr>
        <w:t>Dispositions</w:t>
      </w:r>
      <w:r>
        <w:rPr>
          <w:rFonts w:ascii="Times New Roman" w:hAnsi="Times New Roman"/>
          <w:strike/>
          <w:color w:val="FF0000"/>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rPr>
        <w:t>(a)</w:t>
      </w:r>
      <w:r>
        <w:rPr>
          <w:rFonts w:ascii="Times New Roman" w:hAnsi="Times New Roman"/>
          <w:sz w:val="20"/>
        </w:rPr>
        <w:t xml:space="preserve"> Prior to any Disposition</w:t>
      </w:r>
      <w:r>
        <w:rPr>
          <w:rFonts w:ascii="Times New Roman" w:hAnsi="Times New Roman"/>
          <w:strike/>
          <w:color w:val="FF0000"/>
          <w:sz w:val="20"/>
        </w:rPr>
        <w:t>17</w:t>
      </w:r>
      <w:r>
        <w:rPr>
          <w:rFonts w:ascii="Times New Roman" w:hAnsi="Times New Roman"/>
          <w:color w:val="0000FF"/>
          <w:sz w:val="13"/>
          <w:u w:val="single"/>
          <w:bdr w:val="double" w:sz="2" w:space="1" w:color="000000"/>
        </w:rPr>
        <w:t>19</w:t>
      </w:r>
      <w:r>
        <w:rPr>
          <w:rFonts w:ascii="Times New Roman" w:hAnsi="Times New Roman"/>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14</w:t>
            </w:r>
            <w:r>
              <w:rPr>
                <w:color w:val="0000FF"/>
                <w:sz w:val="13"/>
                <w:u w:val="single"/>
                <w:bdr w:val="double" w:sz="2" w:space="1" w:color="000000"/>
              </w:rPr>
              <w:t xml:space="preserve">16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of an individual Participant that are incurred solely by the Participant due to its unique circumstances (such as legal and compliance expenses) will be borne by such Participant.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15</w:t>
            </w:r>
            <w:r>
              <w:rPr>
                <w:color w:val="0000FF"/>
                <w:sz w:val="13"/>
                <w:u w:val="single"/>
                <w:bdr w:val="double" w:sz="2" w:space="1" w:color="000000"/>
              </w:rPr>
              <w:t xml:space="preserve">17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Applicants are not requesting and the Commission is not providing any relief for transaction fees received in connection with any Co-Investment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16</w:t>
            </w:r>
            <w:r>
              <w:rPr>
                <w:color w:val="0000FF"/>
                <w:sz w:val="13"/>
                <w:u w:val="single"/>
                <w:bdr w:val="double" w:sz="2" w:space="1" w:color="000000"/>
              </w:rPr>
              <w:t xml:space="preserve">18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Entities may adopt shared Co-Investment Policies.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17</w:t>
            </w:r>
            <w:r>
              <w:rPr>
                <w:color w:val="0000FF"/>
                <w:sz w:val="13"/>
                <w:u w:val="single"/>
                <w:bdr w:val="double" w:sz="2" w:space="1" w:color="000000"/>
              </w:rPr>
              <w:t xml:space="preserve">19 </w:t>
            </w:r>
            <w:r>
              <w:rPr/>
              <w:t> </w:t>
            </w:r>
          </w:p>
        </w:tc>
        <w:tc>
          <w:tcPr>
            <w:tcW w:w="9798" w:type="dxa"/>
            <w:tcBorders/>
          </w:tcPr>
          <w:p>
            <w:pPr>
              <w:pStyle w:val="TableContents"/>
              <w:bidi w:val="0"/>
              <w:spacing w:before="0" w:after="0"/>
              <w:jc w:val="left"/>
              <w:rPr/>
            </w:pPr>
            <w:r>
              <w:rPr/>
              <w:t>“</w:t>
            </w:r>
            <w:r>
              <w:rPr>
                <w:rFonts w:ascii="Times New Roman" w:hAnsi="Times New Roman"/>
                <w:b/>
                <w:i/>
                <w:sz w:val="20"/>
              </w:rPr>
              <w:t>Disposition</w:t>
            </w:r>
            <w:r>
              <w:rPr>
                <w:rFonts w:ascii="Times New Roman" w:hAnsi="Times New Roman"/>
                <w:sz w:val="20"/>
              </w:rPr>
              <w:t xml:space="preserve">” means the sale, exchange, transfer or other disposition of an interest in a security of an issuer.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u w:val="single"/>
        </w:rPr>
        <w:t>(b)</w:t>
      </w:r>
      <w:r>
        <w:rPr>
          <w:rFonts w:ascii="Times New Roman" w:hAnsi="Times New Roman"/>
          <w:sz w:val="20"/>
        </w:rPr>
        <w:t xml:space="preserve">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hAnsi="Times New Roman"/>
          <w:strike/>
          <w:color w:val="FF0000"/>
          <w:sz w:val="20"/>
        </w:rPr>
        <w:t>18</w:t>
      </w:r>
      <w:r>
        <w:rPr>
          <w:rFonts w:ascii="Times New Roman" w:hAnsi="Times New Roman"/>
          <w:color w:val="0000FF"/>
          <w:sz w:val="20"/>
          <w:u w:val="single"/>
          <w:bdr w:val="double" w:sz="2" w:space="1" w:color="000000"/>
        </w:rPr>
        <w:t xml:space="preserve">20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7.</w:t>
      </w:r>
      <w:r>
        <w:rPr>
          <w:rFonts w:ascii="Times New Roman" w:hAnsi="Times New Roman"/>
          <w:sz w:val="20"/>
        </w:rPr>
        <w:t xml:space="preserve"> </w:t>
      </w:r>
      <w:r>
        <w:rPr>
          <w:rFonts w:ascii="Times New Roman" w:hAnsi="Times New Roman"/>
          <w:strike/>
          <w:color w:val="FF0000"/>
          <w:sz w:val="20"/>
          <w:u w:val="single"/>
        </w:rPr>
        <w:t>7.</w:t>
      </w:r>
      <w:r>
        <w:rPr>
          <w:rFonts w:ascii="Times New Roman" w:hAnsi="Times New Roman"/>
          <w:sz w:val="20"/>
        </w:rPr>
        <w:t xml:space="preserve"> </w:t>
      </w:r>
      <w:r>
        <w:rPr>
          <w:rFonts w:ascii="Times New Roman" w:hAnsi="Times New Roman"/>
          <w:sz w:val="20"/>
          <w:u w:val="single"/>
        </w:rPr>
        <w:t>Board Oversight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u w:val="single"/>
        </w:rPr>
        <w:t>(a)</w:t>
      </w:r>
      <w:r>
        <w:rPr>
          <w:rFonts w:ascii="Times New Roman" w:hAnsi="Times New Roman"/>
          <w:sz w:val="20"/>
        </w:rPr>
        <w:t xml:space="preserve"> Each Regulated Fund’s directors will oversee the Regulated Fund’s participation in the co-investment program in the exercise of their reasonable business judgment.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u w:val="single"/>
        </w:rPr>
        <w:t>(b)</w:t>
      </w:r>
      <w:r>
        <w:rPr>
          <w:rFonts w:ascii="Times New Roman" w:hAnsi="Times New Roman"/>
          <w:sz w:val="20"/>
        </w:rPr>
        <w:t xml:space="preserve">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strike/>
          <w:color w:val="FF0000"/>
          <w:sz w:val="20"/>
          <w:u w:val="single"/>
        </w:rPr>
        <w:t>(c)</w:t>
      </w:r>
      <w:r>
        <w:rPr>
          <w:rFonts w:ascii="Times New Roman" w:hAnsi="Times New Roman"/>
          <w:sz w:val="20"/>
        </w:rPr>
        <w:t xml:space="preserve">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strike/>
          <w:color w:val="FF0000"/>
          <w:sz w:val="20"/>
          <w:u w:val="single"/>
        </w:rPr>
        <w:t>(d)</w:t>
      </w:r>
      <w:r>
        <w:rPr>
          <w:rFonts w:ascii="Times New Roman" w:hAnsi="Times New Roman"/>
          <w:sz w:val="20"/>
        </w:rPr>
        <w:t xml:space="preserve">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strike/>
          <w:color w:val="FF0000"/>
          <w:sz w:val="20"/>
          <w:u w:val="single"/>
        </w:rPr>
        <w:t>(e)</w:t>
      </w:r>
      <w:r>
        <w:rPr>
          <w:rFonts w:ascii="Times New Roman" w:hAnsi="Times New Roman"/>
          <w:sz w:val="20"/>
        </w:rPr>
        <w:t xml:space="preserv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8.</w:t>
      </w:r>
      <w:r>
        <w:rPr>
          <w:rFonts w:ascii="Times New Roman" w:hAnsi="Times New Roman"/>
          <w:sz w:val="20"/>
        </w:rPr>
        <w:t xml:space="preserve"> </w:t>
      </w:r>
      <w:r>
        <w:rPr>
          <w:rFonts w:ascii="Times New Roman" w:hAnsi="Times New Roman"/>
          <w:strike/>
          <w:color w:val="FF0000"/>
          <w:sz w:val="20"/>
          <w:u w:val="single"/>
        </w:rPr>
        <w:t>8.</w:t>
      </w:r>
      <w:r>
        <w:rPr>
          <w:rFonts w:ascii="Times New Roman" w:hAnsi="Times New Roman"/>
          <w:sz w:val="20"/>
        </w:rPr>
        <w:t xml:space="preserve"> </w:t>
      </w:r>
      <w:r>
        <w:rPr>
          <w:rFonts w:ascii="Times New Roman" w:hAnsi="Times New Roman"/>
          <w:sz w:val="20"/>
          <w:u w:val="single"/>
        </w:rPr>
        <w:t>Recordkeeping</w:t>
      </w:r>
      <w:r>
        <w:rPr>
          <w:rFonts w:ascii="Times New Roman" w:hAnsi="Times New Roman"/>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hAnsi="Times New Roman"/>
          <w:strike/>
          <w:color w:val="FF0000"/>
          <w:sz w:val="20"/>
        </w:rPr>
        <w:t>19</w:t>
      </w:r>
      <w:r>
        <w:rPr>
          <w:rFonts w:ascii="Times New Roman" w:hAnsi="Times New Roman"/>
          <w:color w:val="0000FF"/>
          <w:sz w:val="13"/>
          <w:u w:val="single"/>
          <w:bdr w:val="double" w:sz="2" w:space="1" w:color="000000"/>
        </w:rPr>
        <w:t>21</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strike/>
                <w:color w:val="FF0000"/>
                <w:sz w:val="13"/>
              </w:rPr>
              <w:t>18</w:t>
            </w:r>
            <w:r>
              <w:rPr>
                <w:color w:val="0000FF"/>
                <w:sz w:val="13"/>
                <w:u w:val="single"/>
                <w:bdr w:val="double" w:sz="2" w:space="1" w:color="000000"/>
              </w:rPr>
              <w:t xml:space="preserve">20 </w:t>
            </w:r>
            <w:r>
              <w:rPr/>
              <w:t> </w:t>
            </w:r>
          </w:p>
        </w:tc>
        <w:tc>
          <w:tcPr>
            <w:tcW w:w="9797" w:type="dxa"/>
            <w:tcBorders/>
          </w:tcPr>
          <w:p>
            <w:pPr>
              <w:pStyle w:val="TableContents"/>
              <w:bidi w:val="0"/>
              <w:spacing w:before="0" w:after="0"/>
              <w:jc w:val="left"/>
              <w:rPr/>
            </w:pPr>
            <w:r>
              <w:rPr/>
              <w:t>“</w:t>
            </w:r>
            <w:r>
              <w:rPr>
                <w:rFonts w:ascii="Times New Roman" w:hAnsi="Times New Roman"/>
                <w:sz w:val="20"/>
              </w:rPr>
              <w:t xml:space="preserve">Tradable Security”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19</w:t>
            </w:r>
            <w:r>
              <w:rPr>
                <w:color w:val="0000FF"/>
                <w:sz w:val="13"/>
                <w:u w:val="single"/>
                <w:bdr w:val="double" w:sz="2" w:space="1" w:color="000000"/>
              </w:rPr>
              <w:t xml:space="preserve">21 </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9.</w:t>
      </w:r>
      <w:r>
        <w:rPr>
          <w:rFonts w:ascii="Times New Roman" w:hAnsi="Times New Roman"/>
          <w:strike/>
          <w:color w:val="FF0000"/>
          <w:sz w:val="20"/>
        </w:rPr>
        <w:t xml:space="preserve"> 9.</w:t>
      </w:r>
      <w:r>
        <w:rPr>
          <w:rFonts w:ascii="Times New Roman" w:hAnsi="Times New Roman"/>
          <w:sz w:val="20"/>
        </w:rPr>
        <w:t xml:space="preserve"> In the event that the Commission adopts a rule under the 1940 Act allowing co-investments of the type described in this Application, any relief granted by the Order will expire on the effective date of that rule. </w:t>
      </w:r>
    </w:p>
    <w:p>
      <w:pPr>
        <w:pStyle w:val="TextBody"/>
        <w:bidi w:val="0"/>
        <w:spacing w:before="360" w:after="0"/>
        <w:jc w:val="left"/>
        <w:rPr>
          <w:rFonts w:ascii="Times New Roman" w:hAnsi="Times New Roman"/>
          <w:b/>
          <w:sz w:val="20"/>
        </w:rPr>
      </w:pPr>
      <w:r>
        <w:rPr>
          <w:rFonts w:ascii="Times New Roman" w:hAnsi="Times New Roman"/>
          <w:b/>
          <w:color w:val="0000FF"/>
          <w:sz w:val="20"/>
          <w:u w:val="single"/>
        </w:rPr>
        <w:t>IV.</w:t>
      </w:r>
      <w:r>
        <w:rPr>
          <w:rFonts w:ascii="Times New Roman" w:hAnsi="Times New Roman"/>
          <w:b/>
          <w:strike/>
          <w:color w:val="FF0000"/>
          <w:sz w:val="20"/>
        </w:rPr>
        <w:t xml:space="preserve"> </w:t>
      </w:r>
      <w:r>
        <w:rPr>
          <w:rFonts w:ascii="Times New Roman" w:hAnsi="Times New Roman"/>
          <w:b/>
          <w:strike/>
          <w:color w:val="FF0000"/>
          <w:sz w:val="20"/>
          <w:u w:val="single"/>
        </w:rPr>
        <w:t>IV.</w:t>
      </w:r>
      <w:r>
        <w:rPr>
          <w:rFonts w:ascii="Times New Roman" w:hAnsi="Times New Roman"/>
          <w:b/>
          <w:sz w:val="20"/>
        </w:rPr>
        <w:t xml:space="preserve"> </w:t>
      </w:r>
      <w:r>
        <w:rPr>
          <w:rFonts w:ascii="Times New Roman" w:hAnsi="Times New Roman"/>
          <w:b/>
          <w:sz w:val="20"/>
          <w:u w:val="single"/>
        </w:rPr>
        <w:t>STATEMENT IN SUPPORT OF RELIEF REQUESTED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 </w:t>
      </w:r>
    </w:p>
    <w:p>
      <w:pPr>
        <w:pStyle w:val="TextBody"/>
        <w:bidi w:val="0"/>
        <w:spacing w:before="36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trike/>
          <w:color w:val="FF0000"/>
          <w:sz w:val="20"/>
        </w:rPr>
        <w:t xml:space="preserve"> </w:t>
      </w:r>
      <w:r>
        <w:rPr>
          <w:rFonts w:ascii="Times New Roman" w:hAnsi="Times New Roman"/>
          <w:strike/>
          <w:color w:val="FF0000"/>
          <w:sz w:val="20"/>
          <w:u w:val="single"/>
        </w:rPr>
        <w:t>A.</w:t>
      </w:r>
      <w:r>
        <w:rPr>
          <w:rFonts w:ascii="Times New Roman" w:hAnsi="Times New Roman"/>
          <w:sz w:val="20"/>
        </w:rPr>
        <w:t xml:space="preserve"> </w:t>
      </w:r>
      <w:r>
        <w:rPr>
          <w:rFonts w:ascii="Times New Roman" w:hAnsi="Times New Roman"/>
          <w:sz w:val="20"/>
          <w:u w:val="single"/>
        </w:rPr>
        <w:t>Potential Benefits to the Regulated Funds and their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 </w:t>
      </w:r>
    </w:p>
    <w:p>
      <w:pPr>
        <w:pStyle w:val="TextBody"/>
        <w:bidi w:val="0"/>
        <w:spacing w:before="36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u w:val="single"/>
        </w:rPr>
        <w:t>B.</w:t>
      </w:r>
      <w:r>
        <w:rPr>
          <w:rFonts w:ascii="Times New Roman" w:hAnsi="Times New Roman"/>
          <w:sz w:val="20"/>
        </w:rPr>
        <w:t xml:space="preserve"> </w:t>
      </w:r>
      <w:r>
        <w:rPr>
          <w:rFonts w:ascii="Times New Roman" w:hAnsi="Times New Roman"/>
          <w:sz w:val="20"/>
          <w:u w:val="single"/>
        </w:rPr>
        <w:t>Shareholder Protections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 </w:t>
      </w:r>
    </w:p>
    <w:p>
      <w:pPr>
        <w:pStyle w:val="TextBody"/>
        <w:bidi w:val="0"/>
        <w:spacing w:before="360" w:after="0"/>
        <w:jc w:val="left"/>
        <w:rPr>
          <w:rFonts w:ascii="Times New Roman" w:hAnsi="Times New Roman"/>
          <w:b/>
          <w:sz w:val="20"/>
        </w:rPr>
      </w:pPr>
      <w:r>
        <w:rPr>
          <w:rFonts w:ascii="Times New Roman" w:hAnsi="Times New Roman"/>
          <w:b/>
          <w:color w:val="0000FF"/>
          <w:sz w:val="20"/>
          <w:u w:val="single"/>
          <w:bdr w:val="double" w:sz="2" w:space="1" w:color="000000"/>
        </w:rPr>
        <w:t>V.</w:t>
      </w:r>
      <w:r>
        <w:rPr>
          <w:rFonts w:ascii="Times New Roman" w:hAnsi="Times New Roman"/>
          <w:b/>
          <w:sz w:val="20"/>
        </w:rPr>
        <w:t xml:space="preserve"> </w:t>
      </w:r>
      <w:r>
        <w:rPr>
          <w:rFonts w:ascii="Times New Roman" w:hAnsi="Times New Roman"/>
          <w:b/>
          <w:strike/>
          <w:color w:val="FF0000"/>
          <w:sz w:val="20"/>
          <w:u w:val="single"/>
        </w:rPr>
        <w:t>V.</w:t>
      </w:r>
      <w:r>
        <w:rPr>
          <w:rFonts w:ascii="Times New Roman" w:hAnsi="Times New Roman"/>
          <w:b/>
          <w:sz w:val="20"/>
        </w:rPr>
        <w:t xml:space="preserve"> </w:t>
      </w:r>
      <w:r>
        <w:rPr>
          <w:rFonts w:ascii="Times New Roman" w:hAnsi="Times New Roman"/>
          <w:b/>
          <w:sz w:val="20"/>
          <w:u w:val="single"/>
        </w:rPr>
        <w:t>PRECEDENTS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Commission has previously issued orders permitting certain investment companies subject to regulation under the 1940 Act and their affiliated persons to be able to participate in Co-Investment Transactions (the “Existing Orders”).</w:t>
      </w:r>
      <w:r>
        <w:rPr>
          <w:rFonts w:ascii="Times New Roman" w:hAnsi="Times New Roman"/>
          <w:strike/>
          <w:color w:val="FF0000"/>
          <w:sz w:val="13"/>
        </w:rPr>
        <w:t>20</w:t>
      </w:r>
      <w:r>
        <w:rPr>
          <w:rFonts w:ascii="Times New Roman" w:hAnsi="Times New Roman"/>
          <w:color w:val="0000FF"/>
          <w:sz w:val="20"/>
          <w:u w:val="single"/>
          <w:bdr w:val="double" w:sz="2" w:space="1" w:color="000000"/>
        </w:rPr>
        <w:t xml:space="preserve">22 </w:t>
      </w:r>
      <w:r>
        <w:rPr>
          <w:rFonts w:ascii="Times New Roman" w:hAnsi="Times New Roman"/>
          <w:sz w:val="20"/>
        </w:rPr>
        <w:t xml:space="preserve">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12"/>
        <w:gridCol w:w="9793"/>
      </w:tblGrid>
      <w:tr>
        <w:trPr/>
        <w:tc>
          <w:tcPr>
            <w:tcW w:w="412" w:type="dxa"/>
            <w:tcBorders/>
          </w:tcPr>
          <w:p>
            <w:pPr>
              <w:pStyle w:val="TableContents"/>
              <w:bidi w:val="0"/>
              <w:spacing w:before="0" w:after="283"/>
              <w:jc w:val="left"/>
              <w:rPr/>
            </w:pPr>
            <w:r>
              <w:rPr>
                <w:strike/>
                <w:color w:val="FF0000"/>
                <w:sz w:val="13"/>
              </w:rPr>
              <w:t>20</w:t>
            </w:r>
            <w:r>
              <w:rPr>
                <w:color w:val="0000FF"/>
                <w:u w:val="single"/>
                <w:bdr w:val="double" w:sz="2" w:space="1" w:color="000000"/>
              </w:rPr>
              <w:t xml:space="preserve">22 </w:t>
            </w:r>
            <w:r>
              <w:rPr/>
              <w:t> </w:t>
            </w:r>
          </w:p>
        </w:tc>
        <w:tc>
          <w:tcPr>
            <w:tcW w:w="9793"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FS Credit Opportunities Corp., et al. (File No. 812-15706), Release No. IC-35520 (April 3, 2025) (notice), Release No. IC-35561 (April 29, 2025) (order); Sixth Street Specialty Lending, Inc. et al. (File No.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color w:val="0000FF"/>
          <w:sz w:val="20"/>
          <w:u w:val="single"/>
          <w:bdr w:val="double" w:sz="2" w:space="1" w:color="000000"/>
        </w:rPr>
        <w:t>VI.</w:t>
      </w:r>
      <w:r>
        <w:rPr>
          <w:rFonts w:ascii="Times New Roman" w:hAnsi="Times New Roman"/>
          <w:b/>
          <w:sz w:val="20"/>
        </w:rPr>
        <w:t xml:space="preserve"> </w:t>
      </w:r>
      <w:r>
        <w:rPr>
          <w:rFonts w:ascii="Times New Roman" w:hAnsi="Times New Roman"/>
          <w:b/>
          <w:strike/>
          <w:color w:val="FF0000"/>
          <w:sz w:val="20"/>
          <w:u w:val="single"/>
        </w:rPr>
        <w:t>VI.</w:t>
      </w:r>
      <w:r>
        <w:rPr>
          <w:rFonts w:ascii="Times New Roman" w:hAnsi="Times New Roman"/>
          <w:b/>
          <w:sz w:val="20"/>
        </w:rPr>
        <w:t xml:space="preserve"> </w:t>
      </w:r>
      <w:r>
        <w:rPr>
          <w:rFonts w:ascii="Times New Roman" w:hAnsi="Times New Roman"/>
          <w:b/>
          <w:sz w:val="20"/>
          <w:u w:val="single"/>
        </w:rPr>
        <w:t>PROCEDURAL MATTERS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u w:val="single"/>
        </w:rPr>
        <w:t>A.</w:t>
      </w:r>
      <w:r>
        <w:rPr>
          <w:rFonts w:ascii="Times New Roman" w:hAnsi="Times New Roman"/>
          <w:sz w:val="20"/>
        </w:rPr>
        <w:t xml:space="preserve"> </w:t>
      </w:r>
      <w:r>
        <w:rPr>
          <w:rFonts w:ascii="Times New Roman" w:hAnsi="Times New Roman"/>
          <w:sz w:val="20"/>
          <w:u w:val="single"/>
        </w:rPr>
        <w:t>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address all communications concerning this Application, the Notice and the Order to: </w:t>
      </w:r>
    </w:p>
    <w:p>
      <w:pPr>
        <w:pStyle w:val="TextBody"/>
        <w:bidi w:val="0"/>
        <w:spacing w:before="120" w:after="0"/>
        <w:jc w:val="center"/>
        <w:rPr>
          <w:rFonts w:ascii="Times New Roman" w:hAnsi="Times New Roman"/>
          <w:sz w:val="20"/>
        </w:rPr>
      </w:pPr>
      <w:r>
        <w:rPr>
          <w:rFonts w:ascii="Times New Roman" w:hAnsi="Times New Roman"/>
          <w:color w:val="0000FF"/>
          <w:sz w:val="20"/>
          <w:u w:val="single"/>
          <w:bdr w:val="double" w:sz="2" w:space="1" w:color="000000"/>
        </w:rPr>
        <w:t>Edward H. Ross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Fidus Investment Corporation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1603 Orrington Avenue, Suite 1005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eross@fidusinv.com</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Jason Emala, Esq.</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Bluerock Asset Management, LLC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919 Third Avenue, 40th Floor</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New York, NY 10022</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Telephone: (212) 843-1601</w:t>
      </w:r>
      <w:r>
        <w:rPr>
          <w:rFonts w:ascii="Times New Roman" w:hAnsi="Times New Roman"/>
          <w:b/>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Please address any questions, and a copy of any communications, concerning this Application, the Notice, and the Order to: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Nicole Simon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Stradley Ronon Stevens &amp; Young, LLP</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100 Park Avenue, Suite 2000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New York, NY 10017</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Telephone: (212) 812-4137</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Steven B. Boehm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Anne G. Oberndorf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Payam Siadatpour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Sara Sabour Nasseri, Esq.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Eversheds Sutherland (US)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700 6th Street, N.W.</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Washington, D.C. 20001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(202) 383-0100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stevenboehm@eversheds-sutherland.us</w:t>
      </w:r>
      <w:r>
        <w:rPr>
          <w:rFonts w:ascii="Times New Roman" w:hAnsi="Times New Roman"/>
          <w:sz w:val="20"/>
        </w:rPr>
        <w:t xml:space="preserve">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anneoberndorf@eversheds-sutherland.us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payamsiadatpour@eversheds-sutherland.us </w:t>
      </w:r>
    </w:p>
    <w:p>
      <w:pPr>
        <w:pStyle w:val="TextBody"/>
        <w:bidi w:val="0"/>
        <w:spacing w:before="36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u w:val="single"/>
        </w:rPr>
        <w:t>B.</w:t>
      </w:r>
      <w:r>
        <w:rPr>
          <w:rFonts w:ascii="Times New Roman" w:hAnsi="Times New Roman"/>
          <w:sz w:val="20"/>
        </w:rPr>
        <w:t xml:space="preserve"> </w:t>
      </w:r>
      <w:r>
        <w:rPr>
          <w:rFonts w:ascii="Times New Roman" w:hAnsi="Times New Roman"/>
          <w:sz w:val="20"/>
          <w:u w:val="single"/>
        </w:rPr>
        <w:t>Authorizations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filing of this Application for the Order sought hereby and the taking of all acts reasonably necessary to obtain the relief requested herein was authorized by the Board of </w:t>
      </w:r>
      <w:r>
        <w:rPr>
          <w:rFonts w:ascii="Times New Roman" w:hAnsi="Times New Roman"/>
          <w:strike/>
          <w:color w:val="FF0000"/>
          <w:sz w:val="20"/>
        </w:rPr>
        <w:t>each</w:t>
      </w:r>
      <w:r>
        <w:rPr>
          <w:rFonts w:ascii="Times New Roman" w:hAnsi="Times New Roman"/>
          <w:sz w:val="20"/>
        </w:rPr>
        <w:t xml:space="preserve"> </w:t>
      </w:r>
      <w:r>
        <w:rPr>
          <w:rFonts w:ascii="Times New Roman" w:hAnsi="Times New Roman"/>
          <w:color w:val="0000FF"/>
          <w:sz w:val="20"/>
          <w:u w:val="single"/>
          <w:bdr w:val="double" w:sz="2" w:space="1" w:color="000000"/>
        </w:rPr>
        <w:t>the</w:t>
      </w:r>
      <w:r>
        <w:rPr>
          <w:rFonts w:ascii="Times New Roman" w:hAnsi="Times New Roman"/>
          <w:sz w:val="20"/>
        </w:rPr>
        <w:t xml:space="preserve"> Existing Regulated Fund pursuant to resolutions duly adopted by the Board. Copies of the resolutions are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0-2(c), Applicants hereby state that each Applicant has authorized to cause to be prepared and to execute and file with the Commission this Application and any amendment thereto for an order pursuant to Sections 17(d) and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In accordance with the requirements for a request for expedited review of this Application, marked copies of two recent applications seeking the same relief as Applicants that are substantially identical as required by Rule 0-5(e) of the 1940 Act are attached as Exhibit C. In accordance with Rule 0-5(f)(2)(i)(A) under the 1940 Act, included as Exhibit D to this Application is a marked copy of the Application showing changes from the Application filed with the Commission on August 28, 2026.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have caused this </w:t>
      </w:r>
      <w:r>
        <w:rPr>
          <w:rFonts w:ascii="Times New Roman" w:hAnsi="Times New Roman"/>
          <w:strike/>
          <w:color w:val="FF0000"/>
          <w:sz w:val="20"/>
        </w:rPr>
        <w:t>Amendment No. 4 to the</w:t>
      </w:r>
      <w:r>
        <w:rPr>
          <w:rFonts w:ascii="Times New Roman" w:hAnsi="Times New Roman"/>
          <w:sz w:val="20"/>
        </w:rPr>
        <w:t xml:space="preserve"> Application to be duly signed on their behalf on the </w:t>
      </w:r>
      <w:r>
        <w:rPr>
          <w:rFonts w:ascii="Times New Roman" w:hAnsi="Times New Roman"/>
          <w:strike/>
          <w:color w:val="FF0000"/>
          <w:sz w:val="20"/>
        </w:rPr>
        <w:t>8th</w:t>
      </w:r>
      <w:r>
        <w:rPr>
          <w:rFonts w:ascii="Times New Roman" w:hAnsi="Times New Roman"/>
          <w:color w:val="0000FF"/>
          <w:sz w:val="20"/>
          <w:u w:val="single"/>
          <w:bdr w:val="double" w:sz="2" w:space="1" w:color="000000"/>
        </w:rPr>
        <w:t>21st</w:t>
      </w:r>
      <w:r>
        <w:rPr>
          <w:rFonts w:ascii="Times New Roman" w:hAnsi="Times New Roman"/>
          <w:sz w:val="20"/>
        </w:rPr>
        <w:t xml:space="preserve"> day of</w:t>
      </w:r>
      <w:r>
        <w:rPr>
          <w:rFonts w:ascii="Times New Roman" w:hAnsi="Times New Roman"/>
          <w:strike/>
          <w:color w:val="FF0000"/>
          <w:sz w:val="20"/>
        </w:rPr>
        <w:t xml:space="preserve"> June</w:t>
      </w:r>
      <w:r>
        <w:rPr>
          <w:rFonts w:ascii="Times New Roman" w:hAnsi="Times New Roman"/>
          <w:color w:val="0000FF"/>
          <w:sz w:val="20"/>
          <w:u w:val="single"/>
          <w:bdr w:val="double" w:sz="2" w:space="1" w:color="000000"/>
        </w:rPr>
        <w:t>October</w:t>
      </w:r>
      <w:r>
        <w:rPr>
          <w:rFonts w:ascii="Times New Roman" w:hAnsi="Times New Roman"/>
          <w:sz w:val="20"/>
        </w:rPr>
        <w:t xml:space="preserve">,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Private Real Estate Fund (formerly, Bluerock Total Income+ Real Estate Fund)</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High Income Institutional Credit Fund</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color w:val="0000FF"/>
                <w:u w:val="single"/>
                <w:bdr w:val="double" w:sz="2" w:space="1" w:color="000000"/>
              </w:rPr>
              <w:t>Name:</w:t>
            </w:r>
            <w:r>
              <w:rPr/>
              <w:t xml:space="preserve"> </w:t>
            </w:r>
            <w:r>
              <w:rPr>
                <w:color w:val="0000FF"/>
                <w:u w:val="single"/>
                <w:bdr w:val="double" w:sz="2" w:space="1" w:color="000000"/>
              </w:rPr>
              <w:t>Edward H. Ross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ADVISORS,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color w:val="0000FF"/>
                <w:u w:val="single"/>
                <w:bdr w:val="double" w:sz="2" w:space="1" w:color="000000"/>
              </w:rPr>
              <w:t>Name:</w:t>
            </w:r>
            <w:r>
              <w:rPr/>
              <w:t xml:space="preserve"> </w:t>
            </w:r>
            <w:r>
              <w:rPr>
                <w:color w:val="0000FF"/>
                <w:u w:val="single"/>
                <w:bdr w:val="double" w:sz="2" w:space="1" w:color="000000"/>
              </w:rPr>
              <w:t>Edward H. Ross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Chief Executive Officer</w:t>
            </w:r>
          </w:p>
        </w:tc>
      </w:tr>
    </w:tbl>
    <w:p>
      <w:pPr>
        <w:pStyle w:val="TextBody"/>
        <w:bidi w:val="0"/>
        <w:spacing w:before="360" w:after="0"/>
        <w:jc w:val="left"/>
        <w:rPr>
          <w:rFonts w:ascii="Times New Roman" w:hAnsi="Times New Roman"/>
          <w:b/>
          <w:sz w:val="20"/>
        </w:rPr>
      </w:pPr>
      <w:r>
        <w:rPr>
          <w:rFonts w:ascii="Times New Roman" w:hAnsi="Times New Roman"/>
          <w:b/>
          <w:color w:val="0000FF"/>
          <w:sz w:val="20"/>
          <w:u w:val="single"/>
          <w:bdr w:val="double" w:sz="2" w:space="1" w:color="000000"/>
        </w:rPr>
        <w:t>EXISTING WHOLLY-OWNED SUBSIDIARIES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FIDUS MEZZANINE CAPITAL,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IV,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FIC FUNDING, LLC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HOLDINGS, INC.</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Fund Advisor, LLC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12"/>
        <w:gridCol w:w="80"/>
        <w:gridCol w:w="3490"/>
      </w:tblGrid>
      <w:tr>
        <w:trPr/>
        <w:tc>
          <w:tcPr>
            <w:tcW w:w="51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490" w:type="dxa"/>
            <w:tcBorders/>
            <w:vAlign w:val="center"/>
          </w:tcPr>
          <w:p>
            <w:pPr>
              <w:pStyle w:val="TableContents"/>
              <w:bidi w:val="0"/>
              <w:spacing w:before="0" w:after="283"/>
              <w:jc w:val="left"/>
              <w:rPr>
                <w:sz w:val="4"/>
                <w:szCs w:val="4"/>
              </w:rPr>
            </w:pPr>
            <w:r>
              <w:rPr>
                <w:sz w:val="4"/>
                <w:szCs w:val="4"/>
              </w:rPr>
            </w:r>
          </w:p>
        </w:tc>
      </w:tr>
      <w:tr>
        <w:trPr/>
        <w:tc>
          <w:tcPr>
            <w:tcW w:w="51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80" w:type="dxa"/>
            <w:tcBorders/>
            <w:vAlign w:val="bottom"/>
          </w:tcPr>
          <w:p>
            <w:pPr>
              <w:pStyle w:val="TableContents"/>
              <w:bidi w:val="0"/>
              <w:spacing w:before="0" w:after="283"/>
              <w:jc w:val="left"/>
              <w:rPr/>
            </w:pPr>
            <w:r>
              <w:rPr/>
              <w:t> </w:t>
            </w:r>
          </w:p>
        </w:tc>
        <w:tc>
          <w:tcPr>
            <w:tcW w:w="3490"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512"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490" w:type="dxa"/>
            <w:tcBorders/>
          </w:tcPr>
          <w:p>
            <w:pPr>
              <w:pStyle w:val="TableContents"/>
              <w:bidi w:val="0"/>
              <w:spacing w:before="0" w:after="283"/>
              <w:jc w:val="left"/>
              <w:rPr/>
            </w:pPr>
            <w:r>
              <w:rPr>
                <w:color w:val="0000FF"/>
                <w:u w:val="single"/>
                <w:bdr w:val="double" w:sz="2" w:space="1" w:color="000000"/>
              </w:rPr>
              <w:t>Name:</w:t>
            </w:r>
            <w:r>
              <w:rPr/>
              <w:t xml:space="preserve"> </w:t>
            </w:r>
            <w:r>
              <w:rPr>
                <w:color w:val="0000FF"/>
                <w:u w:val="single"/>
                <w:bdr w:val="double" w:sz="2" w:space="1" w:color="000000"/>
              </w:rPr>
              <w:t>Edward H. Ross</w:t>
            </w:r>
          </w:p>
        </w:tc>
      </w:tr>
      <w:tr>
        <w:trPr/>
        <w:tc>
          <w:tcPr>
            <w:tcW w:w="512"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490"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AFFILIATED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CREDIT OPPORTUNITIES, L.P.</w:t>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EQUITY OPPORTUNITIES FUND, L.P.</w:t>
            </w:r>
          </w:p>
        </w:tc>
      </w:tr>
      <w:tr>
        <w:trPr>
          <w:trHeight w:val="240" w:hRule="atLeast"/>
        </w:trPr>
        <w:tc>
          <w:tcPr>
            <w:tcW w:w="512" w:type="dxa"/>
            <w:tcBorders/>
            <w:vAlign w:val="center"/>
          </w:tcPr>
          <w:p>
            <w:pPr>
              <w:pStyle w:val="TableContents"/>
              <w:bidi w:val="0"/>
              <w:spacing w:before="0" w:after="283"/>
              <w:jc w:val="left"/>
              <w:rPr>
                <w:sz w:val="4"/>
                <w:szCs w:val="4"/>
              </w:rPr>
            </w:pPr>
            <w:r>
              <w:rPr>
                <w:sz w:val="4"/>
                <w:szCs w:val="4"/>
              </w:rPr>
            </w:r>
          </w:p>
        </w:tc>
        <w:tc>
          <w:tcPr>
            <w:tcW w:w="3570" w:type="dxa"/>
            <w:gridSpan w:val="2"/>
            <w:tcBorders/>
            <w:vAlign w:val="center"/>
          </w:tcPr>
          <w:p>
            <w:pPr>
              <w:pStyle w:val="TableContents"/>
              <w:bidi w:val="0"/>
              <w:spacing w:before="0" w:after="283"/>
              <w:jc w:val="left"/>
              <w:rPr>
                <w:sz w:val="4"/>
                <w:szCs w:val="4"/>
              </w:rPr>
            </w:pPr>
            <w:r>
              <w:rPr>
                <w:sz w:val="4"/>
                <w:szCs w:val="4"/>
              </w:rPr>
            </w:r>
          </w:p>
        </w:tc>
      </w:tr>
      <w:tr>
        <w:trPr/>
        <w:tc>
          <w:tcPr>
            <w:tcW w:w="51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80" w:type="dxa"/>
            <w:tcBorders/>
            <w:vAlign w:val="bottom"/>
          </w:tcPr>
          <w:p>
            <w:pPr>
              <w:pStyle w:val="TableContents"/>
              <w:bidi w:val="0"/>
              <w:spacing w:before="0" w:after="283"/>
              <w:jc w:val="left"/>
              <w:rPr/>
            </w:pPr>
            <w:r>
              <w:rPr/>
              <w:t> </w:t>
            </w:r>
          </w:p>
        </w:tc>
        <w:tc>
          <w:tcPr>
            <w:tcW w:w="3490"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512"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490" w:type="dxa"/>
            <w:tcBorders/>
          </w:tcPr>
          <w:p>
            <w:pPr>
              <w:pStyle w:val="TableContents"/>
              <w:bidi w:val="0"/>
              <w:spacing w:before="0" w:after="283"/>
              <w:jc w:val="left"/>
              <w:rPr/>
            </w:pPr>
            <w:r>
              <w:rPr>
                <w:color w:val="0000FF"/>
                <w:u w:val="single"/>
                <w:bdr w:val="double" w:sz="2" w:space="1" w:color="000000"/>
              </w:rPr>
              <w:t>Name:</w:t>
            </w:r>
            <w:r>
              <w:rPr/>
              <w:t xml:space="preserve"> </w:t>
            </w:r>
            <w:r>
              <w:rPr>
                <w:color w:val="0000FF"/>
                <w:u w:val="single"/>
                <w:bdr w:val="double" w:sz="2" w:space="1" w:color="000000"/>
              </w:rPr>
              <w:t>Edward H. Ross</w:t>
            </w:r>
          </w:p>
        </w:tc>
      </w:tr>
      <w:tr>
        <w:trPr/>
        <w:tc>
          <w:tcPr>
            <w:tcW w:w="512"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490"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Credit Fund Advisor, LLC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360" w:after="0"/>
        <w:jc w:val="left"/>
        <w:rPr>
          <w:rFonts w:ascii="Times New Roman" w:hAnsi="Times New Roman"/>
          <w:sz w:val="20"/>
        </w:rPr>
      </w:pPr>
      <w:r>
        <w:rPr>
          <w:rFonts w:ascii="Times New Roman" w:hAnsi="Times New Roman"/>
          <w:strike/>
          <w:color w:val="FF0000"/>
          <w:sz w:val="20"/>
        </w:rPr>
        <w:t>VERIFICATION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A</w:t>
      </w:r>
      <w:r>
        <w:rPr>
          <w:rFonts w:ascii="Times New Roman" w:hAnsi="Times New Roman"/>
          <w:sz w:val="20"/>
        </w:rPr>
        <w:t xml:space="preserve"> </w:t>
      </w:r>
    </w:p>
    <w:p>
      <w:pPr>
        <w:pStyle w:val="TextBody"/>
        <w:bidi w:val="0"/>
        <w:spacing w:before="240" w:after="0"/>
        <w:jc w:val="center"/>
        <w:rPr>
          <w:rFonts w:ascii="Times New Roman" w:hAnsi="Times New Roman"/>
          <w:color w:val="0000FF"/>
          <w:sz w:val="20"/>
        </w:rPr>
      </w:pPr>
      <w:r>
        <w:rPr>
          <w:rFonts w:ascii="Times New Roman" w:hAnsi="Times New Roman"/>
          <w:color w:val="0000FF"/>
          <w:sz w:val="20"/>
          <w:u w:val="single"/>
          <w:bdr w:val="double" w:sz="2" w:space="1" w:color="000000"/>
        </w:rPr>
        <w:t>Verification</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states that he has duly executed the </w:t>
      </w:r>
      <w:r>
        <w:rPr>
          <w:rFonts w:ascii="Times New Roman" w:hAnsi="Times New Roman"/>
          <w:strike/>
          <w:color w:val="FF0000"/>
          <w:sz w:val="20"/>
        </w:rPr>
        <w:t>foregoing</w:t>
      </w:r>
      <w:r>
        <w:rPr>
          <w:rFonts w:ascii="Times New Roman" w:hAnsi="Times New Roman"/>
          <w:color w:val="0000FF"/>
          <w:sz w:val="20"/>
          <w:u w:val="single"/>
          <w:bdr w:val="double" w:sz="2" w:space="1" w:color="000000"/>
        </w:rPr>
        <w:t>attached</w:t>
      </w:r>
      <w:r>
        <w:rPr>
          <w:rFonts w:ascii="Times New Roman" w:hAnsi="Times New Roman"/>
          <w:sz w:val="20"/>
        </w:rPr>
        <w:t xml:space="preserve"> Application</w:t>
      </w:r>
      <w:r>
        <w:rPr>
          <w:rFonts w:ascii="Times New Roman" w:hAnsi="Times New Roman"/>
          <w:color w:val="0000FF"/>
          <w:sz w:val="20"/>
          <w:u w:val="single"/>
          <w:bdr w:val="double" w:sz="2" w:space="1" w:color="000000"/>
        </w:rPr>
        <w:t>, dated October 21, 2026,</w:t>
      </w:r>
      <w:r>
        <w:rPr>
          <w:rFonts w:ascii="Times New Roman" w:hAnsi="Times New Roman"/>
          <w:sz w:val="20"/>
        </w:rPr>
        <w:t xml:space="preserve"> for and on behalf of</w:t>
      </w:r>
      <w:r>
        <w:rPr>
          <w:rFonts w:ascii="Times New Roman" w:hAnsi="Times New Roman"/>
          <w:strike/>
          <w:color w:val="FF0000"/>
          <w:sz w:val="20"/>
        </w:rPr>
        <w:t xml:space="preserve"> Bluerock Private Real Estate Fund (formerly, Bluerock Total Income+ Real Estate Fund) that he is the President of</w:t>
      </w:r>
      <w:r>
        <w:rPr>
          <w:rFonts w:ascii="Times New Roman" w:hAnsi="Times New Roman"/>
          <w:color w:val="0000FF"/>
          <w:sz w:val="20"/>
          <w:u w:val="single"/>
          <w:bdr w:val="double" w:sz="2" w:space="1" w:color="000000"/>
        </w:rPr>
        <w:t>the Applicants, as the case may be, that he holds the office with each</w:t>
      </w:r>
      <w:r>
        <w:rPr>
          <w:rFonts w:ascii="Times New Roman" w:hAnsi="Times New Roman"/>
          <w:sz w:val="20"/>
        </w:rPr>
        <w:t xml:space="preserve"> such entity </w:t>
      </w:r>
      <w:r>
        <w:rPr>
          <w:rFonts w:ascii="Times New Roman" w:hAnsi="Times New Roman"/>
          <w:color w:val="0000FF"/>
          <w:sz w:val="20"/>
          <w:u w:val="single"/>
          <w:bdr w:val="double" w:sz="2" w:space="1" w:color="000000"/>
        </w:rPr>
        <w:t>as indicated below,</w:t>
      </w:r>
      <w:r>
        <w:rPr>
          <w:rFonts w:ascii="Times New Roman" w:hAnsi="Times New Roman"/>
          <w:sz w:val="20"/>
        </w:rPr>
        <w:t xml:space="preserve"> and that all </w:t>
      </w:r>
      <w:r>
        <w:rPr>
          <w:rFonts w:ascii="Times New Roman" w:hAnsi="Times New Roman"/>
          <w:strike/>
          <w:color w:val="FF0000"/>
          <w:sz w:val="20"/>
        </w:rPr>
        <w:t>action by</w:t>
      </w:r>
      <w:r>
        <w:rPr>
          <w:rFonts w:ascii="Times New Roman" w:hAnsi="Times New Roman"/>
          <w:color w:val="0000FF"/>
          <w:sz w:val="20"/>
          <w:u w:val="single"/>
          <w:bdr w:val="double" w:sz="2" w:space="1" w:color="000000"/>
        </w:rPr>
        <w:t>actions by stockholders,</w:t>
      </w:r>
      <w:r>
        <w:rPr>
          <w:rFonts w:ascii="Times New Roman" w:hAnsi="Times New Roman"/>
          <w:sz w:val="20"/>
        </w:rPr>
        <w:t xml:space="preserve"> officers, directors, and other bodies necessary to authorize </w:t>
      </w:r>
      <w:r>
        <w:rPr>
          <w:rFonts w:ascii="Times New Roman" w:hAnsi="Times New Roman"/>
          <w:strike/>
          <w:color w:val="FF0000"/>
          <w:sz w:val="20"/>
        </w:rPr>
        <w:t>deponent</w:t>
      </w:r>
      <w:r>
        <w:rPr>
          <w:rFonts w:ascii="Times New Roman" w:hAnsi="Times New Roman"/>
          <w:color w:val="0000FF"/>
          <w:sz w:val="20"/>
          <w:u w:val="single"/>
          <w:bdr w:val="double" w:sz="2" w:space="1" w:color="000000"/>
        </w:rPr>
        <w:t>the undersigned</w:t>
      </w:r>
      <w:r>
        <w:rPr>
          <w:rFonts w:ascii="Times New Roman" w:hAnsi="Times New Roman"/>
          <w:sz w:val="20"/>
        </w:rPr>
        <w:t xml:space="preserve"> to execute and file such </w:t>
      </w:r>
      <w:r>
        <w:rPr>
          <w:rFonts w:ascii="Times New Roman" w:hAnsi="Times New Roman"/>
          <w:strike/>
          <w:color w:val="FF0000"/>
          <w:sz w:val="20"/>
        </w:rPr>
        <w:t>instrument has</w:t>
      </w:r>
      <w:r>
        <w:rPr>
          <w:rFonts w:ascii="Times New Roman" w:hAnsi="Times New Roman"/>
          <w:color w:val="0000FF"/>
          <w:sz w:val="20"/>
          <w:u w:val="single"/>
          <w:bdr w:val="double" w:sz="2" w:space="1" w:color="000000"/>
        </w:rPr>
        <w:t>Application have</w:t>
      </w:r>
      <w:r>
        <w:rPr>
          <w:rFonts w:ascii="Times New Roman" w:hAnsi="Times New Roman"/>
          <w:sz w:val="20"/>
        </w:rPr>
        <w:t xml:space="preserve"> been taken. The undersigned further states that he is familiar with</w:t>
      </w:r>
      <w:r>
        <w:rPr>
          <w:rFonts w:ascii="Times New Roman" w:hAnsi="Times New Roman"/>
          <w:strike/>
          <w:color w:val="FF0000"/>
          <w:sz w:val="20"/>
        </w:rPr>
        <w:t xml:space="preserve"> such</w:t>
      </w:r>
      <w:r>
        <w:rPr>
          <w:rFonts w:ascii="Times New Roman" w:hAnsi="Times New Roman"/>
          <w:color w:val="0000FF"/>
          <w:sz w:val="20"/>
          <w:u w:val="single"/>
          <w:bdr w:val="double" w:sz="2" w:space="1" w:color="000000"/>
        </w:rPr>
        <w:t>the</w:t>
      </w:r>
      <w:r>
        <w:rPr>
          <w:rFonts w:ascii="Times New Roman" w:hAnsi="Times New Roman"/>
          <w:sz w:val="20"/>
        </w:rPr>
        <w:t xml:space="preserve"> instrument</w:t>
      </w:r>
      <w:r>
        <w:rPr>
          <w:rFonts w:ascii="Times New Roman" w:hAnsi="Times New Roman"/>
          <w:strike/>
          <w:color w:val="FF0000"/>
          <w:sz w:val="20"/>
        </w:rPr>
        <w:t>,</w:t>
      </w:r>
      <w:r>
        <w:rPr>
          <w:rFonts w:ascii="Times New Roman" w:hAnsi="Times New Roman"/>
          <w:sz w:val="20"/>
        </w:rPr>
        <w:t xml:space="preserve"> and the contents thereof, and that the facts </w:t>
      </w:r>
      <w:r>
        <w:rPr>
          <w:rFonts w:ascii="Times New Roman" w:hAnsi="Times New Roman"/>
          <w:strike/>
          <w:color w:val="FF0000"/>
          <w:sz w:val="20"/>
        </w:rPr>
        <w:t>therein</w:t>
      </w:r>
      <w:r>
        <w:rPr>
          <w:rFonts w:ascii="Times New Roman" w:hAnsi="Times New Roman"/>
          <w:sz w:val="20"/>
        </w:rPr>
        <w:t xml:space="preserve"> set forth </w:t>
      </w:r>
      <w:r>
        <w:rPr>
          <w:rFonts w:ascii="Times New Roman" w:hAnsi="Times New Roman"/>
          <w:color w:val="0000FF"/>
          <w:sz w:val="20"/>
          <w:u w:val="single"/>
          <w:bdr w:val="double" w:sz="2" w:space="1" w:color="000000"/>
        </w:rPr>
        <w:t>therein</w:t>
      </w:r>
      <w:r>
        <w:rPr>
          <w:rFonts w:ascii="Times New Roman" w:hAnsi="Times New Roman"/>
          <w:sz w:val="20"/>
        </w:rPr>
        <w:t xml:space="preserve"> are true to the best of his </w:t>
      </w:r>
      <w:r>
        <w:rPr>
          <w:rFonts w:ascii="Times New Roman" w:hAnsi="Times New Roman"/>
          <w:color w:val="0000FF"/>
          <w:sz w:val="20"/>
          <w:u w:val="single"/>
          <w:bdr w:val="double" w:sz="2" w:space="1" w:color="000000"/>
        </w:rPr>
        <w:t>or her</w:t>
      </w:r>
      <w:r>
        <w:rPr>
          <w:rFonts w:ascii="Times New Roman" w:hAnsi="Times New Roman"/>
          <w:sz w:val="20"/>
        </w:rPr>
        <w:t xml:space="preserve"> knowledge, information, and belief.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Private Real Estate Fund (formerly, Bluerock Total Income+ Real Estate Fund)</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98"/>
        <w:gridCol w:w="77"/>
        <w:gridCol w:w="3507"/>
      </w:tblGrid>
      <w:tr>
        <w:trPr/>
        <w:tc>
          <w:tcPr>
            <w:tcW w:w="498"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CORPORATION</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color w:val="0000FF"/>
                <w:u w:val="single"/>
                <w:bdr w:val="double" w:sz="2" w:space="1" w:color="000000"/>
              </w:rPr>
              <w:t>Name:</w:t>
            </w:r>
            <w:r>
              <w:rPr/>
              <w:t xml:space="preserve"> </w:t>
            </w:r>
            <w:r>
              <w:rPr>
                <w:color w:val="0000FF"/>
                <w:u w:val="single"/>
                <w:bdr w:val="double" w:sz="2" w:space="1" w:color="000000"/>
              </w:rPr>
              <w:t>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ADVISORS, LLC</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color w:val="0000FF"/>
                <w:u w:val="single"/>
                <w:bdr w:val="double" w:sz="2" w:space="1" w:color="000000"/>
              </w:rPr>
              <w:t>Name:</w:t>
            </w:r>
            <w:r>
              <w:rPr/>
              <w:t xml:space="preserve"> </w:t>
            </w:r>
            <w:r>
              <w:rPr>
                <w:color w:val="0000FF"/>
                <w:u w:val="single"/>
                <w:bdr w:val="double" w:sz="2" w:space="1" w:color="000000"/>
              </w:rPr>
              <w:t>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WHOLLY-OWNED SUBSIDIARIES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MEZZANINE CAPITAL, L.P.</w:t>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MEZZANINE CAPITAL II, L.P.</w:t>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MEZZANINE CAPITAL III, L.P.</w:t>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MEZZANINE CAPITAL IV, L.P.</w:t>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FIC FUNDING, LLC</w:t>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HOLDINGS, INC.</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color w:val="0000FF"/>
                <w:u w:val="single"/>
                <w:bdr w:val="double" w:sz="2" w:space="1" w:color="000000"/>
              </w:rPr>
              <w:t>Name:</w:t>
            </w:r>
            <w:r>
              <w:rPr/>
              <w:t xml:space="preserve"> </w:t>
            </w:r>
            <w:r>
              <w:rPr>
                <w:color w:val="0000FF"/>
                <w:u w:val="single"/>
                <w:bdr w:val="double" w:sz="2" w:space="1" w:color="000000"/>
              </w:rPr>
              <w:t>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AFFILIATED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CREDIT OPPORTUNITIES, L.P.</w:t>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EQUITY OPPORTUNITIES FUND, L.P.</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color w:val="0000FF"/>
                <w:u w:val="single"/>
                <w:bdr w:val="double" w:sz="2" w:space="1" w:color="000000"/>
              </w:rPr>
              <w:t>Name:</w:t>
            </w:r>
            <w:r>
              <w:rPr/>
              <w:t xml:space="preserve"> </w:t>
            </w:r>
            <w:r>
              <w:rPr>
                <w:color w:val="0000FF"/>
                <w:u w:val="single"/>
                <w:bdr w:val="double" w:sz="2" w:space="1" w:color="000000"/>
              </w:rPr>
              <w:t>Edward H. Ross</w:t>
            </w:r>
          </w:p>
        </w:tc>
      </w:tr>
      <w:tr>
        <w:trPr/>
        <w:tc>
          <w:tcPr>
            <w:tcW w:w="498"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VERIFICATION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The undersigned states that he has duly executed the foregoing Application for and on behalf of Bluerock High Income Institutional Credit Fund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High Income Institutional Credit Fund</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360" w:after="0"/>
        <w:jc w:val="left"/>
        <w:rPr>
          <w:rFonts w:ascii="Times New Roman" w:hAnsi="Times New Roman"/>
          <w:sz w:val="20"/>
        </w:rPr>
      </w:pPr>
      <w:r>
        <w:rPr>
          <w:rFonts w:ascii="Times New Roman" w:hAnsi="Times New Roman"/>
          <w:strike/>
          <w:color w:val="FF0000"/>
          <w:sz w:val="20"/>
        </w:rPr>
        <w:t>VERIFICATION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The undersigned states that he has duly executed the foregoing Application for and on behalf of Bluerock Fund Advisor, LLC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Fund Advisor, LLC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360" w:after="0"/>
        <w:jc w:val="left"/>
        <w:rPr>
          <w:rFonts w:ascii="Times New Roman" w:hAnsi="Times New Roman"/>
          <w:sz w:val="20"/>
        </w:rPr>
      </w:pPr>
      <w:r>
        <w:rPr>
          <w:rFonts w:ascii="Times New Roman" w:hAnsi="Times New Roman"/>
          <w:strike/>
          <w:color w:val="FF0000"/>
          <w:sz w:val="20"/>
        </w:rPr>
        <w:t>VERIFICATION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The undersigned states that he has duly executed the foregoing Application for and on behalf of Bluerock Credit Fund Advisor, LLC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Credit Fund Advisor, LLC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B</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trike/>
          <w:color w:val="FF0000"/>
          <w:sz w:val="20"/>
        </w:rPr>
        <w:t>EXHIBIT A</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Resolutions of </w:t>
      </w:r>
      <w:r>
        <w:rPr>
          <w:rFonts w:ascii="Times New Roman" w:hAnsi="Times New Roman"/>
          <w:b/>
          <w:color w:val="0000FF"/>
          <w:sz w:val="20"/>
          <w:u w:val="single"/>
          <w:bdr w:val="double" w:sz="2" w:space="1" w:color="000000"/>
        </w:rPr>
        <w:t xml:space="preserve">the </w:t>
      </w:r>
      <w:r>
        <w:rPr>
          <w:rFonts w:ascii="Times New Roman" w:hAnsi="Times New Roman"/>
          <w:b/>
          <w:sz w:val="20"/>
        </w:rPr>
        <w:t xml:space="preserve">Board of Directors </w:t>
      </w:r>
      <w:r>
        <w:rPr>
          <w:rFonts w:ascii="Times New Roman" w:hAnsi="Times New Roman"/>
          <w:b/>
          <w:strike/>
          <w:color w:val="FF0000"/>
          <w:sz w:val="20"/>
        </w:rPr>
        <w:t>of Bluerock Private Real Estate Fund (formerly, Bluerock Total Income+ Real Estate Fund)</w:t>
      </w:r>
      <w:r>
        <w:rPr>
          <w:rFonts w:ascii="Times New Roman" w:hAnsi="Times New Roman"/>
          <w:b/>
          <w:color w:val="0000FF"/>
          <w:sz w:val="20"/>
          <w:u w:val="single"/>
          <w:bdr w:val="double" w:sz="2" w:space="1" w:color="000000"/>
        </w:rPr>
        <w:t>(the “Board”) of</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Fidus Investment Corporation (the “Company”)</w:t>
      </w:r>
      <w:r>
        <w:rPr>
          <w:rFonts w:ascii="Times New Roman" w:hAnsi="Times New Roman"/>
          <w:b/>
          <w:sz w:val="20"/>
        </w:rPr>
        <w:t xml:space="preserve"> </w:t>
      </w:r>
    </w:p>
    <w:p>
      <w:pPr>
        <w:pStyle w:val="TextBody"/>
        <w:bidi w:val="0"/>
        <w:spacing w:before="240" w:after="0"/>
        <w:jc w:val="left"/>
        <w:rPr>
          <w:rFonts w:ascii="Times New Roman" w:hAnsi="Times New Roman"/>
          <w:i/>
          <w:sz w:val="20"/>
        </w:rPr>
      </w:pPr>
      <w:r>
        <w:rPr>
          <w:rFonts w:ascii="Times New Roman" w:hAnsi="Times New Roman"/>
          <w:i/>
          <w:strike/>
          <w:color w:val="FF0000"/>
          <w:sz w:val="20"/>
        </w:rPr>
        <w:t>Approval of Filing Section 17(d) Application for Co-Investment Relief</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w:t>
      </w:r>
      <w:r>
        <w:rPr>
          <w:rFonts w:ascii="Times New Roman" w:hAnsi="Times New Roman"/>
          <w:strike/>
          <w:color w:val="FF0000"/>
          <w:sz w:val="20"/>
        </w:rPr>
        <w:t>deems it is advisable and in the best interest of the Fund to file with</w:t>
      </w:r>
      <w:r>
        <w:rPr>
          <w:rFonts w:ascii="Times New Roman" w:hAnsi="Times New Roman"/>
          <w:color w:val="0000FF"/>
          <w:sz w:val="20"/>
          <w:u w:val="single"/>
          <w:bdr w:val="double" w:sz="2" w:space="1" w:color="000000"/>
        </w:rPr>
        <w:t xml:space="preserve"> has reviewed the Co-Investment Exemptive Application (the “</w:t>
      </w:r>
      <w:r>
        <w:rPr>
          <w:rFonts w:ascii="Times New Roman" w:hAnsi="Times New Roman"/>
          <w:b/>
          <w:i/>
          <w:color w:val="0000FF"/>
          <w:sz w:val="20"/>
          <w:u w:val="single"/>
          <w:bdr w:val="double" w:sz="2" w:space="1" w:color="000000"/>
        </w:rPr>
        <w:t>Exemptive Application</w:t>
      </w:r>
      <w:r>
        <w:rPr>
          <w:rFonts w:ascii="Times New Roman" w:hAnsi="Times New Roman"/>
          <w:color w:val="0000FF"/>
          <w:sz w:val="20"/>
          <w:u w:val="single"/>
          <w:bdr w:val="double" w:sz="2" w:space="1" w:color="000000"/>
        </w:rPr>
        <w:t>”), a copy of which is</w:t>
      </w:r>
      <w:r>
        <w:rPr>
          <w:rFonts w:ascii="Times New Roman" w:hAnsi="Times New Roman"/>
          <w:color w:val="008000"/>
          <w:sz w:val="20"/>
          <w:u w:val="single"/>
          <w:bdr w:val="double" w:sz="2" w:space="1" w:color="000000"/>
        </w:rPr>
        <w:t xml:space="preserve"> attached hereto as Exhibit A,</w:t>
      </w:r>
      <w:r>
        <w:rPr>
          <w:rFonts w:ascii="Times New Roman" w:hAnsi="Times New Roman"/>
          <w:color w:val="0000FF"/>
          <w:sz w:val="20"/>
          <w:u w:val="single"/>
          <w:bdr w:val="double" w:sz="2" w:space="1" w:color="000000"/>
        </w:rPr>
        <w:t xml:space="preserve"> for an order of</w:t>
      </w:r>
      <w:r>
        <w:rPr>
          <w:rFonts w:ascii="Times New Roman" w:hAnsi="Times New Roman"/>
          <w:sz w:val="20"/>
        </w:rPr>
        <w:t xml:space="preserve"> the U.S. Securities and Exchange Commission (the “</w:t>
      </w:r>
      <w:r>
        <w:rPr>
          <w:rFonts w:ascii="Times New Roman" w:hAnsi="Times New Roman"/>
          <w:strike/>
          <w:color w:val="FF0000"/>
          <w:sz w:val="20"/>
        </w:rPr>
        <w:t>Commission”) an application for an order</w:t>
      </w:r>
      <w:r>
        <w:rPr>
          <w:rFonts w:ascii="Times New Roman" w:hAnsi="Times New Roman"/>
          <w:b/>
          <w:i/>
          <w:color w:val="0000FF"/>
          <w:sz w:val="20"/>
          <w:u w:val="single"/>
          <w:bdr w:val="double" w:sz="2" w:space="1" w:color="000000"/>
        </w:rPr>
        <w:t>SEC</w:t>
      </w:r>
      <w:r>
        <w:rPr>
          <w:rFonts w:ascii="Times New Roman" w:hAnsi="Times New Roman"/>
          <w:color w:val="0000FF"/>
          <w:sz w:val="20"/>
          <w:u w:val="single"/>
          <w:bdr w:val="double" w:sz="2" w:space="1" w:color="000000"/>
        </w:rPr>
        <w:t>”)</w:t>
      </w:r>
      <w:r>
        <w:rPr>
          <w:rFonts w:ascii="Times New Roman" w:hAnsi="Times New Roman"/>
          <w:sz w:val="20"/>
        </w:rPr>
        <w:t xml:space="preserve"> pursuant to Sections 17(d) and 57(i) of the Investment Company Act of 1940, as amended (the “</w:t>
      </w:r>
      <w:r>
        <w:rPr>
          <w:rFonts w:ascii="Times New Roman" w:hAnsi="Times New Roman"/>
          <w:b/>
          <w:i/>
          <w:sz w:val="20"/>
        </w:rPr>
        <w:t>1940 Act</w:t>
      </w:r>
      <w:r>
        <w:rPr>
          <w:rFonts w:ascii="Times New Roman" w:hAnsi="Times New Roman"/>
          <w:sz w:val="20"/>
        </w:rPr>
        <w:t xml:space="preserve">”), and Rule 17d-1 </w:t>
      </w:r>
      <w:r>
        <w:rPr>
          <w:rFonts w:ascii="Times New Roman" w:hAnsi="Times New Roman"/>
          <w:strike/>
          <w:color w:val="FF0000"/>
          <w:sz w:val="20"/>
        </w:rPr>
        <w:t>promulgated</w:t>
      </w:r>
      <w:r>
        <w:rPr>
          <w:rFonts w:ascii="Times New Roman" w:hAnsi="Times New Roman"/>
          <w:sz w:val="20"/>
        </w:rPr>
        <w:t xml:space="preserve"> thereunder </w:t>
      </w:r>
      <w:r>
        <w:rPr>
          <w:rFonts w:ascii="Times New Roman" w:hAnsi="Times New Roman"/>
          <w:strike/>
          <w:color w:val="FF0000"/>
          <w:sz w:val="20"/>
        </w:rPr>
        <w:t>(the “Application”), to authorize the entering into of</w:t>
      </w:r>
      <w:r>
        <w:rPr>
          <w:rFonts w:ascii="Times New Roman" w:hAnsi="Times New Roman"/>
          <w:color w:val="0000FF"/>
          <w:sz w:val="20"/>
          <w:u w:val="single"/>
          <w:bdr w:val="double" w:sz="2" w:space="1" w:color="000000"/>
        </w:rPr>
        <w:t>permitting</w:t>
      </w:r>
      <w:r>
        <w:rPr>
          <w:rFonts w:ascii="Times New Roman" w:hAnsi="Times New Roman"/>
          <w:sz w:val="20"/>
        </w:rPr>
        <w:t xml:space="preserve"> certain joint transactions that otherwise may be prohibited by Sections 17(d) and 57(a)(4) of the 1940 Act and Rule 17d-1 </w:t>
      </w:r>
      <w:r>
        <w:rPr>
          <w:rFonts w:ascii="Times New Roman" w:hAnsi="Times New Roman"/>
          <w:strike/>
          <w:color w:val="FF0000"/>
          <w:sz w:val="20"/>
        </w:rPr>
        <w:t>promulgated</w:t>
      </w:r>
      <w:r>
        <w:rPr>
          <w:rFonts w:ascii="Times New Roman" w:hAnsi="Times New Roman"/>
          <w:sz w:val="20"/>
        </w:rPr>
        <w:t xml:space="preserve"> thereunder</w:t>
      </w:r>
      <w:r>
        <w:rPr>
          <w:rFonts w:ascii="Times New Roman" w:hAnsi="Times New Roman"/>
          <w:strike/>
          <w:color w:val="FF0000"/>
          <w:sz w:val="20"/>
        </w:rPr>
        <w:t>.</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8000"/>
          <w:sz w:val="20"/>
          <w:u w:val="single"/>
          <w:bdr w:val="double" w:sz="2" w:space="1" w:color="000000"/>
        </w:rPr>
        <w:t>WHEREAS</w:t>
      </w:r>
      <w:r>
        <w:rPr>
          <w:rFonts w:ascii="Times New Roman" w:hAnsi="Times New Roman"/>
          <w:color w:val="008000"/>
          <w:sz w:val="20"/>
          <w:u w:val="single"/>
          <w:bdr w:val="double" w:sz="2" w:space="1" w:color="000000"/>
        </w:rPr>
        <w:t>, the Board deems it advisable and in the best interest of the</w:t>
      </w:r>
      <w:r>
        <w:rPr>
          <w:rFonts w:ascii="Times New Roman" w:hAnsi="Times New Roman"/>
          <w:color w:val="0000FF"/>
          <w:sz w:val="20"/>
          <w:u w:val="single"/>
          <w:bdr w:val="double" w:sz="2" w:space="1" w:color="000000"/>
        </w:rPr>
        <w:t xml:space="preserve"> Company that the Company file the Exemptive Application.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w:t>
      </w:r>
      <w:r>
        <w:rPr>
          <w:rFonts w:ascii="Times New Roman" w:hAnsi="Times New Roman"/>
          <w:strike/>
          <w:color w:val="FF0000"/>
          <w:sz w:val="20"/>
        </w:rPr>
        <w:t>officers of Bluerock Fund Advisor, LLC and the Fund be, and each of them</w:t>
      </w:r>
      <w:r>
        <w:rPr>
          <w:rFonts w:ascii="Times New Roman" w:hAnsi="Times New Roman"/>
          <w:color w:val="0000FF"/>
          <w:sz w:val="20"/>
          <w:u w:val="single"/>
          <w:bdr w:val="double" w:sz="2" w:space="1" w:color="000000"/>
        </w:rPr>
        <w:t>Board shall be, and</w:t>
      </w:r>
      <w:r>
        <w:rPr>
          <w:rFonts w:ascii="Times New Roman" w:hAnsi="Times New Roman"/>
          <w:sz w:val="20"/>
        </w:rPr>
        <w:t xml:space="preserve"> hereby is,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w:t>
      </w:r>
      <w:r>
        <w:rPr>
          <w:rFonts w:ascii="Times New Roman" w:hAnsi="Times New Roman"/>
          <w:strike/>
          <w:color w:val="FF0000"/>
          <w:sz w:val="20"/>
        </w:rPr>
        <w:t xml:space="preserve"> on behalf of</w:t>
      </w:r>
      <w:r>
        <w:rPr>
          <w:rFonts w:ascii="Times New Roman" w:hAnsi="Times New Roman"/>
          <w:color w:val="0000FF"/>
          <w:sz w:val="20"/>
          <w:u w:val="single"/>
          <w:bdr w:val="double" w:sz="2" w:space="1" w:color="000000"/>
        </w:rPr>
        <w:t>, in</w:t>
      </w:r>
      <w:r>
        <w:rPr>
          <w:rFonts w:ascii="Times New Roman" w:hAnsi="Times New Roman"/>
          <w:sz w:val="20"/>
        </w:rPr>
        <w:t xml:space="preserve"> the </w:t>
      </w:r>
      <w:r>
        <w:rPr>
          <w:rFonts w:ascii="Times New Roman" w:hAnsi="Times New Roman"/>
          <w:strike/>
          <w:color w:val="FF0000"/>
          <w:sz w:val="20"/>
        </w:rPr>
        <w:t>Fund and in its</w:t>
      </w:r>
      <w:r>
        <w:rPr>
          <w:rFonts w:ascii="Times New Roman" w:hAnsi="Times New Roman"/>
          <w:sz w:val="20"/>
        </w:rPr>
        <w:t xml:space="preserve"> name and on behalf of the</w:t>
      </w:r>
      <w:r>
        <w:rPr>
          <w:rFonts w:ascii="Times New Roman" w:hAnsi="Times New Roman"/>
          <w:strike/>
          <w:color w:val="FF0000"/>
          <w:sz w:val="20"/>
        </w:rPr>
        <w:t xml:space="preserve"> Fund</w:t>
      </w:r>
      <w:r>
        <w:rPr>
          <w:rFonts w:ascii="Times New Roman" w:hAnsi="Times New Roman"/>
          <w:color w:val="0000FF"/>
          <w:sz w:val="20"/>
          <w:u w:val="single"/>
          <w:bdr w:val="double" w:sz="2" w:space="1" w:color="000000"/>
        </w:rPr>
        <w:t>Company</w:t>
      </w:r>
      <w:r>
        <w:rPr>
          <w:rFonts w:ascii="Times New Roman" w:hAnsi="Times New Roman"/>
          <w:sz w:val="20"/>
        </w:rPr>
        <w:t xml:space="preserve">, to </w:t>
      </w:r>
      <w:r>
        <w:rPr>
          <w:rFonts w:ascii="Times New Roman" w:hAnsi="Times New Roman"/>
          <w:strike/>
          <w:color w:val="FF0000"/>
          <w:sz w:val="20"/>
        </w:rPr>
        <w:t>prepare, execute, and</w:t>
      </w:r>
      <w:r>
        <w:rPr>
          <w:rFonts w:ascii="Times New Roman" w:hAnsi="Times New Roman"/>
          <w:sz w:val="20"/>
        </w:rPr>
        <w:t xml:space="preserve"> cause to be </w:t>
      </w:r>
      <w:r>
        <w:rPr>
          <w:rFonts w:ascii="Times New Roman" w:hAnsi="Times New Roman"/>
          <w:color w:val="0000FF"/>
          <w:sz w:val="20"/>
          <w:u w:val="single"/>
          <w:bdr w:val="double" w:sz="2" w:space="1" w:color="000000"/>
        </w:rPr>
        <w:t>executed, delivered and</w:t>
      </w:r>
      <w:r>
        <w:rPr>
          <w:rFonts w:ascii="Times New Roman" w:hAnsi="Times New Roman"/>
          <w:sz w:val="20"/>
        </w:rPr>
        <w:t xml:space="preserve"> filed with the </w:t>
      </w:r>
      <w:r>
        <w:rPr>
          <w:rFonts w:ascii="Times New Roman" w:hAnsi="Times New Roman"/>
          <w:strike/>
          <w:color w:val="FF0000"/>
          <w:sz w:val="20"/>
        </w:rPr>
        <w:t>Commission an Application for an Order of Exemption, substantially in the form</w:t>
      </w:r>
      <w:r>
        <w:rPr>
          <w:rFonts w:ascii="Times New Roman" w:hAnsi="Times New Roman"/>
          <w:strike/>
          <w:color w:val="008000"/>
          <w:sz w:val="20"/>
        </w:rPr>
        <w:t xml:space="preserve"> attached hereto as Exhibit A,</w:t>
      </w:r>
      <w:r>
        <w:rPr>
          <w:rFonts w:ascii="Times New Roman" w:hAnsi="Times New Roman"/>
          <w:strike/>
          <w:color w:val="FF0000"/>
          <w:sz w:val="20"/>
        </w:rPr>
        <w:t xml:space="preserve"> and any amendments thereto, pursuant to Section 17(d) of the 1940 Act, and Rule 17d-1 promulgated under the 1940 Act, authorizing certain joint transactions that otherwise may be prohibited by Section 17(d) of the 1940 Act; and it is further</w:t>
      </w:r>
      <w:r>
        <w:rPr>
          <w:rFonts w:ascii="Times New Roman" w:hAnsi="Times New Roman"/>
          <w:color w:val="0000FF"/>
          <w:sz w:val="20"/>
          <w:u w:val="single"/>
          <w:bdr w:val="double" w:sz="2" w:space="1" w:color="000000"/>
        </w:rPr>
        <w:t>SEC the Exemptive Application, in substantially the form provided to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xml:space="preserve">, that the </w:t>
      </w:r>
      <w:r>
        <w:rPr>
          <w:rFonts w:ascii="Times New Roman" w:hAnsi="Times New Roman"/>
          <w:strike/>
          <w:color w:val="FF0000"/>
          <w:sz w:val="20"/>
        </w:rPr>
        <w:t>officers of the Fund be, and each of them</w:t>
      </w:r>
      <w:r>
        <w:rPr>
          <w:rFonts w:ascii="Times New Roman" w:hAnsi="Times New Roman"/>
          <w:color w:val="0000FF"/>
          <w:sz w:val="20"/>
          <w:u w:val="single"/>
          <w:bdr w:val="double" w:sz="2" w:space="1" w:color="000000"/>
        </w:rPr>
        <w:t>Authorized Officers (as defined below) shall be, and</w:t>
      </w:r>
      <w:r>
        <w:rPr>
          <w:rFonts w:ascii="Times New Roman" w:hAnsi="Times New Roman"/>
          <w:sz w:val="20"/>
        </w:rPr>
        <w:t xml:space="preserve"> hereby</w:t>
      </w:r>
      <w:r>
        <w:rPr>
          <w:rFonts w:ascii="Times New Roman" w:hAnsi="Times New Roman"/>
          <w:strike/>
          <w:color w:val="FF0000"/>
          <w:sz w:val="20"/>
        </w:rPr>
        <w:t xml:space="preserve"> is</w:t>
      </w:r>
      <w:r>
        <w:rPr>
          <w:rFonts w:ascii="Times New Roman" w:hAnsi="Times New Roman"/>
          <w:color w:val="0000FF"/>
          <w:sz w:val="20"/>
          <w:u w:val="single"/>
          <w:bdr w:val="double" w:sz="2" w:space="1" w:color="000000"/>
        </w:rPr>
        <w:t>are</w:t>
      </w:r>
      <w:r>
        <w:rPr>
          <w:rFonts w:ascii="Times New Roman" w:hAnsi="Times New Roman"/>
          <w:sz w:val="20"/>
        </w:rPr>
        <w:t>,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w:t>
      </w:r>
      <w:r>
        <w:rPr>
          <w:rFonts w:ascii="Times New Roman" w:hAnsi="Times New Roman"/>
          <w:strike/>
          <w:color w:val="FF0000"/>
          <w:sz w:val="20"/>
        </w:rPr>
        <w:t xml:space="preserve"> to take such further action and execute such other documents as such officer or officers shall deem necessary or advisable</w:t>
      </w:r>
      <w:r>
        <w:rPr>
          <w:rFonts w:ascii="Times New Roman" w:hAnsi="Times New Roman"/>
          <w:color w:val="0000FF"/>
          <w:sz w:val="20"/>
          <w:u w:val="single"/>
          <w:bdr w:val="double" w:sz="2" w:space="1" w:color="000000"/>
        </w:rPr>
        <w:t xml:space="preserve"> , in the</w:t>
      </w:r>
      <w:r>
        <w:rPr>
          <w:rFonts w:ascii="Times New Roman" w:hAnsi="Times New Roman"/>
          <w:color w:val="008000"/>
          <w:sz w:val="20"/>
          <w:u w:val="single"/>
          <w:bdr w:val="double" w:sz="2" w:space="1" w:color="000000"/>
        </w:rPr>
        <w:t xml:space="preserve"> name and on behalf of the</w:t>
      </w:r>
      <w:r>
        <w:rPr>
          <w:rFonts w:ascii="Times New Roman" w:hAnsi="Times New Roman"/>
          <w:color w:val="0000FF"/>
          <w:sz w:val="20"/>
          <w:u w:val="single"/>
          <w:bdr w:val="double" w:sz="2" w:space="1" w:color="000000"/>
        </w:rPr>
        <w:t xml:space="preserve"> Company, to cause to be made, executed, delivered and filed with the SEC any amendments to the Exemptive Application, together with such exhibits and other documents thereto, as are satisfactory in form and substance to counsel to the Company</w:t>
      </w:r>
      <w:r>
        <w:rPr>
          <w:rFonts w:ascii="Times New Roman" w:hAnsi="Times New Roman"/>
          <w:sz w:val="20"/>
        </w:rPr>
        <w:t xml:space="preserve"> in order to effectuate the </w:t>
      </w:r>
      <w:r>
        <w:rPr>
          <w:rFonts w:ascii="Times New Roman" w:hAnsi="Times New Roman"/>
          <w:strike/>
          <w:color w:val="FF0000"/>
          <w:sz w:val="20"/>
        </w:rPr>
        <w:t>intent of the</w:t>
      </w:r>
      <w:r>
        <w:rPr>
          <w:rFonts w:ascii="Times New Roman" w:hAnsi="Times New Roman"/>
          <w:sz w:val="20"/>
        </w:rPr>
        <w:t xml:space="preserve"> foregoing </w:t>
      </w:r>
      <w:r>
        <w:rPr>
          <w:rFonts w:ascii="Times New Roman" w:hAnsi="Times New Roman"/>
          <w:strike/>
          <w:color w:val="FF0000"/>
          <w:sz w:val="20"/>
        </w:rPr>
        <w:t>resolution; and it is further</w:t>
      </w:r>
      <w:r>
        <w:rPr>
          <w:rFonts w:ascii="Times New Roman" w:hAnsi="Times New Roman"/>
          <w:color w:val="0000FF"/>
          <w:sz w:val="20"/>
          <w:u w:val="single"/>
          <w:bdr w:val="double" w:sz="2" w:space="1" w:color="000000"/>
        </w:rPr>
        <w:t>, such determination to be conclusively evidenced by the taking of any such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xml:space="preserve">, that </w:t>
      </w:r>
      <w:r>
        <w:rPr>
          <w:rFonts w:ascii="Times New Roman" w:hAnsi="Times New Roman"/>
          <w:strike/>
          <w:color w:val="FF0000"/>
          <w:sz w:val="20"/>
        </w:rPr>
        <w:t>any and all actions previously taken by the Fund or any of its directors or officers</w:t>
      </w:r>
      <w:r>
        <w:rPr>
          <w:rFonts w:ascii="Times New Roman" w:hAnsi="Times New Roman"/>
          <w:color w:val="0000FF"/>
          <w:sz w:val="20"/>
          <w:u w:val="single"/>
          <w:bdr w:val="double" w:sz="2" w:space="1" w:color="000000"/>
        </w:rPr>
        <w:t>all acts and things previously done by the Authorized Officers, on or prior to the date hereof, in the name and on behalf of the Company</w:t>
      </w:r>
      <w:r>
        <w:rPr>
          <w:rFonts w:ascii="Times New Roman" w:hAnsi="Times New Roman"/>
          <w:sz w:val="20"/>
        </w:rPr>
        <w:t xml:space="preserve"> in connection with the </w:t>
      </w:r>
      <w:r>
        <w:rPr>
          <w:rFonts w:ascii="Times New Roman" w:hAnsi="Times New Roman"/>
          <w:strike/>
          <w:color w:val="FF0000"/>
          <w:sz w:val="20"/>
        </w:rPr>
        <w:t>actions contemplated by the</w:t>
      </w:r>
      <w:r>
        <w:rPr>
          <w:rFonts w:ascii="Times New Roman" w:hAnsi="Times New Roman"/>
          <w:sz w:val="20"/>
        </w:rPr>
        <w:t xml:space="preserve"> foregoing resolutions </w:t>
      </w:r>
      <w:r>
        <w:rPr>
          <w:rFonts w:ascii="Times New Roman" w:hAnsi="Times New Roman"/>
          <w:strike/>
          <w:color w:val="FF0000"/>
          <w:sz w:val="20"/>
        </w:rPr>
        <w:t>be, and each of them hereby is</w:t>
      </w:r>
      <w:r>
        <w:rPr>
          <w:rFonts w:ascii="Times New Roman" w:hAnsi="Times New Roman"/>
          <w:color w:val="0000FF"/>
          <w:sz w:val="20"/>
          <w:u w:val="single"/>
          <w:bdr w:val="double" w:sz="2" w:space="1" w:color="000000"/>
        </w:rPr>
        <w:t>are in all respects authorized</w:t>
      </w:r>
      <w:r>
        <w:rPr>
          <w:rFonts w:ascii="Times New Roman" w:hAnsi="Times New Roman"/>
          <w:sz w:val="20"/>
        </w:rPr>
        <w:t xml:space="preserve">, ratified, </w:t>
      </w:r>
      <w:r>
        <w:rPr>
          <w:rFonts w:ascii="Times New Roman" w:hAnsi="Times New Roman"/>
          <w:strike/>
          <w:color w:val="FF0000"/>
          <w:sz w:val="20"/>
        </w:rPr>
        <w:t>confirmed,</w:t>
      </w:r>
      <w:r>
        <w:rPr>
          <w:rFonts w:ascii="Times New Roman" w:hAnsi="Times New Roman"/>
          <w:sz w:val="20"/>
        </w:rPr>
        <w:t xml:space="preserve"> approved</w:t>
      </w:r>
      <w:r>
        <w:rPr>
          <w:rFonts w:ascii="Times New Roman" w:hAnsi="Times New Roman"/>
          <w:color w:val="0000FF"/>
          <w:sz w:val="20"/>
          <w:u w:val="single"/>
          <w:bdr w:val="double" w:sz="2" w:space="1" w:color="000000"/>
        </w:rPr>
        <w:t>, confirmed</w:t>
      </w:r>
      <w:r>
        <w:rPr>
          <w:rFonts w:ascii="Times New Roman" w:hAnsi="Times New Roman"/>
          <w:sz w:val="20"/>
        </w:rPr>
        <w:t xml:space="preserve"> and adopted</w:t>
      </w:r>
      <w:r>
        <w:rPr>
          <w:rFonts w:ascii="Times New Roman" w:hAnsi="Times New Roman"/>
          <w:strike/>
          <w:color w:val="FF0000"/>
          <w:sz w:val="20"/>
        </w:rPr>
        <w:t xml:space="preserve"> in all respects</w:t>
      </w:r>
      <w:r>
        <w:rPr>
          <w:rFonts w:ascii="Times New Roman" w:hAnsi="Times New Roman"/>
          <w:sz w:val="20"/>
        </w:rPr>
        <w:t xml:space="preserve"> as</w:t>
      </w:r>
      <w:r>
        <w:rPr>
          <w:rFonts w:ascii="Times New Roman" w:hAnsi="Times New Roman"/>
          <w:strike/>
          <w:color w:val="FF0000"/>
          <w:sz w:val="20"/>
        </w:rPr>
        <w:t xml:space="preserve"> and for</w:t>
      </w:r>
      <w:r>
        <w:rPr>
          <w:rFonts w:ascii="Times New Roman" w:hAnsi="Times New Roman"/>
          <w:sz w:val="20"/>
        </w:rPr>
        <w:t xml:space="preserve"> the acts and deeds </w:t>
      </w:r>
      <w:r>
        <w:rPr>
          <w:rFonts w:ascii="Times New Roman" w:hAnsi="Times New Roman"/>
          <w:color w:val="0000FF"/>
          <w:sz w:val="20"/>
          <w:u w:val="single"/>
          <w:bdr w:val="double" w:sz="2" w:space="1" w:color="000000"/>
        </w:rPr>
        <w:t>by and on behalf</w:t>
      </w:r>
      <w:r>
        <w:rPr>
          <w:rFonts w:ascii="Times New Roman" w:hAnsi="Times New Roman"/>
          <w:sz w:val="20"/>
        </w:rPr>
        <w:t xml:space="preserve"> of the</w:t>
      </w:r>
      <w:r>
        <w:rPr>
          <w:rFonts w:ascii="Times New Roman" w:hAnsi="Times New Roman"/>
          <w:strike/>
          <w:color w:val="FF0000"/>
          <w:sz w:val="20"/>
        </w:rPr>
        <w:t xml:space="preserve"> Fund.</w:t>
      </w:r>
      <w:r>
        <w:rPr>
          <w:rFonts w:ascii="Times New Roman" w:hAnsi="Times New Roman"/>
          <w:color w:val="0000FF"/>
          <w:sz w:val="20"/>
          <w:u w:val="single"/>
          <w:bdr w:val="double" w:sz="2" w:space="1" w:color="000000"/>
        </w:rPr>
        <w:t>Company;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u w:val="single"/>
        </w:rPr>
        <w:t>Resolutions of the Board of Trustees of Bluerock High Income Institutional Credit Fund</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trike/>
          <w:color w:val="FF0000"/>
          <w:sz w:val="20"/>
        </w:rPr>
        <w:t>Approval of Filing Section 17(d) Application for Co-Investment Relief</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008000"/>
          <w:sz w:val="20"/>
        </w:rPr>
        <w:t>WHEREAS,</w:t>
      </w:r>
      <w:r>
        <w:rPr>
          <w:rFonts w:ascii="Times New Roman" w:hAnsi="Times New Roman"/>
          <w:strike/>
          <w:color w:val="008000"/>
          <w:sz w:val="20"/>
        </w:rPr>
        <w:t xml:space="preserve"> the Board deems it</w:t>
      </w:r>
      <w:r>
        <w:rPr>
          <w:rFonts w:ascii="Times New Roman" w:hAnsi="Times New Roman"/>
          <w:strike/>
          <w:color w:val="FF0000"/>
          <w:sz w:val="20"/>
        </w:rPr>
        <w:t xml:space="preserve"> is</w:t>
      </w:r>
      <w:r>
        <w:rPr>
          <w:rFonts w:ascii="Times New Roman" w:hAnsi="Times New Roman"/>
          <w:strike/>
          <w:color w:val="008000"/>
          <w:sz w:val="20"/>
        </w:rPr>
        <w:t xml:space="preserve"> advisable and in the best interest of the</w:t>
      </w:r>
      <w:r>
        <w:rPr>
          <w:rFonts w:ascii="Times New Roman" w:hAnsi="Times New Roman"/>
          <w:strike/>
          <w:color w:val="FF0000"/>
          <w:sz w:val="20"/>
        </w:rPr>
        <w:t xml:space="preserve"> Fund to file with the</w:t>
      </w:r>
      <w:r>
        <w:rPr>
          <w:rFonts w:ascii="Times New Roman" w:hAnsi="Times New Roman"/>
          <w:sz w:val="20"/>
        </w:rPr>
        <w:t xml:space="preserve"> </w:t>
      </w:r>
      <w:r>
        <w:rPr>
          <w:rFonts w:ascii="Times New Roman" w:hAnsi="Times New Roman"/>
          <w:strike/>
          <w:color w:val="FF0000"/>
          <w:sz w:val="20"/>
        </w:rPr>
        <w:t>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trike/>
          <w:color w:val="FF0000"/>
          <w:sz w:val="20"/>
        </w:rPr>
        <w:t>NOW, THEREFORE, BE IT RESOLVED,</w:t>
      </w:r>
      <w:r>
        <w:rPr>
          <w:rFonts w:ascii="Times New Roman" w:hAnsi="Times New Roman"/>
          <w:strike/>
          <w:color w:val="FF0000"/>
          <w:sz w:val="20"/>
        </w:rPr>
        <w:t xml:space="preserve"> that the officers of Bluerock Credit Fund Advisor, LLC and the Fund be, and each of them hereby is, authorized and directed on behalf of the Fund and in its </w:t>
      </w:r>
      <w:r>
        <w:rPr>
          <w:rFonts w:ascii="Times New Roman" w:hAnsi="Times New Roman"/>
          <w:strike/>
          <w:color w:val="008000"/>
          <w:sz w:val="20"/>
        </w:rPr>
        <w:t xml:space="preserve">name and on behalf of the </w:t>
      </w:r>
      <w:r>
        <w:rPr>
          <w:rFonts w:ascii="Times New Roman" w:hAnsi="Times New Roman"/>
          <w:strike/>
          <w:color w:val="FF0000"/>
          <w:sz w:val="20"/>
        </w:rPr>
        <w:t>Fund, to prepare, execute, and cause to be filed with the Commission an Application for an Order of Exemption, substantially in the form attached hereto as Exhibit A, and any amendments thereto, pursuant to Section 17(d) of the 1940 Act, and Rule 17d-1 promulgated under the 1940 Act, authorizing certain joint transactions that otherwise may be prohibited by Section 17(d) of the 1940 Act; and it is further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xml:space="preserve">, that </w:t>
      </w:r>
      <w:r>
        <w:rPr>
          <w:rFonts w:ascii="Times New Roman" w:hAnsi="Times New Roman"/>
          <w:strike/>
          <w:color w:val="FF0000"/>
          <w:sz w:val="20"/>
        </w:rPr>
        <w:t>the officers of the Fund be, and each of them</w:t>
      </w:r>
      <w:r>
        <w:rPr>
          <w:rFonts w:ascii="Times New Roman" w:hAnsi="Times New Roman"/>
          <w:color w:val="0000FF"/>
          <w:sz w:val="20"/>
          <w:u w:val="single"/>
          <w:bdr w:val="double" w:sz="2" w:space="1" w:color="000000"/>
        </w:rPr>
        <w:t>each of Chief Executive Officer and Chief Financial Officer of the Company (the “</w:t>
      </w:r>
      <w:r>
        <w:rPr>
          <w:rFonts w:ascii="Times New Roman" w:hAnsi="Times New Roman"/>
          <w:b/>
          <w:i/>
          <w:color w:val="0000FF"/>
          <w:sz w:val="20"/>
          <w:u w:val="single"/>
          <w:bdr w:val="double" w:sz="2" w:space="1" w:color="000000"/>
        </w:rPr>
        <w:t>Authorized Officers</w:t>
      </w:r>
      <w:r>
        <w:rPr>
          <w:rFonts w:ascii="Times New Roman" w:hAnsi="Times New Roman"/>
          <w:color w:val="0000FF"/>
          <w:sz w:val="20"/>
          <w:u w:val="single"/>
          <w:bdr w:val="double" w:sz="2" w:space="1" w:color="000000"/>
        </w:rPr>
        <w:t>”) be, and</w:t>
      </w:r>
      <w:r>
        <w:rPr>
          <w:rFonts w:ascii="Times New Roman" w:hAnsi="Times New Roman"/>
          <w:sz w:val="20"/>
        </w:rPr>
        <w:t xml:space="preserve"> hereby is,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 to </w:t>
      </w:r>
      <w:r>
        <w:rPr>
          <w:rFonts w:ascii="Times New Roman" w:hAnsi="Times New Roman"/>
          <w:strike/>
          <w:color w:val="FF0000"/>
          <w:sz w:val="20"/>
        </w:rPr>
        <w:t>take such further action and execute such other documents as such officer or officers shall deem necessary or advisable in order to effectuate the intent of the foregoing resolution; and it is further</w:t>
      </w:r>
      <w:r>
        <w:rPr>
          <w:rFonts w:ascii="Times New Roman" w:hAnsi="Times New Roman"/>
          <w:color w:val="0000FF"/>
          <w:sz w:val="20"/>
          <w:u w:val="single"/>
          <w:bdr w:val="double" w:sz="2" w:space="1" w:color="000000"/>
        </w:rPr>
        <w:t>certify and deliver copies of these resolutions to such governmental bodies, agencies, persons, firms or corporations as the Authorized Officer may deem necessary and to identify by such Authorized Officer’s signature or certificate, or in such form as may be required, the documents and instruments presented to and approved herein and to furnish evidence of the approval of any document, instrument or provision or any addition, deletion or change in any document or instrument.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RESOLVED,</w:t>
      </w:r>
      <w:r>
        <w:rPr>
          <w:rFonts w:ascii="Times New Roman" w:hAnsi="Times New Roman"/>
          <w:strike/>
          <w:color w:val="FF0000"/>
          <w:sz w:val="20"/>
        </w:rPr>
        <w:t xml:space="preserve"> that any and all actions previously taken by the Fund or any of its directors or officers in connection with the actions contemplated by the foregoing resolutions be, and each of them hereby is, ratified, confirmed, approved and adopted in all respects as and for the acts and deeds of the Fund.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Schedule A – Existing Wholly-Owned Subsidiaries</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Existing Wholly-Owned Subsidiaries of Fidus Investment Corporation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Fidus Mezzanine Capital,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IV,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FIC Funding, LLC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Holdings, Inc.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Schedule B – Existing Affiliated Funds</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Existing Affiliated Funds Advised by Fidus Investment Advisors, LLC:</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Fidus Credit Opportunities,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Equity Opportunities Fund, L.P.</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C</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Marked Copies of Amendment No. 1 Showing Changes from the Final Versions of the Two Applications</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Identified as Substantially Identical Under Rule 0-5(e)(3)</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D</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Marked Copies of the Amendment No. 1 to the Application Showing Changes from the Application Filed with</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the Commission on August 28, 2026</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Marked Copies of the Amendment No. 1 to the Application Showing Changes from the Application Filed with </w:t>
      </w:r>
    </w:p>
    <w:p>
      <w:pPr>
        <w:pStyle w:val="TextBody"/>
        <w:bidi w:val="0"/>
        <w:spacing w:before="0" w:after="0"/>
        <w:jc w:val="center"/>
        <w:rPr>
          <w:rFonts w:ascii="Times New Roman" w:hAnsi="Times New Roman"/>
          <w:b/>
          <w:sz w:val="20"/>
        </w:rPr>
      </w:pPr>
      <w:r>
        <w:rPr>
          <w:rFonts w:ascii="Times New Roman" w:hAnsi="Times New Roman"/>
          <w:b/>
          <w:sz w:val="20"/>
        </w:rPr>
        <w:t xml:space="preserve">the Commission on August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File No.</w:t>
      </w:r>
      <w:r>
        <w:rPr>
          <w:rFonts w:ascii="Times New Roman" w:hAnsi="Times New Roman"/>
          <w:b/>
          <w:color w:val="0000FF"/>
          <w:sz w:val="20"/>
          <w:u w:val="single"/>
          <w:bdr w:val="double" w:sz="2" w:space="1" w:color="000000"/>
        </w:rPr>
        <w:t> 812-16082</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U.S. SECURITIES AND EXCHANGE COMMISSION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EXPEDITED REVIEW REQUESTED UNDER 17 CFR 270.0-5(d)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In the Matter of the Application of: </w:t>
      </w:r>
    </w:p>
    <w:p>
      <w:pPr>
        <w:pStyle w:val="TextBody"/>
        <w:bidi w:val="0"/>
        <w:spacing w:before="240" w:after="0"/>
        <w:jc w:val="center"/>
        <w:rPr>
          <w:rFonts w:ascii="Times New Roman" w:hAnsi="Times New Roman"/>
          <w:b/>
          <w:sz w:val="20"/>
        </w:rPr>
      </w:pPr>
      <w:r>
        <w:rPr>
          <w:rFonts w:ascii="Times New Roman" w:hAnsi="Times New Roman"/>
          <w:b/>
          <w:sz w:val="20"/>
        </w:rPr>
        <w:t xml:space="preserve">FIDUS INVESTMENT CORPORATION, FIDUS CREDIT OPPORTUNITIES, L.P., FIDUS EQUITY </w:t>
      </w:r>
    </w:p>
    <w:p>
      <w:pPr>
        <w:pStyle w:val="TextBody"/>
        <w:bidi w:val="0"/>
        <w:spacing w:before="0" w:after="0"/>
        <w:jc w:val="center"/>
        <w:rPr>
          <w:rFonts w:ascii="Times New Roman" w:hAnsi="Times New Roman"/>
          <w:b/>
          <w:sz w:val="20"/>
        </w:rPr>
      </w:pPr>
      <w:r>
        <w:rPr>
          <w:rFonts w:ascii="Times New Roman" w:hAnsi="Times New Roman"/>
          <w:b/>
          <w:sz w:val="20"/>
        </w:rPr>
        <w:t xml:space="preserve">OPPORTUNITIES FUND, L.P., FIDUS MEZZANINE CAPITAL, L.P., FIDUS MEZZANINE CAPITAL II, </w:t>
      </w:r>
    </w:p>
    <w:p>
      <w:pPr>
        <w:pStyle w:val="TextBody"/>
        <w:bidi w:val="0"/>
        <w:spacing w:before="0" w:after="0"/>
        <w:jc w:val="center"/>
        <w:rPr>
          <w:rFonts w:ascii="Times New Roman" w:hAnsi="Times New Roman"/>
          <w:b/>
          <w:sz w:val="20"/>
        </w:rPr>
      </w:pPr>
      <w:r>
        <w:rPr>
          <w:rFonts w:ascii="Times New Roman" w:hAnsi="Times New Roman"/>
          <w:b/>
          <w:sz w:val="20"/>
        </w:rPr>
        <w:t xml:space="preserve">L.P., FIDUS MEZZANINE CAPITAL III, L.P., FIDUS MEZZANINE CAPITAL IV, L.P., FIC FUNDING, </w:t>
      </w:r>
    </w:p>
    <w:p>
      <w:pPr>
        <w:pStyle w:val="TextBody"/>
        <w:bidi w:val="0"/>
        <w:spacing w:before="0" w:after="0"/>
        <w:jc w:val="center"/>
        <w:rPr>
          <w:rFonts w:ascii="Times New Roman" w:hAnsi="Times New Roman"/>
          <w:b/>
          <w:sz w:val="20"/>
        </w:rPr>
      </w:pPr>
      <w:r>
        <w:rPr>
          <w:rFonts w:ascii="Times New Roman" w:hAnsi="Times New Roman"/>
          <w:b/>
          <w:sz w:val="20"/>
        </w:rPr>
        <w:t xml:space="preserve">LLC, FIDUS INVESTMENT HOLDINGS, INC., AND FIDUS INVESTMENT ADVISORS, LLC </w:t>
      </w:r>
    </w:p>
    <w:p>
      <w:pPr>
        <w:pStyle w:val="TextBody"/>
        <w:bidi w:val="0"/>
        <w:spacing w:before="240" w:after="0"/>
        <w:jc w:val="center"/>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center"/>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AMENDMENT NO. 1 TO THE</w:t>
      </w:r>
      <w:r>
        <w:rPr>
          <w:rFonts w:ascii="Times New Roman" w:hAnsi="Times New Roman"/>
          <w:sz w:val="20"/>
        </w:rPr>
        <w:t xml:space="preserv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All Communications, Notices and Orders to: </w:t>
      </w:r>
    </w:p>
    <w:p>
      <w:pPr>
        <w:pStyle w:val="TextBody"/>
        <w:bidi w:val="0"/>
        <w:spacing w:before="240" w:after="0"/>
        <w:jc w:val="center"/>
        <w:rPr>
          <w:rFonts w:ascii="Times New Roman" w:hAnsi="Times New Roman"/>
          <w:sz w:val="20"/>
        </w:rPr>
      </w:pPr>
      <w:r>
        <w:rPr>
          <w:rFonts w:ascii="Times New Roman" w:hAnsi="Times New Roman"/>
          <w:sz w:val="20"/>
        </w:rPr>
        <w:t xml:space="preserve">Edward H. Ross </w:t>
      </w:r>
    </w:p>
    <w:p>
      <w:pPr>
        <w:pStyle w:val="TextBody"/>
        <w:bidi w:val="0"/>
        <w:spacing w:before="0" w:after="0"/>
        <w:jc w:val="center"/>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center"/>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center"/>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center"/>
        <w:rPr>
          <w:rFonts w:ascii="Times New Roman" w:hAnsi="Times New Roman"/>
          <w:sz w:val="20"/>
        </w:rPr>
      </w:pPr>
      <w:r>
        <w:rPr>
          <w:rFonts w:ascii="Times New Roman" w:hAnsi="Times New Roman"/>
          <w:sz w:val="20"/>
        </w:rPr>
        <w:t xml:space="preserve">eross@fidusinv.com </w:t>
      </w:r>
    </w:p>
    <w:p>
      <w:pPr>
        <w:pStyle w:val="TextBody"/>
        <w:bidi w:val="0"/>
        <w:spacing w:before="240" w:after="0"/>
        <w:jc w:val="center"/>
        <w:rPr>
          <w:rFonts w:ascii="Times New Roman" w:hAnsi="Times New Roman"/>
          <w:i/>
          <w:sz w:val="20"/>
        </w:rPr>
      </w:pPr>
      <w:r>
        <w:rPr>
          <w:rFonts w:ascii="Times New Roman" w:hAnsi="Times New Roman"/>
          <w:i/>
          <w:sz w:val="20"/>
        </w:rPr>
        <w:t xml:space="preserve">Copies to: </w:t>
      </w:r>
    </w:p>
    <w:p>
      <w:pPr>
        <w:pStyle w:val="TextBody"/>
        <w:bidi w:val="0"/>
        <w:spacing w:before="240" w:after="0"/>
        <w:jc w:val="center"/>
        <w:rPr>
          <w:rFonts w:ascii="Times New Roman" w:hAnsi="Times New Roman"/>
          <w:sz w:val="20"/>
        </w:rPr>
      </w:pPr>
      <w:r>
        <w:rPr>
          <w:rFonts w:ascii="Times New Roman" w:hAnsi="Times New Roman"/>
          <w:sz w:val="20"/>
        </w:rPr>
        <w:t xml:space="preserve">Steven B. Boehm </w:t>
      </w:r>
    </w:p>
    <w:p>
      <w:pPr>
        <w:pStyle w:val="TextBody"/>
        <w:bidi w:val="0"/>
        <w:spacing w:before="0" w:after="0"/>
        <w:jc w:val="center"/>
        <w:rPr>
          <w:rFonts w:ascii="Times New Roman" w:hAnsi="Times New Roman"/>
          <w:sz w:val="20"/>
        </w:rPr>
      </w:pPr>
      <w:r>
        <w:rPr>
          <w:rFonts w:ascii="Times New Roman" w:hAnsi="Times New Roman"/>
          <w:sz w:val="20"/>
        </w:rPr>
        <w:t xml:space="preserve">Anne G. Oberndorf </w:t>
      </w:r>
    </w:p>
    <w:p>
      <w:pPr>
        <w:pStyle w:val="TextBody"/>
        <w:bidi w:val="0"/>
        <w:spacing w:before="0" w:after="0"/>
        <w:jc w:val="center"/>
        <w:rPr>
          <w:rFonts w:ascii="Times New Roman" w:hAnsi="Times New Roman"/>
          <w:sz w:val="20"/>
        </w:rPr>
      </w:pPr>
      <w:r>
        <w:rPr>
          <w:rFonts w:ascii="Times New Roman" w:hAnsi="Times New Roman"/>
          <w:sz w:val="20"/>
        </w:rPr>
        <w:t xml:space="preserve">Payam Siadatpour </w:t>
      </w:r>
    </w:p>
    <w:p>
      <w:pPr>
        <w:pStyle w:val="TextBody"/>
        <w:bidi w:val="0"/>
        <w:spacing w:before="0" w:after="0"/>
        <w:jc w:val="center"/>
        <w:rPr>
          <w:rFonts w:ascii="Times New Roman" w:hAnsi="Times New Roman"/>
          <w:sz w:val="20"/>
        </w:rPr>
      </w:pPr>
      <w:r>
        <w:rPr>
          <w:rFonts w:ascii="Times New Roman" w:hAnsi="Times New Roman"/>
          <w:sz w:val="20"/>
        </w:rPr>
        <w:t xml:space="preserve">Eversheds Sutherland (US) LLP </w:t>
      </w:r>
    </w:p>
    <w:p>
      <w:pPr>
        <w:pStyle w:val="TextBody"/>
        <w:bidi w:val="0"/>
        <w:spacing w:before="0" w:after="0"/>
        <w:jc w:val="center"/>
        <w:rPr>
          <w:rFonts w:ascii="Times New Roman" w:hAnsi="Times New Roman"/>
          <w:sz w:val="20"/>
        </w:rPr>
      </w:pPr>
      <w:r>
        <w:rPr>
          <w:rFonts w:ascii="Times New Roman" w:hAnsi="Times New Roman"/>
          <w:sz w:val="20"/>
        </w:rPr>
        <w:t xml:space="preserve">700 6th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center"/>
        <w:rPr>
          <w:rFonts w:ascii="Times New Roman" w:hAnsi="Times New Roman"/>
          <w:sz w:val="20"/>
        </w:rPr>
      </w:pPr>
      <w:r>
        <w:rPr>
          <w:rFonts w:ascii="Times New Roman" w:hAnsi="Times New Roman"/>
          <w:sz w:val="20"/>
        </w:rPr>
        <w:t xml:space="preserve">(202) 383-0100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stevenboehm@eversheds-sutherland.us </w:t>
      </w:r>
    </w:p>
    <w:p>
      <w:pPr>
        <w:pStyle w:val="TextBody"/>
        <w:bidi w:val="0"/>
        <w:spacing w:before="0" w:after="0"/>
        <w:jc w:val="center"/>
        <w:rPr>
          <w:rFonts w:ascii="Times New Roman" w:hAnsi="Times New Roman"/>
          <w:sz w:val="20"/>
        </w:rPr>
      </w:pPr>
      <w:r>
        <w:rPr>
          <w:rFonts w:ascii="Times New Roman" w:hAnsi="Times New Roman"/>
          <w:sz w:val="20"/>
        </w:rPr>
        <w:t>anneoberndorf@eversheds-sutherland.us</w:t>
      </w:r>
      <w:r>
        <w:rPr>
          <w:rFonts w:ascii="Times New Roman" w:hAnsi="Times New Roman"/>
          <w:color w:val="0000FF"/>
          <w:sz w:val="20"/>
          <w:u w:val="single"/>
          <w:bdr w:val="double" w:sz="2" w:space="1" w:color="00000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payamsiadatpour@eversheds-sutherland.us</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trike/>
          <w:color w:val="FF0000"/>
          <w:sz w:val="20"/>
        </w:rPr>
        <w:t>August 28</w:t>
      </w:r>
      <w:r>
        <w:rPr>
          <w:rFonts w:ascii="Times New Roman" w:hAnsi="Times New Roman"/>
          <w:color w:val="0000FF"/>
          <w:sz w:val="20"/>
          <w:u w:val="single"/>
          <w:bdr w:val="double" w:sz="2" w:space="1" w:color="000000"/>
        </w:rPr>
        <w:t>October 21</w:t>
      </w:r>
      <w:r>
        <w:rPr>
          <w:rFonts w:ascii="Times New Roman" w:hAnsi="Times New Roman"/>
          <w:sz w:val="20"/>
        </w:rPr>
        <w:t xml:space="preserve">,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 </w:t>
      </w:r>
      <w:r>
        <w:rPr>
          <w:rFonts w:ascii="Times New Roman" w:hAnsi="Times New Roman"/>
          <w:b/>
          <w:sz w:val="20"/>
          <w:u w:val="single"/>
        </w:rPr>
        <w:t>SUMMARY OF APPLICATION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following entities hereby request an order (the “</w:t>
      </w:r>
      <w:r>
        <w:rPr>
          <w:rFonts w:ascii="Times New Roman" w:hAnsi="Times New Roman"/>
          <w:b/>
          <w:i/>
          <w:sz w:val="20"/>
        </w:rPr>
        <w:t>Order</w:t>
      </w:r>
      <w:r>
        <w:rPr>
          <w:rFonts w:ascii="Times New Roman" w:hAnsi="Times New Roman"/>
          <w:sz w:val="20"/>
        </w:rPr>
        <w:t>”) of the U.S. Securities and Exchange Commission (the “</w:t>
      </w:r>
      <w:r>
        <w:rPr>
          <w:rFonts w:ascii="Times New Roman" w:hAnsi="Times New Roman"/>
          <w:b/>
          <w:i/>
          <w:sz w:val="20"/>
        </w:rPr>
        <w:t>SEC</w:t>
      </w:r>
      <w:r>
        <w:rPr>
          <w:rFonts w:ascii="Times New Roman" w:hAnsi="Times New Roman"/>
          <w:sz w:val="20"/>
        </w:rPr>
        <w:t>” or “</w:t>
      </w:r>
      <w:r>
        <w:rPr>
          <w:rFonts w:ascii="Times New Roman" w:hAnsi="Times New Roman"/>
          <w:b/>
          <w:i/>
          <w:sz w:val="20"/>
        </w:rPr>
        <w:t>Commission</w:t>
      </w:r>
      <w:r>
        <w:rPr>
          <w:rFonts w:ascii="Times New Roman" w:hAnsi="Times New Roman"/>
          <w:sz w:val="20"/>
        </w:rPr>
        <w:t>”) under Sections 17(d) and 57(i) of the Investment Company Act of 1940, as amended (the “</w:t>
      </w:r>
      <w:r>
        <w:rPr>
          <w:rFonts w:ascii="Times New Roman" w:hAnsi="Times New Roman"/>
          <w:b/>
          <w:i/>
          <w:sz w:val="20"/>
        </w:rPr>
        <w:t>1940 Act</w:t>
      </w:r>
      <w:r>
        <w:rPr>
          <w:rFonts w:ascii="Times New Roman" w:hAnsi="Times New Roman"/>
          <w:sz w:val="20"/>
        </w:rPr>
        <w:t>”),1 and Rule 17d-1, permitting certain joint transactions otherwise prohibited by Sections 17(d) and 57(a)(4) of the 1940 Act and Rule 17d-1 thereunder. The Order would supersede the exemptive order issued by the Commission on August 29, 2024 (the “</w:t>
      </w:r>
      <w:r>
        <w:rPr>
          <w:rFonts w:ascii="Times New Roman" w:hAnsi="Times New Roman"/>
          <w:b/>
          <w:i/>
          <w:sz w:val="20"/>
        </w:rPr>
        <w:t>Prior Order</w:t>
      </w:r>
      <w:r>
        <w:rPr>
          <w:rFonts w:ascii="Times New Roman" w:hAnsi="Times New Roman"/>
          <w:sz w:val="20"/>
        </w:rPr>
        <w:t xml:space="preserve">”)2 that was granted pursuant to Sections 17(d), 57(i) and Rule 17d-1, with the result that no person will continue to rely on the Prior Order if the Order is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Fidus Investment Corporation (the “</w:t>
            </w:r>
            <w:r>
              <w:rPr>
                <w:rFonts w:ascii="Times New Roman" w:hAnsi="Times New Roman"/>
                <w:b/>
                <w:i/>
                <w:sz w:val="20"/>
              </w:rPr>
              <w:t>Existing Regulated Fund</w:t>
            </w:r>
            <w:r>
              <w:rPr>
                <w:rFonts w:ascii="Times New Roman" w:hAnsi="Times New Roman"/>
                <w:sz w:val="20"/>
              </w:rPr>
              <w:t xml:space="preserve">”), a corporation formed under the General Corporate Laws of the State of Maryland for the purpose of operating as an externally-managed, non-diversified, closed-end management investment company that has elected to be regulated as a business development company (“BDC”) under the 1940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vehicles (as identified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Existing Wholly-Owned Subsidiaries</w:t>
            </w:r>
            <w:r>
              <w:rPr>
                <w:rFonts w:ascii="Times New Roman" w:hAnsi="Times New Roman"/>
                <w:sz w:val="20"/>
              </w:rPr>
              <w:t xml:space="preserve">”), each of which is a separate and distinct legal entity and each of which is a Wholly-Owned Investment Sub (as defined below) of the Existing Regulated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Fidus Investment Advisors, LLC, and its successors3 (the “</w:t>
            </w:r>
            <w:r>
              <w:rPr>
                <w:rFonts w:ascii="Times New Roman" w:hAnsi="Times New Roman"/>
                <w:b/>
                <w:i/>
                <w:sz w:val="20"/>
              </w:rPr>
              <w:t>Existing Adviser</w:t>
            </w:r>
            <w:r>
              <w:rPr>
                <w:rFonts w:ascii="Times New Roman" w:hAnsi="Times New Roman"/>
                <w:sz w:val="20"/>
              </w:rPr>
              <w:t>”), an investment adviser registered with the Commission under the Investment Advisers Act of 1940 (the “</w:t>
            </w:r>
            <w:r>
              <w:rPr>
                <w:rFonts w:ascii="Times New Roman" w:hAnsi="Times New Roman"/>
                <w:b/>
                <w:i/>
                <w:sz w:val="20"/>
              </w:rPr>
              <w:t>Advisers Act</w:t>
            </w:r>
            <w:r>
              <w:rPr>
                <w:rFonts w:ascii="Times New Roman" w:hAnsi="Times New Roman"/>
                <w:sz w:val="20"/>
              </w:rPr>
              <w:t xml:space="preserve">”), which serves as the investment adviser to the Existing Regulated Fund and the Existing Affiliated Funds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investment vehicles (as identified on</w:t>
            </w:r>
            <w:r>
              <w:rPr>
                <w:rFonts w:ascii="Times New Roman" w:hAnsi="Times New Roman"/>
                <w:sz w:val="20"/>
                <w:u w:val="single"/>
              </w:rPr>
              <w:t xml:space="preserve"> Schedule B</w:t>
            </w:r>
            <w:r>
              <w:rPr>
                <w:rFonts w:ascii="Times New Roman" w:hAnsi="Times New Roman"/>
                <w:sz w:val="20"/>
              </w:rPr>
              <w:t xml:space="preserve"> hereto), each of which is a separate and distinct legal entity and each of which would be an investment company but for Section 3(c)(7) of the 1940 Act (the “</w:t>
            </w:r>
            <w:r>
              <w:rPr>
                <w:rFonts w:ascii="Times New Roman" w:hAnsi="Times New Roman"/>
                <w:b/>
                <w:i/>
                <w:sz w:val="20"/>
              </w:rPr>
              <w:t>Existing Affiliated Funds</w:t>
            </w:r>
            <w:r>
              <w:rPr>
                <w:rFonts w:ascii="Times New Roman" w:hAnsi="Times New Roman"/>
                <w:sz w:val="20"/>
              </w:rPr>
              <w:t xml:space="preserve">” and collectively with the Existing Regulated </w:t>
            </w:r>
            <w:r>
              <w:rPr>
                <w:rFonts w:ascii="Times New Roman" w:hAnsi="Times New Roman"/>
                <w:strike/>
                <w:color w:val="FF0000"/>
                <w:sz w:val="20"/>
              </w:rPr>
              <w:t>Funds</w:t>
            </w:r>
            <w:r>
              <w:rPr>
                <w:rFonts w:ascii="Times New Roman" w:hAnsi="Times New Roman"/>
                <w:color w:val="0000FF"/>
                <w:sz w:val="20"/>
                <w:u w:val="single"/>
                <w:bdr w:val="double" w:sz="2" w:space="1" w:color="000000"/>
              </w:rPr>
              <w:t>Fund</w:t>
            </w:r>
            <w:r>
              <w:rPr>
                <w:rFonts w:ascii="Times New Roman" w:hAnsi="Times New Roman"/>
                <w:sz w:val="20"/>
              </w:rPr>
              <w:t>, the Existing Wholly-Owned Subsidiaries, and the Existing Adviser, the “</w:t>
            </w:r>
            <w:r>
              <w:rPr>
                <w:rFonts w:ascii="Times New Roman" w:hAnsi="Times New Roman"/>
                <w:b/>
                <w:i/>
                <w:sz w:val="20"/>
              </w:rPr>
              <w:t>Applicants</w:t>
            </w:r>
            <w:r>
              <w:rPr>
                <w:rFonts w:ascii="Times New Roman" w:hAnsi="Times New Roman"/>
                <w:sz w:val="20"/>
              </w:rPr>
              <w:t xml:space="preserve">”).4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all section and rule references herein are to the 1940 Act and rules promulgated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Fidus Investment Corporation, et al. (File No. 812-15496) Release No. IC-35289 (August 2, 2024) (notice), Release No. IC-35309 (August 29, 2024) (order).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“successor” means an entity that results from a reorganization into another jurisdiction or change in the type of business organization.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existing entities that currently intend to rely upon the requested Order have been named as Applicants. Any other existing or future entity that subsequently relies on the Order will comply with the terms and conditions of the Application.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relief requested in this application for the Order (the “</w:t>
      </w:r>
      <w:r>
        <w:rPr>
          <w:rFonts w:ascii="Times New Roman" w:hAnsi="Times New Roman"/>
          <w:b/>
          <w:i/>
          <w:sz w:val="20"/>
        </w:rPr>
        <w:t>Application</w:t>
      </w:r>
      <w:r>
        <w:rPr>
          <w:rFonts w:ascii="Times New Roman" w:hAnsi="Times New Roman"/>
          <w:sz w:val="20"/>
        </w:rPr>
        <w:t>”) would allow a Regulated Fund5 and one or more Affiliated Entities6 to engage in Co-Investment Transactions7 subject to the terms and conditions described herein. The Regulated Funds and Affiliated Entities that participate in a Co-Investment Transaction are collectively referred to herein as “</w:t>
      </w:r>
      <w:r>
        <w:rPr>
          <w:rFonts w:ascii="Times New Roman" w:hAnsi="Times New Roman"/>
          <w:b/>
          <w:i/>
          <w:sz w:val="20"/>
        </w:rPr>
        <w:t>Participants</w:t>
      </w:r>
      <w:r>
        <w:rPr>
          <w:rFonts w:ascii="Times New Roman" w:hAnsi="Times New Roman"/>
          <w:sz w:val="20"/>
        </w:rPr>
        <w:t xml:space="preserve">.“8 The Applicants do not seek relief for transactions effected consistent with Commission staff no-action positions.9 </w:t>
      </w:r>
    </w:p>
    <w:p>
      <w:pPr>
        <w:pStyle w:val="TextBody"/>
        <w:bidi w:val="0"/>
        <w:spacing w:before="360" w:after="0"/>
        <w:jc w:val="left"/>
        <w:rPr>
          <w:rFonts w:ascii="Times New Roman" w:hAnsi="Times New Roman"/>
          <w:b/>
          <w:sz w:val="20"/>
        </w:rPr>
      </w:pPr>
      <w:r>
        <w:rPr>
          <w:rFonts w:ascii="Times New Roman" w:hAnsi="Times New Roman"/>
          <w:b/>
          <w:sz w:val="20"/>
        </w:rPr>
        <w:t xml:space="preserve">II. </w:t>
      </w:r>
      <w:r>
        <w:rPr>
          <w:rFonts w:ascii="Times New Roman" w:hAnsi="Times New Roman"/>
          <w:b/>
          <w:sz w:val="20"/>
          <w:u w:val="single"/>
        </w:rPr>
        <w:t>GENERAL DESCRIPTION OF THE APPLICANTS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Existing Regulated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Existing Regulated Fund was organized under the General Corporate Laws of the state of Maryland on February 14, 2011, for the purpose of operating as an externally-managed, non-diversified, closed-end management investment company that has elected to be regulated as a business development company under the 1940 Act. The Existing Regulated Fund completed its initial public offering on June 24, 2011, and its common stock is traded on the NASDAQ Global Market under the symbol “FDUS.” The Existing Regulated Fund has elected and intends to qualify annually to be treated as a regulated investment company under Sub-Chapter M of the Internal Revenue Code of 1986, as amended. The Existing Regulated Fund’s principal place of business is 1603 Orrington Avenue, Suite 1005, Evanston, Illinois 60201.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pPr>
            <w:r>
              <w:rPr/>
              <w:t>“</w:t>
            </w:r>
            <w:r>
              <w:rPr>
                <w:rFonts w:ascii="Times New Roman" w:hAnsi="Times New Roman"/>
                <w:b/>
                <w:i/>
                <w:sz w:val="20"/>
              </w:rPr>
              <w:t>Regulated Fund</w:t>
            </w:r>
            <w:r>
              <w:rPr>
                <w:rFonts w:ascii="Times New Roman" w:hAnsi="Times New Roman"/>
                <w:sz w:val="20"/>
              </w:rPr>
              <w:t>” means the Existing Regulated Fund and any Future Regulated Funds. “</w:t>
            </w:r>
            <w:r>
              <w:rPr>
                <w:rFonts w:ascii="Times New Roman" w:hAnsi="Times New Roman"/>
                <w:b/>
                <w:i/>
                <w:sz w:val="20"/>
              </w:rPr>
              <w:t>Future Regulated Fund</w:t>
            </w:r>
            <w:r>
              <w:rPr>
                <w:rFonts w:ascii="Times New Roman" w:hAnsi="Times New Roman"/>
                <w:sz w:val="20"/>
              </w:rPr>
              <w:t xml:space="preserve">”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 </w:t>
            </w:r>
          </w:p>
        </w:tc>
      </w:tr>
    </w:tbl>
    <w:p>
      <w:pPr>
        <w:pStyle w:val="TextBody"/>
        <w:bidi w:val="0"/>
        <w:spacing w:before="0" w:after="0"/>
        <w:jc w:val="left"/>
        <w:rPr>
          <w:rFonts w:ascii="Times New Roman" w:hAnsi="Times New Roman"/>
          <w:sz w:val="20"/>
        </w:rPr>
      </w:pPr>
      <w:r>
        <w:rPr>
          <w:rFonts w:ascii="Times New Roman" w:hAnsi="Times New Roman"/>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“Wholly-Owned Investment Sub” means an entity: (a) that is a “</w:t>
      </w:r>
      <w:r>
        <w:rPr>
          <w:rFonts w:ascii="Times New Roman" w:hAnsi="Times New Roman"/>
          <w:b/>
          <w:i/>
          <w:sz w:val="20"/>
        </w:rPr>
        <w:t>wholly-owned subsidiary</w:t>
      </w:r>
      <w:r>
        <w:rPr>
          <w:rFonts w:ascii="Times New Roman" w:hAnsi="Times New Roman"/>
          <w:sz w:val="20"/>
        </w:rPr>
        <w:t>” (as defined in Section 2(a)(43) of the 1940 Act) of a Regulated Fund; (b) whose sole business purpose is to hold one or more investments and which may issue debt on behalf or in lieu of such Regulated Fund; and (c) is not a registered investment company or a business development company. “Joint Venture”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hAnsi="Times New Roman"/>
          <w:b/>
          <w:i/>
          <w:sz w:val="20"/>
        </w:rPr>
        <w:t>BDC Downstream Fund</w:t>
      </w:r>
      <w:r>
        <w:rPr>
          <w:rFonts w:ascii="Times New Roman" w:hAnsi="Times New Roman"/>
          <w:sz w:val="20"/>
        </w:rPr>
        <w:t xml:space="preserve">”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 </w:t>
      </w:r>
    </w:p>
    <w:p>
      <w:pPr>
        <w:pStyle w:val="TextBody"/>
        <w:bidi w:val="0"/>
        <w:spacing w:before="0" w:after="0"/>
        <w:jc w:val="left"/>
        <w:rPr>
          <w:rFonts w:ascii="Times New Roman" w:hAnsi="Times New Roman"/>
          <w:sz w:val="20"/>
        </w:rPr>
      </w:pPr>
      <w:r>
        <w:rPr>
          <w:rFonts w:ascii="Times New Roman" w:hAnsi="Times New Roman"/>
          <w:sz w:val="20"/>
        </w:rPr>
        <w:t xml:space="preserve">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pPr>
            <w:r>
              <w:rPr/>
              <w:t>“</w:t>
            </w:r>
            <w:r>
              <w:rPr>
                <w:rFonts w:ascii="Times New Roman" w:hAnsi="Times New Roman"/>
                <w:b/>
                <w:i/>
                <w:sz w:val="20"/>
              </w:rPr>
              <w:t>Affiliated Entity</w:t>
            </w:r>
            <w:r>
              <w:rPr>
                <w:rFonts w:ascii="Times New Roman" w:hAnsi="Times New Roman"/>
                <w:sz w:val="20"/>
              </w:rPr>
              <w:t xml:space="preserve">”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 To the extent that an entity described in clause (b) is not advised by an Adviser, such entity shall be deemed to be an Adviser for purposes of the conditions.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7 </w:t>
            </w:r>
          </w:p>
        </w:tc>
        <w:tc>
          <w:tcPr>
            <w:tcW w:w="9799" w:type="dxa"/>
            <w:tcBorders/>
          </w:tcPr>
          <w:p>
            <w:pPr>
              <w:pStyle w:val="TableContents"/>
              <w:bidi w:val="0"/>
              <w:spacing w:before="0" w:after="0"/>
              <w:jc w:val="left"/>
              <w:rPr/>
            </w:pPr>
            <w:r>
              <w:rPr/>
              <w:t>“</w:t>
            </w:r>
            <w:r>
              <w:rPr>
                <w:rFonts w:ascii="Times New Roman" w:hAnsi="Times New Roman"/>
                <w:b/>
                <w:i/>
                <w:sz w:val="20"/>
              </w:rPr>
              <w:t>Co-Investment Transaction</w:t>
            </w:r>
            <w:r>
              <w:rPr>
                <w:rFonts w:ascii="Times New Roman" w:hAnsi="Times New Roman"/>
                <w:sz w:val="20"/>
              </w:rPr>
              <w:t xml:space="preserve">” means the acquisition or Disposition of securities of an issuer in a transaction effected in reliance on the Order or previously granted relief.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pPr>
            <w:r>
              <w:rPr/>
              <w:t>“</w:t>
            </w:r>
            <w:r>
              <w:rPr>
                <w:rFonts w:ascii="Times New Roman" w:hAnsi="Times New Roman"/>
                <w:b/>
                <w:i/>
                <w:sz w:val="20"/>
              </w:rPr>
              <w:t>Adviser</w:t>
            </w:r>
            <w:r>
              <w:rPr>
                <w:rFonts w:ascii="Times New Roman" w:hAnsi="Times New Roman"/>
                <w:sz w:val="20"/>
              </w:rPr>
              <w:t xml:space="preserve">” means the Existing Adviser, and any other investment adviser controlling, controlled by, or under common control with the Existing Adviser. The term “Adviser” also includes any internally-managed Regulated Fund.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Massachusetts Mutual Life Insurance Co. (pub. avail. June 7, 2000), Massachusetts Mutual Life Insurance Co. (pub. avail. July 28, 2000) and SMC Capital, Inc. (pub. avail. Sept. 5, 1995).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Existing Regulated Fund’s investment objective is to provide attractive risk-adjusted returns by generating both current income from its debt investments and capital appreciation from its equity related investments. The Existing Regulated Fund may invest in the equity securities of our portfolio companies, such as preferred stock, common stock, warrants and other equity interests, either directly or in conjunction with its debt investments. The Existing Regulated Fund has a five-member board (the “</w:t>
      </w:r>
      <w:r>
        <w:rPr>
          <w:rFonts w:ascii="Times New Roman" w:hAnsi="Times New Roman"/>
          <w:b/>
          <w:i/>
          <w:sz w:val="20"/>
        </w:rPr>
        <w:t>Existing Regulated Fund Board</w:t>
      </w:r>
      <w:r>
        <w:rPr>
          <w:rFonts w:ascii="Times New Roman" w:hAnsi="Times New Roman"/>
          <w:sz w:val="20"/>
        </w:rPr>
        <w:t>,” and, together with any Future Regulated Fund’s board of directors, the “</w:t>
      </w:r>
      <w:r>
        <w:rPr>
          <w:rFonts w:ascii="Times New Roman" w:hAnsi="Times New Roman"/>
          <w:b/>
          <w:i/>
          <w:sz w:val="20"/>
        </w:rPr>
        <w:t>Board</w:t>
      </w:r>
      <w:r>
        <w:rPr>
          <w:rFonts w:ascii="Times New Roman" w:hAnsi="Times New Roman"/>
          <w:sz w:val="20"/>
        </w:rPr>
        <w:t xml:space="preserve">”), of which three members are not “interested” persons of the Existing Fund within the meaning of Section 2(a)(19) of the 1940 Act.10 </w:t>
      </w:r>
    </w:p>
    <w:p>
      <w:pPr>
        <w:pStyle w:val="TextBody"/>
        <w:bidi w:val="0"/>
        <w:spacing w:before="36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The Existing Wholly-Owned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the Existing Wholly-Owned Subsidiaries is a direct or indirect wholly-owned subsidiary of the Existing Regulated Fund whose sole business purpose is to hold one or more investments on behalf of the Existing Regulated Fund. Each of the Existing Wholly-Owned Subsidiaries is a separate and distinct legal entity. The Existing Wholly-Owned Subsidiaries have investment objectives and strategies that are substantially the same as, or a subset of, those of the Existing Regulated Fund. The Existing Wholly-Owned Subsidiaries are not registered investment companies or business development companies. </w:t>
      </w:r>
    </w:p>
    <w:p>
      <w:pPr>
        <w:pStyle w:val="TextBody"/>
        <w:bidi w:val="0"/>
        <w:spacing w:before="36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Existing Affiliated Funds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Existing Affiliated Funds are investment funds, each of whose investment adviser is </w:t>
      </w:r>
      <w:r>
        <w:rPr>
          <w:rFonts w:ascii="Times New Roman" w:hAnsi="Times New Roman"/>
          <w:strike/>
          <w:color w:val="FF0000"/>
          <w:sz w:val="20"/>
        </w:rPr>
        <w:t>an</w:t>
      </w:r>
      <w:r>
        <w:rPr>
          <w:rFonts w:ascii="Times New Roman" w:hAnsi="Times New Roman"/>
          <w:color w:val="0000FF"/>
          <w:sz w:val="20"/>
          <w:u w:val="single"/>
          <w:bdr w:val="double" w:sz="2" w:space="1" w:color="000000"/>
        </w:rPr>
        <w:t>the Existing</w:t>
      </w:r>
      <w:r>
        <w:rPr>
          <w:rFonts w:ascii="Times New Roman" w:hAnsi="Times New Roman"/>
          <w:sz w:val="20"/>
        </w:rPr>
        <w:t xml:space="preserve"> Adviser and each of which would be an investment company but for Section 3(c)(7) of the 1940 Act.11 A list of the Existing Affiliated Funds and their respective investment </w:t>
      </w:r>
      <w:r>
        <w:rPr>
          <w:rFonts w:ascii="Times New Roman" w:hAnsi="Times New Roman"/>
          <w:strike/>
          <w:color w:val="FF0000"/>
          <w:sz w:val="20"/>
        </w:rPr>
        <w:t>advisers</w:t>
      </w:r>
      <w:r>
        <w:rPr>
          <w:rFonts w:ascii="Times New Roman" w:hAnsi="Times New Roman"/>
          <w:color w:val="0000FF"/>
          <w:sz w:val="20"/>
          <w:u w:val="single"/>
          <w:bdr w:val="double" w:sz="2" w:space="1" w:color="000000"/>
        </w:rPr>
        <w:t>adviser</w:t>
      </w:r>
      <w:r>
        <w:rPr>
          <w:rFonts w:ascii="Times New Roman" w:hAnsi="Times New Roman"/>
          <w:sz w:val="20"/>
        </w:rPr>
        <w:t xml:space="preserve"> is included on </w:t>
      </w:r>
      <w:r>
        <w:rPr>
          <w:rFonts w:ascii="Times New Roman" w:hAnsi="Times New Roman"/>
          <w:sz w:val="20"/>
          <w:u w:val="single"/>
        </w:rPr>
        <w:t>Schedule B</w:t>
      </w:r>
      <w:r>
        <w:rPr>
          <w:rFonts w:ascii="Times New Roman" w:hAnsi="Times New Roman"/>
          <w:sz w:val="20"/>
        </w:rPr>
        <w:t xml:space="preserve"> hereto. </w:t>
      </w:r>
    </w:p>
    <w:p>
      <w:pPr>
        <w:pStyle w:val="TextBody"/>
        <w:bidi w:val="0"/>
        <w:spacing w:before="36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Existing Adviser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Existing Adviser was organized as a limited liability company under the laws of the state of Delaware, and is privately held. </w:t>
      </w:r>
    </w:p>
    <w:p>
      <w:pPr>
        <w:pStyle w:val="TextBody"/>
        <w:bidi w:val="0"/>
        <w:spacing w:before="240" w:after="0"/>
        <w:jc w:val="left"/>
        <w:rPr>
          <w:rFonts w:ascii="Times New Roman" w:hAnsi="Times New Roman"/>
          <w:sz w:val="20"/>
        </w:rPr>
      </w:pPr>
      <w:r>
        <w:rPr>
          <w:rFonts w:ascii="Times New Roman" w:hAnsi="Times New Roman"/>
          <w:sz w:val="20"/>
        </w:rPr>
        <w:t xml:space="preserve">The Existing Adviser is registered with the Commission as an investment adviser under the Advisers Act. The Existing Adviser manages the consolidated assets of the Existing Regulated Fund and serves as the investment adviser to the Existing Regulated Fund pursuant to the terms of an investment advisory agreement that has been approved by the Board. The Existing Adviser also advises the Existing Affiliated Funds. </w:t>
      </w:r>
    </w:p>
    <w:p>
      <w:pPr>
        <w:pStyle w:val="TextBody"/>
        <w:bidi w:val="0"/>
        <w:spacing w:before="360" w:after="0"/>
        <w:jc w:val="left"/>
        <w:rPr>
          <w:rFonts w:ascii="Times New Roman" w:hAnsi="Times New Roman"/>
          <w:b/>
          <w:sz w:val="20"/>
        </w:rPr>
      </w:pPr>
      <w:r>
        <w:rPr>
          <w:rFonts w:ascii="Times New Roman" w:hAnsi="Times New Roman"/>
          <w:b/>
          <w:sz w:val="20"/>
        </w:rPr>
        <w:t xml:space="preserve">III. </w:t>
      </w:r>
      <w:r>
        <w:rPr>
          <w:rFonts w:ascii="Times New Roman" w:hAnsi="Times New Roman"/>
          <w:b/>
          <w:sz w:val="20"/>
          <w:u w:val="single"/>
        </w:rPr>
        <w:t>ORDER REQUESTED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Applicants request an Order of the Commission under Sections 17(d) and 57(i) of the 1940 Act and Rule 17d-1 thereunder to permit, subject to the terms and conditions set forth below in this Application (the “</w:t>
      </w:r>
      <w:r>
        <w:rPr>
          <w:rFonts w:ascii="Times New Roman" w:hAnsi="Times New Roman"/>
          <w:b/>
          <w:i/>
          <w:sz w:val="20"/>
        </w:rPr>
        <w:t>Conditions</w:t>
      </w:r>
      <w:r>
        <w:rPr>
          <w:rFonts w:ascii="Times New Roman" w:hAnsi="Times New Roman"/>
          <w:sz w:val="20"/>
        </w:rPr>
        <w:t xml:space="preserve">”), each Regulated Fund to be able to participate with one or more Affiliated Entities in Co-Investment Transactions otherwise prohibited by Sections 17(d) and 57(a)(4) of the 1940 Act and Rule 17d-1 thereunder.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each Future Regulated Fund will consist of a majority of members who are not “interested persons” of such Future Regulated Fund within the meaning of Section 2(a)(19) of the 1940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future, an Existing Affiliated Fund may register as an investment company under the 1940 Act and, if so registered, will be considered a Regulated Fund for purposes of this application.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Applicable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 </w:t>
      </w:r>
    </w:p>
    <w:p>
      <w:pPr>
        <w:pStyle w:val="TextBody"/>
        <w:bidi w:val="0"/>
        <w:spacing w:before="240" w:after="0"/>
        <w:jc w:val="left"/>
        <w:rPr>
          <w:rFonts w:ascii="Times New Roman" w:hAnsi="Times New Roman"/>
          <w:sz w:val="20"/>
        </w:rPr>
      </w:pPr>
      <w:r>
        <w:rPr>
          <w:rFonts w:ascii="Times New Roman" w:hAnsi="Times New Roman"/>
          <w:sz w:val="20"/>
        </w:rPr>
        <w:t xml:space="preserve">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plan“12 in which the fund is a participant without first obtaining an order from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 </w:t>
      </w:r>
    </w:p>
    <w:p>
      <w:pPr>
        <w:pStyle w:val="TextBody"/>
        <w:bidi w:val="0"/>
        <w:spacing w:before="240" w:after="0"/>
        <w:jc w:val="left"/>
        <w:rPr>
          <w:rFonts w:ascii="Times New Roman" w:hAnsi="Times New Roman"/>
          <w:sz w:val="20"/>
        </w:rPr>
      </w:pPr>
      <w:r>
        <w:rPr>
          <w:rFonts w:ascii="Times New Roman" w:hAnsi="Times New Roman"/>
          <w:sz w:val="20"/>
        </w:rPr>
        <w:t xml:space="preserve">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 </w:t>
      </w:r>
    </w:p>
    <w:p>
      <w:pPr>
        <w:pStyle w:val="TextBody"/>
        <w:bidi w:val="0"/>
        <w:spacing w:before="36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Need for Relief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closed-end fund or a business development company, respectively, including a sub-adviser. Thus, an Adviser and any Affiliated Entities that it advises could be deemed to be persons related to Regulated Funds in a manner described by Sections 17(d) and 57(b). With respect to the Existing Adviser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the Existing Adviser,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 </w:t>
      </w:r>
    </w:p>
    <w:p>
      <w:pPr>
        <w:pStyle w:val="TextBody"/>
        <w:bidi w:val="0"/>
        <w:spacing w:before="36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Applicants agree that any Order granting the requested relief will be subject to the following Conditions.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and any affiliated person of or principal underwriter for such registered company, or any affiliated person of such a person or principal underwriter, have a joint or a joint and several participation, or share in the profits of such enterprise or undertaking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Same Terms.</w:t>
      </w:r>
      <w:r>
        <w:rPr>
          <w:rFonts w:ascii="Times New Roman" w:hAnsi="Times New Roman"/>
          <w:sz w:val="20"/>
        </w:rPr>
        <w:t xml:space="preserve">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person.13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Existing Investments in the Issuer</w:t>
      </w:r>
      <w:r>
        <w:rPr>
          <w:rFonts w:ascii="Times New Roman" w:hAnsi="Times New Roman"/>
          <w:sz w:val="20"/>
        </w:rPr>
        <w:t>. Prior to a Regulated Fund acquiring in a Co-Investment Transaction a security of an issuer in which an Affiliated Entity has an existing interest in such issuer, the “required majority,” as defined in Section 57(o) of the 1940 Act,14 of the Regulated Fund (“</w:t>
      </w:r>
      <w:r>
        <w:rPr>
          <w:rFonts w:ascii="Times New Roman" w:hAnsi="Times New Roman"/>
          <w:b/>
          <w:i/>
          <w:sz w:val="20"/>
        </w:rPr>
        <w:t>Required Majority</w:t>
      </w:r>
      <w:r>
        <w:rPr>
          <w:rFonts w:ascii="Times New Roman" w:hAnsi="Times New Roman"/>
          <w:sz w:val="20"/>
        </w:rPr>
        <w:t xml:space="preserve">”) will take the steps set forth in Section 57(f) of the 1940 Act,15 unless: (i) the Regulated Fund already holds the same security as each such Affiliated Entity; and (ii) the Regulated Fund and each other Affiliated Entity holding the security is participating in the acquisition in approximate proportion to its then-current holdings.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Related Expenses</w:t>
      </w:r>
      <w:r>
        <w:rPr>
          <w:rFonts w:ascii="Times New Roman" w:hAnsi="Times New Roman"/>
          <w:sz w:val="20"/>
        </w:rPr>
        <w:t xml:space="preserve">.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be.16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Remuneration</w:t>
      </w:r>
      <w:r>
        <w:rPr>
          <w:rFonts w:ascii="Times New Roman" w:hAnsi="Times New Roman"/>
          <w:sz w:val="20"/>
        </w:rPr>
        <w:t xml:space="preserve">. Any transaction fee17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 Board can also, consistent with applicable fund documents, facilitate this opportunity by delegating the authority to veto the selection of such person to a committee of the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of an individual Participant that are incurred solely by the Participant due to its unique circumstances (such as legal and compliance expenses) will be borne by such Participant.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Applicants are not requesting and the Commission is not providing any relief for transaction fees received in connection with any Co-Investment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Co-Investment Policies</w:t>
      </w:r>
      <w:r>
        <w:rPr>
          <w:rFonts w:ascii="Times New Roman" w:hAnsi="Times New Roman"/>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hAnsi="Times New Roman"/>
          <w:b/>
          <w:i/>
          <w:sz w:val="20"/>
        </w:rPr>
        <w:t>Co-Investment Policies</w:t>
      </w:r>
      <w:r>
        <w:rPr>
          <w:rFonts w:ascii="Times New Roman" w:hAnsi="Times New Roman"/>
          <w:sz w:val="20"/>
        </w:rPr>
        <w:t xml:space="preserve">”). Each Adviser (and each Affiliated Entity that is not advised by an Adviser) will provide its Co-Investment Policies to the Regulated Funds and will notify the Regulated Funds of any material changes thereto.18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Dispositions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any Disposition19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(b)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Security.20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Board Oversight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Regulated Fund’s directors will oversee the Regulated Fund’s participation in the co-investment program in the exercise of their reasonable business judgment. </w:t>
      </w:r>
    </w:p>
    <w:p>
      <w:pPr>
        <w:pStyle w:val="TextBody"/>
        <w:bidi w:val="0"/>
        <w:spacing w:before="120" w:after="0"/>
        <w:jc w:val="left"/>
        <w:rPr>
          <w:rFonts w:ascii="Times New Roman" w:hAnsi="Times New Roman"/>
          <w:sz w:val="20"/>
        </w:rPr>
      </w:pPr>
      <w:r>
        <w:rPr>
          <w:rFonts w:ascii="Times New Roman" w:hAnsi="Times New Roman"/>
          <w:sz w:val="20"/>
        </w:rPr>
        <w:t xml:space="preserve">(b)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 </w:t>
      </w:r>
    </w:p>
    <w:p>
      <w:pPr>
        <w:pStyle w:val="TextBody"/>
        <w:bidi w:val="0"/>
        <w:spacing w:before="120" w:after="0"/>
        <w:jc w:val="left"/>
        <w:rPr>
          <w:rFonts w:ascii="Times New Roman" w:hAnsi="Times New Roman"/>
          <w:sz w:val="20"/>
        </w:rPr>
      </w:pPr>
      <w:r>
        <w:rPr>
          <w:rFonts w:ascii="Times New Roman" w:hAnsi="Times New Roman"/>
          <w:sz w:val="20"/>
        </w:rPr>
        <w:t xml:space="preserve">(c)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 </w:t>
      </w:r>
    </w:p>
    <w:p>
      <w:pPr>
        <w:pStyle w:val="TextBody"/>
        <w:bidi w:val="0"/>
        <w:spacing w:before="120" w:after="0"/>
        <w:jc w:val="left"/>
        <w:rPr>
          <w:rFonts w:ascii="Times New Roman" w:hAnsi="Times New Roman"/>
          <w:sz w:val="20"/>
        </w:rPr>
      </w:pPr>
      <w:r>
        <w:rPr>
          <w:rFonts w:ascii="Times New Roman" w:hAnsi="Times New Roman"/>
          <w:sz w:val="20"/>
        </w:rPr>
        <w:t xml:space="preserve">(d)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Entities may adopt shared Co-Investment Policies.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19 </w:t>
            </w:r>
          </w:p>
        </w:tc>
        <w:tc>
          <w:tcPr>
            <w:tcW w:w="9798" w:type="dxa"/>
            <w:tcBorders/>
          </w:tcPr>
          <w:p>
            <w:pPr>
              <w:pStyle w:val="TableContents"/>
              <w:bidi w:val="0"/>
              <w:spacing w:before="0" w:after="0"/>
              <w:jc w:val="left"/>
              <w:rPr/>
            </w:pPr>
            <w:r>
              <w:rPr/>
              <w:t>“</w:t>
            </w:r>
            <w:r>
              <w:rPr>
                <w:rFonts w:ascii="Times New Roman" w:hAnsi="Times New Roman"/>
                <w:b/>
                <w:i/>
                <w:sz w:val="20"/>
              </w:rPr>
              <w:t>Disposition</w:t>
            </w:r>
            <w:r>
              <w:rPr>
                <w:rFonts w:ascii="Times New Roman" w:hAnsi="Times New Roman"/>
                <w:sz w:val="20"/>
              </w:rPr>
              <w:t xml:space="preserve">” means the sale, exchange, transfer or other disposition of an interest in a security of an issuer.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20 </w:t>
            </w:r>
          </w:p>
        </w:tc>
        <w:tc>
          <w:tcPr>
            <w:tcW w:w="9797" w:type="dxa"/>
            <w:tcBorders/>
          </w:tcPr>
          <w:p>
            <w:pPr>
              <w:pStyle w:val="TableContents"/>
              <w:bidi w:val="0"/>
              <w:spacing w:before="0" w:after="0"/>
              <w:jc w:val="left"/>
              <w:rPr/>
            </w:pPr>
            <w:r>
              <w:rPr/>
              <w:t>“</w:t>
            </w:r>
            <w:r>
              <w:rPr>
                <w:rFonts w:ascii="Times New Roman" w:hAnsi="Times New Roman"/>
                <w:b/>
                <w:i/>
                <w:sz w:val="20"/>
              </w:rPr>
              <w:t>Tradable Security</w:t>
            </w:r>
            <w:r>
              <w:rPr>
                <w:rFonts w:ascii="Times New Roman" w:hAnsi="Times New Roman"/>
                <w:sz w:val="20"/>
              </w:rPr>
              <w:t xml:space="preserve">”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Recordkeeping</w:t>
      </w:r>
      <w:r>
        <w:rPr>
          <w:rFonts w:ascii="Times New Roman" w:hAnsi="Times New Roman"/>
          <w:sz w:val="20"/>
        </w:rPr>
        <w:t xml:space="preserve">.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57(f).21 </w:t>
      </w:r>
    </w:p>
    <w:p>
      <w:pPr>
        <w:pStyle w:val="TextBody"/>
        <w:bidi w:val="0"/>
        <w:spacing w:before="120" w:after="0"/>
        <w:jc w:val="left"/>
        <w:rPr>
          <w:rFonts w:ascii="Times New Roman" w:hAnsi="Times New Roman"/>
          <w:sz w:val="20"/>
        </w:rPr>
      </w:pPr>
      <w:r>
        <w:rPr>
          <w:rFonts w:ascii="Times New Roman" w:hAnsi="Times New Roman"/>
          <w:sz w:val="20"/>
        </w:rPr>
        <w:t xml:space="preserve">9. In the event that the Commission adopts a rule under the 1940 Act allowing co-investments of the type described in this Application, any relief granted by the Order will expire on the effective date of that rule. </w:t>
      </w:r>
    </w:p>
    <w:p>
      <w:pPr>
        <w:pStyle w:val="TextBody"/>
        <w:bidi w:val="0"/>
        <w:spacing w:before="360" w:after="0"/>
        <w:jc w:val="left"/>
        <w:rPr>
          <w:rFonts w:ascii="Times New Roman" w:hAnsi="Times New Roman"/>
          <w:b/>
          <w:sz w:val="20"/>
        </w:rPr>
      </w:pPr>
      <w:r>
        <w:rPr>
          <w:rFonts w:ascii="Times New Roman" w:hAnsi="Times New Roman"/>
          <w:b/>
          <w:sz w:val="20"/>
        </w:rPr>
        <w:t xml:space="preserve">IV. </w:t>
      </w:r>
      <w:r>
        <w:rPr>
          <w:rFonts w:ascii="Times New Roman" w:hAnsi="Times New Roman"/>
          <w:b/>
          <w:sz w:val="20"/>
          <w:u w:val="single"/>
        </w:rPr>
        <w:t>STATEMENT IN SUPPORT OF RELIEF REQUESTED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 </w:t>
      </w:r>
    </w:p>
    <w:p>
      <w:pPr>
        <w:pStyle w:val="TextBody"/>
        <w:bidi w:val="0"/>
        <w:spacing w:before="36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Potential Benefits to the Regulated Funds and their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 </w:t>
      </w:r>
    </w:p>
    <w:p>
      <w:pPr>
        <w:pStyle w:val="TextBody"/>
        <w:bidi w:val="0"/>
        <w:spacing w:before="36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Shareholder Protections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V. </w:t>
      </w:r>
      <w:r>
        <w:rPr>
          <w:rFonts w:ascii="Times New Roman" w:hAnsi="Times New Roman"/>
          <w:b/>
          <w:sz w:val="20"/>
          <w:u w:val="single"/>
        </w:rPr>
        <w:t>PRECEDENTS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Commission has previously issued orders permitting certain investment companies subject to regulation under the 1940 Act and their affiliated persons to be able to participate in Co-Investment Transactions (the “</w:t>
      </w:r>
      <w:r>
        <w:rPr>
          <w:rFonts w:ascii="Times New Roman" w:hAnsi="Times New Roman"/>
          <w:b/>
          <w:i/>
          <w:sz w:val="20"/>
        </w:rPr>
        <w:t>Existing Orders</w:t>
      </w:r>
      <w:r>
        <w:rPr>
          <w:rFonts w:ascii="Times New Roman" w:hAnsi="Times New Roman"/>
          <w:sz w:val="20"/>
        </w:rPr>
        <w:t xml:space="preserve">”).22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 </w:t>
      </w:r>
    </w:p>
    <w:p>
      <w:pPr>
        <w:pStyle w:val="TextBody"/>
        <w:bidi w:val="0"/>
        <w:spacing w:before="360" w:after="0"/>
        <w:jc w:val="left"/>
        <w:rPr>
          <w:rFonts w:ascii="Times New Roman" w:hAnsi="Times New Roman"/>
          <w:b/>
          <w:sz w:val="20"/>
        </w:rPr>
      </w:pPr>
      <w:r>
        <w:rPr>
          <w:rFonts w:ascii="Times New Roman" w:hAnsi="Times New Roman"/>
          <w:b/>
          <w:sz w:val="20"/>
        </w:rPr>
        <w:t xml:space="preserve">VI. </w:t>
      </w:r>
      <w:r>
        <w:rPr>
          <w:rFonts w:ascii="Times New Roman" w:hAnsi="Times New Roman"/>
          <w:b/>
          <w:sz w:val="20"/>
          <w:u w:val="single"/>
        </w:rPr>
        <w:t>PROCEDURAL MATTERS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address all communications concerning this Application, the Notice and the Order to: </w:t>
      </w:r>
    </w:p>
    <w:p>
      <w:pPr>
        <w:pStyle w:val="TextBody"/>
        <w:bidi w:val="0"/>
        <w:spacing w:before="120" w:after="0"/>
        <w:jc w:val="center"/>
        <w:rPr>
          <w:rFonts w:ascii="Times New Roman" w:hAnsi="Times New Roman"/>
          <w:sz w:val="20"/>
        </w:rPr>
      </w:pPr>
      <w:r>
        <w:rPr>
          <w:rFonts w:ascii="Times New Roman" w:hAnsi="Times New Roman"/>
          <w:sz w:val="20"/>
        </w:rPr>
        <w:t xml:space="preserve">Edward H. Ross </w:t>
      </w:r>
    </w:p>
    <w:p>
      <w:pPr>
        <w:pStyle w:val="TextBody"/>
        <w:bidi w:val="0"/>
        <w:spacing w:before="0" w:after="0"/>
        <w:jc w:val="center"/>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center"/>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center"/>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center"/>
        <w:rPr>
          <w:rFonts w:ascii="Times New Roman" w:hAnsi="Times New Roman"/>
          <w:sz w:val="20"/>
        </w:rPr>
      </w:pPr>
      <w:r>
        <w:rPr>
          <w:rFonts w:ascii="Times New Roman" w:hAnsi="Times New Roman"/>
          <w:sz w:val="20"/>
        </w:rPr>
        <w:t xml:space="preserve">eross@fidusinv.com </w:t>
      </w:r>
    </w:p>
    <w:p>
      <w:pPr>
        <w:pStyle w:val="TextBody"/>
        <w:bidi w:val="0"/>
        <w:spacing w:before="240" w:after="0"/>
        <w:jc w:val="left"/>
        <w:rPr>
          <w:rFonts w:ascii="Times New Roman" w:hAnsi="Times New Roman"/>
          <w:sz w:val="20"/>
        </w:rPr>
      </w:pPr>
      <w:r>
        <w:rPr>
          <w:rFonts w:ascii="Times New Roman" w:hAnsi="Times New Roman"/>
          <w:sz w:val="20"/>
        </w:rPr>
        <w:t xml:space="preserve">Please address any questions, and a copy of any communications, concerning this Application, the Notice, and the Order to: </w:t>
      </w:r>
    </w:p>
    <w:p>
      <w:pPr>
        <w:pStyle w:val="TextBody"/>
        <w:bidi w:val="0"/>
        <w:spacing w:before="120" w:after="0"/>
        <w:jc w:val="center"/>
        <w:rPr>
          <w:rFonts w:ascii="Times New Roman" w:hAnsi="Times New Roman"/>
          <w:sz w:val="20"/>
        </w:rPr>
      </w:pPr>
      <w:r>
        <w:rPr>
          <w:rFonts w:ascii="Times New Roman" w:hAnsi="Times New Roman"/>
          <w:sz w:val="20"/>
        </w:rPr>
        <w:t xml:space="preserve">Steven B. Boehm </w:t>
      </w:r>
    </w:p>
    <w:p>
      <w:pPr>
        <w:pStyle w:val="TextBody"/>
        <w:bidi w:val="0"/>
        <w:spacing w:before="0" w:after="0"/>
        <w:jc w:val="center"/>
        <w:rPr>
          <w:rFonts w:ascii="Times New Roman" w:hAnsi="Times New Roman"/>
          <w:sz w:val="20"/>
        </w:rPr>
      </w:pPr>
      <w:r>
        <w:rPr>
          <w:rFonts w:ascii="Times New Roman" w:hAnsi="Times New Roman"/>
          <w:sz w:val="20"/>
        </w:rPr>
        <w:t xml:space="preserve">Anne G. Oberndorf </w:t>
      </w:r>
    </w:p>
    <w:p>
      <w:pPr>
        <w:pStyle w:val="TextBody"/>
        <w:bidi w:val="0"/>
        <w:spacing w:before="0" w:after="0"/>
        <w:jc w:val="center"/>
        <w:rPr>
          <w:rFonts w:ascii="Times New Roman" w:hAnsi="Times New Roman"/>
          <w:sz w:val="20"/>
        </w:rPr>
      </w:pPr>
      <w:r>
        <w:rPr>
          <w:rFonts w:ascii="Times New Roman" w:hAnsi="Times New Roman"/>
          <w:sz w:val="20"/>
        </w:rPr>
        <w:t xml:space="preserve">Payam Siadatpour </w:t>
      </w:r>
    </w:p>
    <w:p>
      <w:pPr>
        <w:pStyle w:val="TextBody"/>
        <w:bidi w:val="0"/>
        <w:spacing w:before="0" w:after="0"/>
        <w:jc w:val="center"/>
        <w:rPr>
          <w:rFonts w:ascii="Times New Roman" w:hAnsi="Times New Roman"/>
          <w:sz w:val="20"/>
        </w:rPr>
      </w:pPr>
      <w:r>
        <w:rPr>
          <w:rFonts w:ascii="Times New Roman" w:hAnsi="Times New Roman"/>
          <w:sz w:val="20"/>
        </w:rPr>
        <w:t xml:space="preserve">Sara Sabour Nasseri, Esq. </w:t>
      </w:r>
    </w:p>
    <w:p>
      <w:pPr>
        <w:pStyle w:val="TextBody"/>
        <w:bidi w:val="0"/>
        <w:spacing w:before="0" w:after="0"/>
        <w:jc w:val="center"/>
        <w:rPr>
          <w:rFonts w:ascii="Times New Roman" w:hAnsi="Times New Roman"/>
          <w:sz w:val="20"/>
        </w:rPr>
      </w:pPr>
      <w:r>
        <w:rPr>
          <w:rFonts w:ascii="Times New Roman" w:hAnsi="Times New Roman"/>
          <w:sz w:val="20"/>
        </w:rPr>
        <w:t xml:space="preserve">Eversheds Sutherland (US) LLP </w:t>
      </w:r>
    </w:p>
    <w:p>
      <w:pPr>
        <w:pStyle w:val="TextBody"/>
        <w:bidi w:val="0"/>
        <w:spacing w:before="0" w:after="0"/>
        <w:jc w:val="center"/>
        <w:rPr>
          <w:rFonts w:ascii="Times New Roman" w:hAnsi="Times New Roman"/>
          <w:sz w:val="20"/>
        </w:rPr>
      </w:pPr>
      <w:r>
        <w:rPr>
          <w:rFonts w:ascii="Times New Roman" w:hAnsi="Times New Roman"/>
          <w:sz w:val="20"/>
        </w:rPr>
        <w:t xml:space="preserve">700 6th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center"/>
        <w:rPr>
          <w:rFonts w:ascii="Times New Roman" w:hAnsi="Times New Roman"/>
          <w:sz w:val="20"/>
        </w:rPr>
      </w:pPr>
      <w:r>
        <w:rPr>
          <w:rFonts w:ascii="Times New Roman" w:hAnsi="Times New Roman"/>
          <w:sz w:val="20"/>
        </w:rPr>
        <w:t xml:space="preserve">(202) 383-0100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stevenboehm@eversheds-sutherland.us </w:t>
      </w:r>
    </w:p>
    <w:p>
      <w:pPr>
        <w:pStyle w:val="TextBody"/>
        <w:bidi w:val="0"/>
        <w:spacing w:before="0" w:after="0"/>
        <w:jc w:val="center"/>
        <w:rPr>
          <w:rFonts w:ascii="Times New Roman" w:hAnsi="Times New Roman"/>
          <w:sz w:val="20"/>
        </w:rPr>
      </w:pPr>
      <w:r>
        <w:rPr>
          <w:rFonts w:ascii="Times New Roman" w:hAnsi="Times New Roman"/>
          <w:sz w:val="20"/>
        </w:rPr>
        <w:t xml:space="preserve">anneoberndorf@eversheds-sutherland.us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payamsiadatpour@eversheds-sutherland.us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filing of this Application for the Order sought hereby and the taking of all acts reasonably necessary to obtain the relief requested herein was authorized by the Board of </w:t>
      </w:r>
      <w:r>
        <w:rPr>
          <w:rFonts w:ascii="Times New Roman" w:hAnsi="Times New Roman"/>
          <w:strike/>
          <w:color w:val="FF0000"/>
          <w:sz w:val="20"/>
        </w:rPr>
        <w:t>each</w:t>
      </w:r>
      <w:r>
        <w:rPr>
          <w:rFonts w:ascii="Times New Roman" w:hAnsi="Times New Roman"/>
          <w:color w:val="0000FF"/>
          <w:sz w:val="20"/>
          <w:u w:val="single"/>
          <w:bdr w:val="double" w:sz="2" w:space="1" w:color="000000"/>
        </w:rPr>
        <w:t>the</w:t>
      </w:r>
      <w:r>
        <w:rPr>
          <w:rFonts w:ascii="Times New Roman" w:hAnsi="Times New Roman"/>
          <w:sz w:val="20"/>
        </w:rPr>
        <w:t xml:space="preserve"> Existing Regulated Fund pursuant to resolutions duly adopted by the Board. Copies of the resolutions are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0-2(c), Applicants hereby state that each Applicant has authorized to cause to be prepared and to execute and file with the Commission this Application and any amendment thereto for an order pursuant to Sections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FS Credit Opportunities Corp., et al. (File No. 812-15706), Release No. IC-35520 (April 3, 2025) (notice), Release No. IC-35561 (April 29, 2025) (order); Sixth Street Specialty Lending, Inc. et al. (File No.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17(d) and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 </w:t>
      </w:r>
    </w:p>
    <w:p>
      <w:pPr>
        <w:pStyle w:val="TextBody"/>
        <w:bidi w:val="0"/>
        <w:spacing w:before="240" w:after="0"/>
        <w:jc w:val="left"/>
        <w:rPr>
          <w:rFonts w:ascii="Times New Roman" w:hAnsi="Times New Roman"/>
          <w:sz w:val="20"/>
        </w:rPr>
      </w:pPr>
      <w:r>
        <w:rPr>
          <w:rFonts w:ascii="Times New Roman" w:hAnsi="Times New Roman"/>
          <w:sz w:val="20"/>
        </w:rPr>
        <w:t>In accordance with the requirements for a request for expedited review of this Application, marked copies of two recent applications seeking the same relief as Applicants that are substantially identical as required by Rule 0-5(e) of the 1940 Act are attached as Exhibit C.</w:t>
      </w:r>
      <w:r>
        <w:rPr>
          <w:rFonts w:ascii="Times New Roman" w:hAnsi="Times New Roman"/>
          <w:color w:val="0000FF"/>
          <w:sz w:val="20"/>
          <w:u w:val="single"/>
          <w:bdr w:val="double" w:sz="2" w:space="1" w:color="000000"/>
        </w:rPr>
        <w:t xml:space="preserve"> In accordance with Rule 0-5(f)(2)(i)(A) under the 1940 Act, included as Exhibit D to this Application is a marked copy of the Application showing changes from the Application filed with the Commission on August 28, 2026.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Applicants have caused this Application to be duly signed on their behalf on the</w:t>
      </w:r>
      <w:r>
        <w:rPr>
          <w:rFonts w:ascii="Times New Roman" w:hAnsi="Times New Roman"/>
          <w:strike/>
          <w:color w:val="FF0000"/>
          <w:sz w:val="20"/>
        </w:rPr>
        <w:t xml:space="preserve"> 28th</w:t>
      </w:r>
      <w:r>
        <w:rPr>
          <w:rFonts w:ascii="Times New Roman" w:hAnsi="Times New Roman"/>
          <w:color w:val="0000FF"/>
          <w:sz w:val="20"/>
          <w:u w:val="single"/>
          <w:bdr w:val="double" w:sz="2" w:space="1" w:color="000000"/>
        </w:rPr>
        <w:t>21st</w:t>
      </w:r>
      <w:r>
        <w:rPr>
          <w:rFonts w:ascii="Times New Roman" w:hAnsi="Times New Roman"/>
          <w:sz w:val="20"/>
        </w:rPr>
        <w:t xml:space="preserve"> day of </w:t>
      </w:r>
      <w:r>
        <w:rPr>
          <w:rFonts w:ascii="Times New Roman" w:hAnsi="Times New Roman"/>
          <w:strike/>
          <w:color w:val="FF0000"/>
          <w:sz w:val="20"/>
        </w:rPr>
        <w:t>August</w:t>
      </w:r>
      <w:r>
        <w:rPr>
          <w:rFonts w:ascii="Times New Roman" w:hAnsi="Times New Roman"/>
          <w:color w:val="0000FF"/>
          <w:sz w:val="20"/>
          <w:u w:val="single"/>
          <w:bdr w:val="double" w:sz="2" w:space="1" w:color="000000"/>
        </w:rPr>
        <w:t>October</w:t>
      </w:r>
      <w:r>
        <w:rPr>
          <w:rFonts w:ascii="Times New Roman" w:hAnsi="Times New Roman"/>
          <w:sz w:val="20"/>
        </w:rPr>
        <w:t xml:space="preserve">,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CORPORATION</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Title: </w:t>
            </w:r>
            <w:r>
              <w:rPr>
                <w:strike/>
                <w:color w:val="FF0000"/>
              </w:rPr>
              <w:t>Authorized Person</w:t>
            </w:r>
            <w:r>
              <w:rPr>
                <w:color w:val="0000FF"/>
                <w:u w:val="single"/>
                <w:bdr w:val="double" w:sz="2" w:space="1" w:color="000000"/>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ADVISORS,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Title: </w:t>
            </w:r>
            <w:r>
              <w:rPr>
                <w:strike/>
                <w:color w:val="FF0000"/>
              </w:rPr>
              <w:t>Authorized Person</w:t>
            </w:r>
            <w:r>
              <w:rPr>
                <w:color w:val="0000FF"/>
                <w:u w:val="single"/>
                <w:bdr w:val="double" w:sz="2" w:space="1" w:color="000000"/>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WHOLLY-OWNED SUBSIDIARIES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MEZZANINE CAPITAL, L.P.</w:t>
            </w:r>
          </w:p>
        </w:tc>
      </w:tr>
      <w:tr>
        <w:trPr/>
        <w:tc>
          <w:tcPr>
            <w:tcW w:w="4082" w:type="dxa"/>
            <w:gridSpan w:val="3"/>
            <w:tcBorders/>
          </w:tcPr>
          <w:p>
            <w:pPr>
              <w:pStyle w:val="TableContents"/>
              <w:bidi w:val="0"/>
              <w:spacing w:before="0" w:after="283"/>
              <w:jc w:val="left"/>
              <w:rPr/>
            </w:pPr>
            <w:r>
              <w:rPr/>
              <w:t>FIDUS MEZZANINE CAPITAL II, L.P.</w:t>
            </w:r>
          </w:p>
        </w:tc>
      </w:tr>
      <w:tr>
        <w:trPr/>
        <w:tc>
          <w:tcPr>
            <w:tcW w:w="4082" w:type="dxa"/>
            <w:gridSpan w:val="3"/>
            <w:tcBorders/>
          </w:tcPr>
          <w:p>
            <w:pPr>
              <w:pStyle w:val="TableContents"/>
              <w:bidi w:val="0"/>
              <w:spacing w:before="0" w:after="283"/>
              <w:jc w:val="left"/>
              <w:rPr/>
            </w:pPr>
            <w:r>
              <w:rPr/>
              <w:t>FIDUS MEZZANINE CAPITAL III, L.P.</w:t>
            </w:r>
          </w:p>
        </w:tc>
      </w:tr>
      <w:tr>
        <w:trPr/>
        <w:tc>
          <w:tcPr>
            <w:tcW w:w="4082" w:type="dxa"/>
            <w:gridSpan w:val="3"/>
            <w:tcBorders/>
          </w:tcPr>
          <w:p>
            <w:pPr>
              <w:pStyle w:val="TableContents"/>
              <w:bidi w:val="0"/>
              <w:spacing w:before="0" w:after="283"/>
              <w:jc w:val="left"/>
              <w:rPr/>
            </w:pPr>
            <w:r>
              <w:rPr/>
              <w:t>FIDUS MEZZANINE CAPITAL IV, L.P.</w:t>
            </w:r>
          </w:p>
        </w:tc>
      </w:tr>
      <w:tr>
        <w:trPr/>
        <w:tc>
          <w:tcPr>
            <w:tcW w:w="4082" w:type="dxa"/>
            <w:gridSpan w:val="3"/>
            <w:tcBorders/>
          </w:tcPr>
          <w:p>
            <w:pPr>
              <w:pStyle w:val="TableContents"/>
              <w:bidi w:val="0"/>
              <w:spacing w:before="0" w:after="283"/>
              <w:jc w:val="left"/>
              <w:rPr/>
            </w:pPr>
            <w:r>
              <w:rPr/>
              <w:t>FIC FUNDING, LLC</w:t>
            </w:r>
          </w:p>
        </w:tc>
      </w:tr>
      <w:tr>
        <w:trPr/>
        <w:tc>
          <w:tcPr>
            <w:tcW w:w="4082" w:type="dxa"/>
            <w:gridSpan w:val="3"/>
            <w:tcBorders/>
          </w:tcPr>
          <w:p>
            <w:pPr>
              <w:pStyle w:val="TableContents"/>
              <w:bidi w:val="0"/>
              <w:spacing w:before="0" w:after="283"/>
              <w:jc w:val="left"/>
              <w:rPr/>
            </w:pPr>
            <w:r>
              <w:rPr/>
              <w:t>FIDUS INVESTMENT HOLDINGS,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AFFILIATED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CREDIT OPPORTUNITIES, L.P.</w:t>
            </w:r>
          </w:p>
        </w:tc>
      </w:tr>
      <w:tr>
        <w:trPr/>
        <w:tc>
          <w:tcPr>
            <w:tcW w:w="4082" w:type="dxa"/>
            <w:gridSpan w:val="3"/>
            <w:tcBorders/>
          </w:tcPr>
          <w:p>
            <w:pPr>
              <w:pStyle w:val="TableContents"/>
              <w:bidi w:val="0"/>
              <w:spacing w:before="0" w:after="283"/>
              <w:jc w:val="left"/>
              <w:rPr/>
            </w:pPr>
            <w:r>
              <w:rPr/>
              <w:t>FIDUS EQUITY OPPORTUNITIES FUND, L.P.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Verification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states that he has duly executed the attached Application, dated </w:t>
      </w:r>
      <w:r>
        <w:rPr>
          <w:rFonts w:ascii="Times New Roman" w:hAnsi="Times New Roman"/>
          <w:strike/>
          <w:color w:val="FF0000"/>
          <w:sz w:val="20"/>
        </w:rPr>
        <w:t>August 28</w:t>
      </w:r>
      <w:r>
        <w:rPr>
          <w:rFonts w:ascii="Times New Roman" w:hAnsi="Times New Roman"/>
          <w:color w:val="0000FF"/>
          <w:sz w:val="20"/>
          <w:u w:val="single"/>
          <w:bdr w:val="double" w:sz="2" w:space="1" w:color="000000"/>
        </w:rPr>
        <w:t>October 21</w:t>
      </w:r>
      <w:r>
        <w:rPr>
          <w:rFonts w:ascii="Times New Roman" w:hAnsi="Times New Roman"/>
          <w:sz w:val="20"/>
        </w:rPr>
        <w:t xml:space="preserve">, 2026, for and on behalf of the Applicants, as the case may be, that he holds the office with each such entity as indicated below, and that all actions by stockholders, officers, directors, and other bodies necessary to authorize the undersigned to execute and file such Application have been taken. The undersigned further states that he is familiar with the instrument and the contents thereof, and that the facts set forth therein are true to the best of his or her knowledge, information, and belief.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CORPORATION</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Title: </w:t>
            </w:r>
            <w:r>
              <w:rPr>
                <w:strike/>
                <w:color w:val="FF0000"/>
              </w:rPr>
              <w:t>Authorized Person</w:t>
            </w:r>
            <w:r>
              <w:rPr>
                <w:color w:val="0000FF"/>
                <w:u w:val="single"/>
                <w:bdr w:val="double" w:sz="2" w:space="1" w:color="000000"/>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ADVISORS,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Title: </w:t>
            </w:r>
            <w:r>
              <w:rPr>
                <w:strike/>
                <w:color w:val="FF0000"/>
              </w:rPr>
              <w:t>Authorized Person</w:t>
            </w:r>
            <w:r>
              <w:rPr>
                <w:color w:val="0000FF"/>
                <w:u w:val="single"/>
                <w:bdr w:val="double" w:sz="2" w:space="1" w:color="000000"/>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WHOLLY-OWNED SUBSIDIARIES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MEZZANINE CAPITAL, L.P.</w:t>
            </w:r>
          </w:p>
        </w:tc>
      </w:tr>
      <w:tr>
        <w:trPr/>
        <w:tc>
          <w:tcPr>
            <w:tcW w:w="4082" w:type="dxa"/>
            <w:gridSpan w:val="3"/>
            <w:tcBorders/>
          </w:tcPr>
          <w:p>
            <w:pPr>
              <w:pStyle w:val="TableContents"/>
              <w:bidi w:val="0"/>
              <w:spacing w:before="0" w:after="283"/>
              <w:jc w:val="left"/>
              <w:rPr/>
            </w:pPr>
            <w:r>
              <w:rPr/>
              <w:t>FIDUS MEZZANINE CAPITAL II, L.P.</w:t>
            </w:r>
          </w:p>
        </w:tc>
      </w:tr>
      <w:tr>
        <w:trPr/>
        <w:tc>
          <w:tcPr>
            <w:tcW w:w="4082" w:type="dxa"/>
            <w:gridSpan w:val="3"/>
            <w:tcBorders/>
          </w:tcPr>
          <w:p>
            <w:pPr>
              <w:pStyle w:val="TableContents"/>
              <w:bidi w:val="0"/>
              <w:spacing w:before="0" w:after="283"/>
              <w:jc w:val="left"/>
              <w:rPr/>
            </w:pPr>
            <w:r>
              <w:rPr/>
              <w:t>FIDUS MEZZANINE CAPITAL III, L.P.</w:t>
            </w:r>
          </w:p>
        </w:tc>
      </w:tr>
      <w:tr>
        <w:trPr/>
        <w:tc>
          <w:tcPr>
            <w:tcW w:w="4082" w:type="dxa"/>
            <w:gridSpan w:val="3"/>
            <w:tcBorders/>
          </w:tcPr>
          <w:p>
            <w:pPr>
              <w:pStyle w:val="TableContents"/>
              <w:bidi w:val="0"/>
              <w:spacing w:before="0" w:after="283"/>
              <w:jc w:val="left"/>
              <w:rPr/>
            </w:pPr>
            <w:r>
              <w:rPr/>
              <w:t>FIDUS MEZZANINE CAPITAL IV, L.P.</w:t>
            </w:r>
          </w:p>
        </w:tc>
      </w:tr>
      <w:tr>
        <w:trPr/>
        <w:tc>
          <w:tcPr>
            <w:tcW w:w="4082" w:type="dxa"/>
            <w:gridSpan w:val="3"/>
            <w:tcBorders/>
          </w:tcPr>
          <w:p>
            <w:pPr>
              <w:pStyle w:val="TableContents"/>
              <w:bidi w:val="0"/>
              <w:spacing w:before="0" w:after="283"/>
              <w:jc w:val="left"/>
              <w:rPr/>
            </w:pPr>
            <w:r>
              <w:rPr/>
              <w:t>FIC FUNDING, LLC</w:t>
            </w:r>
          </w:p>
        </w:tc>
      </w:tr>
      <w:tr>
        <w:trPr/>
        <w:tc>
          <w:tcPr>
            <w:tcW w:w="4082" w:type="dxa"/>
            <w:gridSpan w:val="3"/>
            <w:tcBorders/>
          </w:tcPr>
          <w:p>
            <w:pPr>
              <w:pStyle w:val="TableContents"/>
              <w:bidi w:val="0"/>
              <w:spacing w:before="0" w:after="283"/>
              <w:jc w:val="left"/>
              <w:rPr/>
            </w:pPr>
            <w:r>
              <w:rPr/>
              <w:t>FIDUS INVESTMENT HOLDINGS,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AFFILIATED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CREDIT OPPORTUNITIES, L.P.</w:t>
            </w:r>
          </w:p>
        </w:tc>
      </w:tr>
      <w:tr>
        <w:trPr/>
        <w:tc>
          <w:tcPr>
            <w:tcW w:w="4082" w:type="dxa"/>
            <w:gridSpan w:val="3"/>
            <w:tcBorders/>
          </w:tcPr>
          <w:p>
            <w:pPr>
              <w:pStyle w:val="TableContents"/>
              <w:bidi w:val="0"/>
              <w:spacing w:before="0" w:after="283"/>
              <w:jc w:val="left"/>
              <w:rPr/>
            </w:pPr>
            <w:r>
              <w:rPr/>
              <w:t>FIDUS EQUITY OPPORTUNITIES FUND, L.P.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Edward H. Ross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Resolutions of the Board of Directors (the “Board”) of </w:t>
      </w:r>
    </w:p>
    <w:p>
      <w:pPr>
        <w:pStyle w:val="TextBody"/>
        <w:bidi w:val="0"/>
        <w:spacing w:before="0" w:after="0"/>
        <w:jc w:val="center"/>
        <w:rPr>
          <w:rFonts w:ascii="Times New Roman" w:hAnsi="Times New Roman"/>
          <w:b/>
          <w:sz w:val="20"/>
        </w:rPr>
      </w:pPr>
      <w:r>
        <w:rPr>
          <w:rFonts w:ascii="Times New Roman" w:hAnsi="Times New Roman"/>
          <w:b/>
          <w:sz w:val="20"/>
        </w:rPr>
        <w:t xml:space="preserve">Fidus Investment Corporation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has reviewed the Co-Investment Exemptive Application (the “</w:t>
      </w:r>
      <w:r>
        <w:rPr>
          <w:rFonts w:ascii="Times New Roman" w:hAnsi="Times New Roman"/>
          <w:b/>
          <w:i/>
          <w:sz w:val="20"/>
        </w:rPr>
        <w:t>Exemptive Application</w:t>
      </w:r>
      <w:r>
        <w:rPr>
          <w:rFonts w:ascii="Times New Roman" w:hAnsi="Times New Roman"/>
          <w:sz w:val="20"/>
        </w:rPr>
        <w:t>”), a copy of which is attached hereto as Exhibit A, for an order of the U.S. Securities and Exchange Commission (the “</w:t>
      </w:r>
      <w:r>
        <w:rPr>
          <w:rFonts w:ascii="Times New Roman" w:hAnsi="Times New Roman"/>
          <w:b/>
          <w:i/>
          <w:sz w:val="20"/>
        </w:rPr>
        <w:t>SEC</w:t>
      </w:r>
      <w:r>
        <w:rPr>
          <w:rFonts w:ascii="Times New Roman" w:hAnsi="Times New Roman"/>
          <w:sz w:val="20"/>
        </w:rPr>
        <w:t>”) pursuant to Sections 17(d) and 57(i) of the Investment Company Act of 1940, as amended (the “</w:t>
      </w:r>
      <w:r>
        <w:rPr>
          <w:rFonts w:ascii="Times New Roman" w:hAnsi="Times New Roman"/>
          <w:b/>
          <w:i/>
          <w:sz w:val="20"/>
        </w:rPr>
        <w:t>1940 Act</w:t>
      </w:r>
      <w:r>
        <w:rPr>
          <w:rFonts w:ascii="Times New Roman" w:hAnsi="Times New Roman"/>
          <w:sz w:val="20"/>
        </w:rPr>
        <w:t xml:space="preserve">”), and Rule 17d-1 thereunder permitting certain joint transactions that otherwise may be prohibited by Sections 17(d) and 57(a)(4) of the 1940 Act and Rule 17d-1 thereunder;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deems it advisable and in the best interest of the Company that the Company file the Exemptive Application.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Board shall be, and hereby is, authorized, empowered and directed, in the name and on behalf of the Company, to cause to be executed, delivered and filed with the SEC the Exemptive Application, in substantially the form provided to the Board;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(as defined below) shall be, and hereby are, authorized, empowered and directed, in the name and on behalf of the Company, to cause to be made, executed, delivered and filed with the SEC any amendments to the Exemptive Application, together with such exhibits and other documents thereto, as are satisfactory in form and substance to counsel to the Company in order to effectuate the foregoing, such determination to be conclusively evidenced by the taking of any such action;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all acts and things previously done by the Authorized Officers, on or prior to the date hereof, in the name and on behalf of the Company in connection with the foregoing resolutions are in all respects authorized, ratified, approved, confirmed and adopted as the acts and deeds by and on behalf of the Company;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that each of Chief Executive Officer and Chief Financial Officer of the Company (the “</w:t>
      </w:r>
      <w:r>
        <w:rPr>
          <w:rFonts w:ascii="Times New Roman" w:hAnsi="Times New Roman"/>
          <w:b/>
          <w:i/>
          <w:sz w:val="20"/>
        </w:rPr>
        <w:t>Authorized Officers</w:t>
      </w:r>
      <w:r>
        <w:rPr>
          <w:rFonts w:ascii="Times New Roman" w:hAnsi="Times New Roman"/>
          <w:sz w:val="20"/>
        </w:rPr>
        <w:t xml:space="preserve">”) be, and hereby is, authorized, empowered and directed to certify and deliver copies of these resolutions to such governmental bodies, agencies, persons, firms or corporations as the Authorized Officer may deem necessary and to identify by such Authorized Officer’s signature or certificate, or in such form as may be required, the documents and instruments presented to and approved herein and to furnish evidence of the approval of any document, instrument or provision or any addition, deletion or change in any document or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 Existing Wholly-Owned Subsidiaries </w:t>
      </w:r>
    </w:p>
    <w:p>
      <w:pPr>
        <w:pStyle w:val="TextBody"/>
        <w:bidi w:val="0"/>
        <w:spacing w:before="240" w:after="0"/>
        <w:jc w:val="left"/>
        <w:rPr>
          <w:rFonts w:ascii="Times New Roman" w:hAnsi="Times New Roman"/>
          <w:b/>
          <w:sz w:val="20"/>
        </w:rPr>
      </w:pPr>
      <w:r>
        <w:rPr>
          <w:rFonts w:ascii="Times New Roman" w:hAnsi="Times New Roman"/>
          <w:b/>
          <w:sz w:val="20"/>
        </w:rPr>
        <w:t xml:space="preserve">Existing Wholly-Owned Subsidiaries of Fidus Investment Corporation </w:t>
      </w:r>
    </w:p>
    <w:p>
      <w:pPr>
        <w:pStyle w:val="TextBody"/>
        <w:bidi w:val="0"/>
        <w:spacing w:before="120" w:after="0"/>
        <w:jc w:val="left"/>
        <w:rPr>
          <w:rFonts w:ascii="Times New Roman" w:hAnsi="Times New Roman"/>
          <w:sz w:val="20"/>
        </w:rPr>
      </w:pPr>
      <w:r>
        <w:rPr>
          <w:rFonts w:ascii="Times New Roman" w:hAnsi="Times New Roman"/>
          <w:sz w:val="20"/>
        </w:rPr>
        <w:t xml:space="preserve">Fidus Mezzanine Capital,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II,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III,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IV, L.P. </w:t>
      </w:r>
    </w:p>
    <w:p>
      <w:pPr>
        <w:pStyle w:val="TextBody"/>
        <w:bidi w:val="0"/>
        <w:spacing w:before="0" w:after="0"/>
        <w:jc w:val="left"/>
        <w:rPr>
          <w:rFonts w:ascii="Times New Roman" w:hAnsi="Times New Roman"/>
          <w:sz w:val="20"/>
        </w:rPr>
      </w:pPr>
      <w:r>
        <w:rPr>
          <w:rFonts w:ascii="Times New Roman" w:hAnsi="Times New Roman"/>
          <w:sz w:val="20"/>
        </w:rPr>
        <w:t xml:space="preserve">FIC Funding, LLC </w:t>
      </w:r>
    </w:p>
    <w:p>
      <w:pPr>
        <w:pStyle w:val="TextBody"/>
        <w:bidi w:val="0"/>
        <w:spacing w:before="0" w:after="0"/>
        <w:jc w:val="left"/>
        <w:rPr>
          <w:rFonts w:ascii="Times New Roman" w:hAnsi="Times New Roman"/>
          <w:sz w:val="20"/>
        </w:rPr>
      </w:pPr>
      <w:r>
        <w:rPr>
          <w:rFonts w:ascii="Times New Roman" w:hAnsi="Times New Roman"/>
          <w:sz w:val="20"/>
        </w:rPr>
        <w:t xml:space="preserve">Fidus Investment Holdings,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 Existing Affiliated Funds </w:t>
      </w:r>
    </w:p>
    <w:p>
      <w:pPr>
        <w:pStyle w:val="TextBody"/>
        <w:bidi w:val="0"/>
        <w:spacing w:before="240" w:after="0"/>
        <w:jc w:val="left"/>
        <w:rPr>
          <w:rFonts w:ascii="Times New Roman" w:hAnsi="Times New Roman"/>
          <w:b/>
          <w:sz w:val="20"/>
        </w:rPr>
      </w:pPr>
      <w:r>
        <w:rPr>
          <w:rFonts w:ascii="Times New Roman" w:hAnsi="Times New Roman"/>
          <w:b/>
          <w:sz w:val="20"/>
        </w:rPr>
        <w:t xml:space="preserve">Existing Affiliated Funds Advised by Fidus Investment Advisors, LLC: </w:t>
      </w:r>
    </w:p>
    <w:p>
      <w:pPr>
        <w:pStyle w:val="TextBody"/>
        <w:bidi w:val="0"/>
        <w:spacing w:before="120" w:after="0"/>
        <w:jc w:val="left"/>
        <w:rPr>
          <w:rFonts w:ascii="Times New Roman" w:hAnsi="Times New Roman"/>
          <w:sz w:val="20"/>
        </w:rPr>
      </w:pPr>
      <w:r>
        <w:rPr>
          <w:rFonts w:ascii="Times New Roman" w:hAnsi="Times New Roman"/>
          <w:sz w:val="20"/>
        </w:rPr>
        <w:t xml:space="preserve">Fidus Credit Opportunities, L.P. </w:t>
      </w:r>
    </w:p>
    <w:p>
      <w:pPr>
        <w:pStyle w:val="TextBody"/>
        <w:bidi w:val="0"/>
        <w:spacing w:before="0" w:after="0"/>
        <w:jc w:val="left"/>
        <w:rPr>
          <w:rFonts w:ascii="Times New Roman" w:hAnsi="Times New Roman"/>
          <w:sz w:val="20"/>
        </w:rPr>
      </w:pPr>
      <w:r>
        <w:rPr>
          <w:rFonts w:ascii="Times New Roman" w:hAnsi="Times New Roman"/>
          <w:sz w:val="20"/>
        </w:rPr>
        <w:t xml:space="preserve">Fidus Equity Opportunities Fund, 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Marked Copies of</w:t>
      </w:r>
      <w:r>
        <w:rPr>
          <w:rFonts w:ascii="Times New Roman" w:hAnsi="Times New Roman"/>
          <w:b/>
          <w:strike/>
          <w:color w:val="FF0000"/>
          <w:sz w:val="20"/>
        </w:rPr>
        <w:t xml:space="preserve"> the Application</w:t>
      </w:r>
      <w:r>
        <w:rPr>
          <w:rFonts w:ascii="Times New Roman" w:hAnsi="Times New Roman"/>
          <w:b/>
          <w:color w:val="0000FF"/>
          <w:sz w:val="20"/>
          <w:u w:val="single"/>
          <w:bdr w:val="double" w:sz="2" w:space="1" w:color="000000"/>
        </w:rPr>
        <w:t>Amendment No. 1</w:t>
      </w:r>
      <w:r>
        <w:rPr>
          <w:rFonts w:ascii="Times New Roman" w:hAnsi="Times New Roman"/>
          <w:b/>
          <w:sz w:val="20"/>
        </w:rPr>
        <w:t xml:space="preserve"> Showing Changes from the Final Versions of the Two </w:t>
      </w:r>
    </w:p>
    <w:p>
      <w:pPr>
        <w:pStyle w:val="TextBody"/>
        <w:bidi w:val="0"/>
        <w:spacing w:before="0" w:after="0"/>
        <w:jc w:val="center"/>
        <w:rPr>
          <w:rFonts w:ascii="Times New Roman" w:hAnsi="Times New Roman"/>
          <w:b/>
          <w:sz w:val="20"/>
        </w:rPr>
      </w:pPr>
      <w:r>
        <w:rPr>
          <w:rFonts w:ascii="Times New Roman" w:hAnsi="Times New Roman"/>
          <w:b/>
          <w:sz w:val="20"/>
        </w:rPr>
        <w:t xml:space="preserve">Applications Identified as Substantially Identical Under Rule 0-5(e)(3)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D</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Marked Copies of the Amendment No. 1 to the Application Showing Changes from the Application Filed with</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the Commission on August 28, 2026</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28353</Words>
  <Characters>154316</Characters>
  <CharactersWithSpaces>182751</CharactersWithSpaces>
  <Paragraphs>1881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40-APP/A</dc:title>
</cp:coreProperties>
</file>