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10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88" w:lineRule="exact"/>
        <w:rPr>
          <w:sz w:val="24"/>
          <w:szCs w:val="24"/>
          <w:color w:val="auto"/>
        </w:rPr>
      </w:pPr>
    </w:p>
    <w:p>
      <w:pPr>
        <w:ind w:left="35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66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814-00861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FIDUS INVESTMENT CORPORATION</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20" w:type="dxa"/>
        <w:tblCellMar>
          <w:top w:w="0" w:type="dxa"/>
          <w:left w:w="0" w:type="dxa"/>
          <w:bottom w:w="0" w:type="dxa"/>
          <w:right w:w="0" w:type="dxa"/>
        </w:tblCellMar>
      </w:tblPr>
      <w:tr>
        <w:trPr>
          <w:trHeight w:val="212"/>
        </w:trPr>
        <w:tc>
          <w:tcPr>
            <w:tcW w:w="4520" w:type="dxa"/>
            <w:vAlign w:val="bottom"/>
            <w:gridSpan w:val="3"/>
          </w:tcPr>
          <w:p>
            <w:pPr>
              <w:jc w:val="center"/>
              <w:ind w:left="937"/>
              <w:spacing w:after="0"/>
              <w:rPr>
                <w:sz w:val="20"/>
                <w:szCs w:val="20"/>
                <w:color w:val="auto"/>
              </w:rPr>
            </w:pPr>
            <w:r>
              <w:rPr>
                <w:rFonts w:ascii="Arial" w:cs="Arial" w:eastAsia="Arial" w:hAnsi="Arial"/>
                <w:sz w:val="18"/>
                <w:szCs w:val="18"/>
                <w:b w:val="1"/>
                <w:bCs w:val="1"/>
                <w:color w:val="auto"/>
                <w:w w:val="98"/>
              </w:rPr>
              <w:t>Maryland</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jc w:val="right"/>
              <w:ind w:right="2178"/>
              <w:spacing w:after="0"/>
              <w:rPr>
                <w:sz w:val="20"/>
                <w:szCs w:val="20"/>
                <w:color w:val="auto"/>
              </w:rPr>
            </w:pPr>
            <w:r>
              <w:rPr>
                <w:rFonts w:ascii="Arial" w:cs="Arial" w:eastAsia="Arial" w:hAnsi="Arial"/>
                <w:sz w:val="18"/>
                <w:szCs w:val="18"/>
                <w:b w:val="1"/>
                <w:bCs w:val="1"/>
                <w:color w:val="auto"/>
              </w:rPr>
              <w:t>27-5017321</w:t>
            </w:r>
          </w:p>
        </w:tc>
        <w:tc>
          <w:tcPr>
            <w:tcW w:w="0" w:type="dxa"/>
            <w:vAlign w:val="bottom"/>
          </w:tcPr>
          <w:p>
            <w:pPr>
              <w:spacing w:after="0"/>
              <w:rPr>
                <w:sz w:val="1"/>
                <w:szCs w:val="1"/>
                <w:color w:val="auto"/>
              </w:rPr>
            </w:pPr>
          </w:p>
        </w:tc>
      </w:tr>
      <w:tr>
        <w:trPr>
          <w:trHeight w:val="149"/>
        </w:trPr>
        <w:tc>
          <w:tcPr>
            <w:tcW w:w="4520" w:type="dxa"/>
            <w:vAlign w:val="bottom"/>
            <w:gridSpan w:val="3"/>
          </w:tcPr>
          <w:p>
            <w:pPr>
              <w:jc w:val="center"/>
              <w:ind w:left="93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80" w:type="dxa"/>
            <w:vAlign w:val="bottom"/>
          </w:tcPr>
          <w:p>
            <w:pPr>
              <w:jc w:val="center"/>
              <w:ind w:right="2018"/>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4520" w:type="dxa"/>
            <w:vAlign w:val="bottom"/>
            <w:gridSpan w:val="3"/>
          </w:tcPr>
          <w:p>
            <w:pPr>
              <w:jc w:val="center"/>
              <w:ind w:left="937"/>
              <w:spacing w:after="0"/>
              <w:rPr>
                <w:sz w:val="20"/>
                <w:szCs w:val="20"/>
                <w:color w:val="auto"/>
              </w:rPr>
            </w:pPr>
            <w:r>
              <w:rPr>
                <w:rFonts w:ascii="Arial" w:cs="Arial" w:eastAsia="Arial" w:hAnsi="Arial"/>
                <w:sz w:val="14"/>
                <w:szCs w:val="14"/>
                <w:b w:val="1"/>
                <w:bCs w:val="1"/>
                <w:color w:val="auto"/>
                <w:w w:val="95"/>
              </w:rPr>
              <w:t>Incorporation or Organization)</w:t>
            </w: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tcPr>
          <w:p>
            <w:pPr>
              <w:jc w:val="center"/>
              <w:ind w:right="201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12"/>
        </w:trPr>
        <w:tc>
          <w:tcPr>
            <w:tcW w:w="4520" w:type="dxa"/>
            <w:vAlign w:val="bottom"/>
            <w:gridSpan w:val="3"/>
          </w:tcPr>
          <w:p>
            <w:pPr>
              <w:jc w:val="center"/>
              <w:ind w:left="937"/>
              <w:spacing w:after="0"/>
              <w:rPr>
                <w:sz w:val="20"/>
                <w:szCs w:val="20"/>
                <w:color w:val="auto"/>
              </w:rPr>
            </w:pPr>
            <w:r>
              <w:rPr>
                <w:rFonts w:ascii="Arial" w:cs="Arial" w:eastAsia="Arial" w:hAnsi="Arial"/>
                <w:sz w:val="18"/>
                <w:szCs w:val="18"/>
                <w:b w:val="1"/>
                <w:bCs w:val="1"/>
                <w:color w:val="auto"/>
                <w:w w:val="90"/>
              </w:rPr>
              <w:t>1603 Orrington Avenue, Suite 1005</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20" w:type="dxa"/>
            <w:vAlign w:val="bottom"/>
            <w:gridSpan w:val="3"/>
          </w:tcPr>
          <w:p>
            <w:pPr>
              <w:jc w:val="center"/>
              <w:ind w:left="937"/>
              <w:spacing w:after="0"/>
              <w:rPr>
                <w:sz w:val="20"/>
                <w:szCs w:val="20"/>
                <w:color w:val="auto"/>
              </w:rPr>
            </w:pPr>
            <w:r>
              <w:rPr>
                <w:rFonts w:ascii="Arial" w:cs="Arial" w:eastAsia="Arial" w:hAnsi="Arial"/>
                <w:sz w:val="18"/>
                <w:szCs w:val="18"/>
                <w:b w:val="1"/>
                <w:bCs w:val="1"/>
                <w:color w:val="auto"/>
                <w:w w:val="90"/>
              </w:rPr>
              <w:t>Evanston, Illinois</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jc w:val="right"/>
              <w:ind w:right="2378"/>
              <w:spacing w:after="0"/>
              <w:rPr>
                <w:sz w:val="20"/>
                <w:szCs w:val="20"/>
                <w:color w:val="auto"/>
              </w:rPr>
            </w:pPr>
            <w:r>
              <w:rPr>
                <w:rFonts w:ascii="Arial" w:cs="Arial" w:eastAsia="Arial" w:hAnsi="Arial"/>
                <w:sz w:val="18"/>
                <w:szCs w:val="18"/>
                <w:b w:val="1"/>
                <w:bCs w:val="1"/>
                <w:color w:val="auto"/>
              </w:rPr>
              <w:t>60201</w:t>
            </w:r>
          </w:p>
        </w:tc>
        <w:tc>
          <w:tcPr>
            <w:tcW w:w="0" w:type="dxa"/>
            <w:vAlign w:val="bottom"/>
          </w:tcPr>
          <w:p>
            <w:pPr>
              <w:spacing w:after="0"/>
              <w:rPr>
                <w:sz w:val="1"/>
                <w:szCs w:val="1"/>
                <w:color w:val="auto"/>
              </w:rPr>
            </w:pPr>
          </w:p>
        </w:tc>
      </w:tr>
      <w:tr>
        <w:trPr>
          <w:trHeight w:val="186"/>
        </w:trPr>
        <w:tc>
          <w:tcPr>
            <w:tcW w:w="4520" w:type="dxa"/>
            <w:vAlign w:val="bottom"/>
            <w:gridSpan w:val="3"/>
          </w:tcPr>
          <w:p>
            <w:pPr>
              <w:jc w:val="center"/>
              <w:ind w:left="9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tcPr>
          <w:p>
            <w:pPr>
              <w:jc w:val="center"/>
              <w:ind w:right="201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94"/>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jc w:val="center"/>
              <w:ind w:right="935"/>
              <w:spacing w:after="0"/>
              <w:rPr>
                <w:sz w:val="20"/>
                <w:szCs w:val="20"/>
                <w:color w:val="auto"/>
              </w:rPr>
            </w:pPr>
            <w:r>
              <w:rPr>
                <w:rFonts w:ascii="Arial" w:cs="Arial" w:eastAsia="Arial" w:hAnsi="Arial"/>
                <w:sz w:val="18"/>
                <w:szCs w:val="18"/>
                <w:b w:val="1"/>
                <w:bCs w:val="1"/>
                <w:color w:val="auto"/>
                <w:w w:val="90"/>
              </w:rPr>
              <w:t>(847) 859-3940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740" w:type="dxa"/>
            <w:vAlign w:val="bottom"/>
            <w:gridSpan w:val="6"/>
          </w:tcPr>
          <w:p>
            <w:pPr>
              <w:jc w:val="center"/>
              <w:ind w:left="3157"/>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740" w:type="dxa"/>
            <w:vAlign w:val="bottom"/>
            <w:gridSpan w:val="6"/>
          </w:tcPr>
          <w:p>
            <w:pPr>
              <w:jc w:val="center"/>
              <w:ind w:left="3177"/>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52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89"/>
              </w:rPr>
              <w:t>Title of each class</w:t>
            </w:r>
          </w:p>
        </w:tc>
        <w:tc>
          <w:tcPr>
            <w:tcW w:w="322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7"/>
              </w:rPr>
              <w:t>Trading</w:t>
            </w:r>
          </w:p>
        </w:tc>
        <w:tc>
          <w:tcPr>
            <w:tcW w:w="328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4520" w:type="dxa"/>
            <w:vAlign w:val="bottom"/>
            <w:gridSpan w:val="3"/>
            <w:vMerge w:val="continue"/>
          </w:tcPr>
          <w:p>
            <w:pPr>
              <w:spacing w:after="0"/>
              <w:rPr>
                <w:sz w:val="16"/>
                <w:szCs w:val="16"/>
                <w:color w:val="auto"/>
              </w:rPr>
            </w:pPr>
          </w:p>
        </w:tc>
        <w:tc>
          <w:tcPr>
            <w:tcW w:w="322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0"/>
              </w:rPr>
              <w:t>Symbol</w:t>
            </w:r>
          </w:p>
        </w:tc>
        <w:tc>
          <w:tcPr>
            <w:tcW w:w="328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jc w:val="center"/>
              <w:ind w:right="475"/>
              <w:spacing w:after="0" w:line="191" w:lineRule="exact"/>
              <w:rPr>
                <w:sz w:val="20"/>
                <w:szCs w:val="20"/>
                <w:color w:val="auto"/>
              </w:rPr>
            </w:pPr>
            <w:r>
              <w:rPr>
                <w:rFonts w:ascii="Arial" w:cs="Arial" w:eastAsia="Arial" w:hAnsi="Arial"/>
                <w:sz w:val="18"/>
                <w:szCs w:val="18"/>
                <w:b w:val="1"/>
                <w:bCs w:val="1"/>
                <w:color w:val="auto"/>
                <w:w w:val="93"/>
              </w:rPr>
              <w:t>FDUS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tcPr>
          <w:p>
            <w:pPr>
              <w:jc w:val="center"/>
              <w:ind w:right="78"/>
              <w:spacing w:after="0" w:line="191" w:lineRule="exact"/>
              <w:rPr>
                <w:sz w:val="20"/>
                <w:szCs w:val="20"/>
                <w:color w:val="auto"/>
              </w:rPr>
            </w:pPr>
            <w:r>
              <w:rPr>
                <w:rFonts w:ascii="Arial" w:cs="Arial" w:eastAsia="Arial" w:hAnsi="Arial"/>
                <w:sz w:val="18"/>
                <w:szCs w:val="18"/>
                <w:b w:val="1"/>
                <w:bCs w:val="1"/>
                <w:color w:val="auto"/>
                <w:w w:val="94"/>
              </w:rPr>
              <w:t>The NASDAQ Global Select Market</w:t>
            </w:r>
          </w:p>
        </w:tc>
        <w:tc>
          <w:tcPr>
            <w:tcW w:w="0" w:type="dxa"/>
            <w:vAlign w:val="bottom"/>
          </w:tcPr>
          <w:p>
            <w:pPr>
              <w:spacing w:after="0"/>
              <w:rPr>
                <w:sz w:val="1"/>
                <w:szCs w:val="1"/>
                <w:color w:val="auto"/>
              </w:rPr>
            </w:pPr>
          </w:p>
        </w:tc>
      </w:tr>
      <w:tr>
        <w:trPr>
          <w:trHeight w:val="216"/>
        </w:trPr>
        <w:tc>
          <w:tcPr>
            <w:tcW w:w="45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0"/>
              </w:rPr>
              <w:t>5.875% Notes due 2023</w:t>
            </w:r>
          </w:p>
        </w:tc>
        <w:tc>
          <w:tcPr>
            <w:tcW w:w="32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6"/>
              </w:rPr>
              <w:t>FDUSL</w:t>
            </w:r>
          </w:p>
        </w:tc>
        <w:tc>
          <w:tcPr>
            <w:tcW w:w="3280" w:type="dxa"/>
            <w:vAlign w:val="bottom"/>
          </w:tcPr>
          <w:p>
            <w:pPr>
              <w:jc w:val="center"/>
              <w:ind w:right="78"/>
              <w:spacing w:after="0"/>
              <w:rPr>
                <w:sz w:val="20"/>
                <w:szCs w:val="20"/>
                <w:color w:val="auto"/>
              </w:rPr>
            </w:pPr>
            <w:r>
              <w:rPr>
                <w:rFonts w:ascii="Arial" w:cs="Arial" w:eastAsia="Arial" w:hAnsi="Arial"/>
                <w:sz w:val="18"/>
                <w:szCs w:val="18"/>
                <w:b w:val="1"/>
                <w:bCs w:val="1"/>
                <w:color w:val="auto"/>
                <w:w w:val="94"/>
              </w:rPr>
              <w:t>The NASDAQ Global Select Market</w:t>
            </w:r>
          </w:p>
        </w:tc>
        <w:tc>
          <w:tcPr>
            <w:tcW w:w="0" w:type="dxa"/>
            <w:vAlign w:val="bottom"/>
          </w:tcPr>
          <w:p>
            <w:pPr>
              <w:spacing w:after="0"/>
              <w:rPr>
                <w:sz w:val="1"/>
                <w:szCs w:val="1"/>
                <w:color w:val="auto"/>
              </w:rPr>
            </w:pPr>
          </w:p>
        </w:tc>
      </w:tr>
      <w:tr>
        <w:trPr>
          <w:trHeight w:val="216"/>
        </w:trPr>
        <w:tc>
          <w:tcPr>
            <w:tcW w:w="45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0"/>
              </w:rPr>
              <w:t>6.000% Notes due 2024</w:t>
            </w:r>
          </w:p>
        </w:tc>
        <w:tc>
          <w:tcPr>
            <w:tcW w:w="32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6"/>
              </w:rPr>
              <w:t>FDUSZ</w:t>
            </w:r>
          </w:p>
        </w:tc>
        <w:tc>
          <w:tcPr>
            <w:tcW w:w="3280" w:type="dxa"/>
            <w:vAlign w:val="bottom"/>
          </w:tcPr>
          <w:p>
            <w:pPr>
              <w:jc w:val="center"/>
              <w:ind w:right="78"/>
              <w:spacing w:after="0"/>
              <w:rPr>
                <w:sz w:val="20"/>
                <w:szCs w:val="20"/>
                <w:color w:val="auto"/>
              </w:rPr>
            </w:pPr>
            <w:r>
              <w:rPr>
                <w:rFonts w:ascii="Arial" w:cs="Arial" w:eastAsia="Arial" w:hAnsi="Arial"/>
                <w:sz w:val="18"/>
                <w:szCs w:val="18"/>
                <w:b w:val="1"/>
                <w:bCs w:val="1"/>
                <w:color w:val="auto"/>
                <w:w w:val="94"/>
              </w:rPr>
              <w:t>The NASDAQ Global Select Market</w:t>
            </w:r>
          </w:p>
        </w:tc>
        <w:tc>
          <w:tcPr>
            <w:tcW w:w="0" w:type="dxa"/>
            <w:vAlign w:val="bottom"/>
          </w:tcPr>
          <w:p>
            <w:pPr>
              <w:spacing w:after="0"/>
              <w:rPr>
                <w:sz w:val="1"/>
                <w:szCs w:val="1"/>
                <w:color w:val="auto"/>
              </w:rPr>
            </w:pPr>
          </w:p>
        </w:tc>
      </w:tr>
      <w:tr>
        <w:trPr>
          <w:trHeight w:val="234"/>
        </w:trPr>
        <w:tc>
          <w:tcPr>
            <w:tcW w:w="45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0"/>
              </w:rPr>
              <w:t>5.375% Notes due 2024</w:t>
            </w:r>
          </w:p>
        </w:tc>
        <w:tc>
          <w:tcPr>
            <w:tcW w:w="32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8"/>
              </w:rPr>
              <w:t>FDUSG</w:t>
            </w:r>
          </w:p>
        </w:tc>
        <w:tc>
          <w:tcPr>
            <w:tcW w:w="3280" w:type="dxa"/>
            <w:vAlign w:val="bottom"/>
          </w:tcPr>
          <w:p>
            <w:pPr>
              <w:jc w:val="center"/>
              <w:ind w:right="78"/>
              <w:spacing w:after="0"/>
              <w:rPr>
                <w:sz w:val="20"/>
                <w:szCs w:val="20"/>
                <w:color w:val="auto"/>
              </w:rPr>
            </w:pPr>
            <w:r>
              <w:rPr>
                <w:rFonts w:ascii="Arial" w:cs="Arial" w:eastAsia="Arial" w:hAnsi="Arial"/>
                <w:sz w:val="18"/>
                <w:szCs w:val="18"/>
                <w:b w:val="1"/>
                <w:bCs w:val="1"/>
                <w:color w:val="auto"/>
                <w:w w:val="94"/>
              </w:rPr>
              <w:t>The NASDAQ Global Select Market</w:t>
            </w:r>
          </w:p>
        </w:tc>
        <w:tc>
          <w:tcPr>
            <w:tcW w:w="0" w:type="dxa"/>
            <w:vAlign w:val="bottom"/>
          </w:tcPr>
          <w:p>
            <w:pPr>
              <w:spacing w:after="0"/>
              <w:rPr>
                <w:sz w:val="1"/>
                <w:szCs w:val="1"/>
                <w:color w:val="auto"/>
              </w:rPr>
            </w:pPr>
          </w:p>
        </w:tc>
      </w:tr>
    </w:tbl>
    <w:p>
      <w:pPr>
        <w:spacing w:after="0" w:line="198"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8520" w:type="dxa"/>
            <w:vAlign w:val="bottom"/>
            <w:gridSpan w:val="3"/>
          </w:tcPr>
          <w:p>
            <w:pPr>
              <w:ind w:left="266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9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vMerge w:val="restart"/>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r>
        <w:trPr>
          <w:trHeight w:val="446"/>
        </w:trPr>
        <w:tc>
          <w:tcPr>
            <w:tcW w:w="852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60" w:type="dxa"/>
            <w:vAlign w:val="bottom"/>
          </w:tcPr>
          <w:p>
            <w:pPr>
              <w:ind w:left="100"/>
              <w:spacing w:after="0"/>
              <w:rPr>
                <w:sz w:val="20"/>
                <w:szCs w:val="20"/>
                <w:color w:val="auto"/>
              </w:rPr>
            </w:pPr>
            <w:r>
              <w:rPr>
                <w:rFonts w:ascii="Arial" w:cs="Arial" w:eastAsia="Arial" w:hAnsi="Arial"/>
                <w:sz w:val="18"/>
                <w:szCs w:val="18"/>
                <w:color w:val="auto"/>
                <w:w w:val="77"/>
              </w:rPr>
              <w:t>Yes</w:t>
            </w:r>
          </w:p>
        </w:tc>
        <w:tc>
          <w:tcPr>
            <w:tcW w:w="30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3"/>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  Yes</w:t>
            </w:r>
          </w:p>
        </w:tc>
        <w:tc>
          <w:tcPr>
            <w:tcW w:w="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No</w:t>
            </w:r>
          </w:p>
        </w:tc>
        <w:tc>
          <w:tcPr>
            <w:tcW w:w="6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200" w:right="3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200" w:right="40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240"/>
          </w:cols>
          <w:pgMar w:left="240" w:top="230" w:right="41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0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78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aggregate market value of common stock held by non-affiliates of the registrant on June 28, 2019 based on the closing price on that date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$15.95 on the NASDAQ Global Select Market was $385,290,130. For the purpose of calculating this amount only, all directors and executive officers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registrant have been treated as affiliates. There were 24,463,119 shares of the registrant’s common stock outstanding as of February 25, 2020.</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Portions of the registrant’s proxy statement to be filed with the U.S. Securities and Exchange Commission pursuant to Regulation 14A in connection with the registrant’s 2020 Annual Meeting of Stockholders, which will be filed subsequent to the date hereof, are incorporated by reference into Part III of this Form 10-K. Such proxy statement will be filed with the U.S. Securities and Exchange Commission not later than 120 days following the end of the registrant’s fiscal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179070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36"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gridSpan w:val="16"/>
          </w:tcPr>
          <w:p>
            <w:pPr>
              <w:ind w:left="54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r>
      <w:tr>
        <w:trPr>
          <w:trHeight w:val="500"/>
        </w:trPr>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8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Borders>
              <w:bottom w:val="single" w:sz="8" w:color="0000EE"/>
            </w:tcBorders>
          </w:tcPr>
          <w:p>
            <w:pPr>
              <w:jc w:val="cente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4880" w:type="dxa"/>
            <w:vAlign w:val="bottom"/>
            <w:gridSpan w:val="9"/>
          </w:tcPr>
          <w:p>
            <w:pPr>
              <w:spacing w:after="0"/>
              <w:rPr>
                <w:sz w:val="22"/>
                <w:szCs w:val="22"/>
                <w:color w:val="auto"/>
              </w:rPr>
            </w:pPr>
          </w:p>
        </w:tc>
        <w:tc>
          <w:tcPr>
            <w:tcW w:w="320" w:type="dxa"/>
            <w:vAlign w:val="bottom"/>
          </w:tcPr>
          <w:p>
            <w:pPr>
              <w:spacing w:after="0"/>
              <w:rPr>
                <w:sz w:val="22"/>
                <w:szCs w:val="22"/>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8880" w:type="dxa"/>
            <w:vAlign w:val="bottom"/>
            <w:gridSpan w:val="2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Unresolved Staff Comments</w:t>
              </w:r>
            </w:hyperlink>
          </w:p>
        </w:tc>
        <w:tc>
          <w:tcPr>
            <w:tcW w:w="7740" w:type="dxa"/>
            <w:vAlign w:val="bottom"/>
            <w:gridSpan w:val="1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Properties</w:t>
              </w:r>
            </w:hyperlink>
          </w:p>
        </w:tc>
        <w:tc>
          <w:tcPr>
            <w:tcW w:w="9060" w:type="dxa"/>
            <w:vAlign w:val="bottom"/>
            <w:gridSpan w:val="2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gridSpan w:val="2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86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2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8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w:t>
              </w:r>
            </w:hyperlink>
          </w:p>
        </w:tc>
        <w:tc>
          <w:tcPr>
            <w:tcW w:w="484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9800" w:type="dxa"/>
            <w:vAlign w:val="bottom"/>
            <w:gridSpan w:val="2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Market for Registrant’s Common Equity, Related Stockholder Matters and Issuer Purchases of Equity Securities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27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Selected Consolidated Financial Data</w:t>
              </w:r>
            </w:hyperlink>
          </w:p>
        </w:tc>
        <w:tc>
          <w:tcPr>
            <w:tcW w:w="5360" w:type="dxa"/>
            <w:vAlign w:val="bottom"/>
            <w:tcBorders>
              <w:top w:val="single" w:sz="8" w:color="0000EE"/>
            </w:tcBorders>
            <w:gridSpan w:val="17"/>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7.</w:t>
            </w:r>
          </w:p>
        </w:tc>
        <w:tc>
          <w:tcPr>
            <w:tcW w:w="9800" w:type="dxa"/>
            <w:vAlign w:val="bottom"/>
            <w:gridSpan w:val="2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2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 about Market Risk</w:t>
              </w:r>
            </w:hyperlink>
          </w:p>
        </w:tc>
        <w:tc>
          <w:tcPr>
            <w:tcW w:w="334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86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8.</w:t>
            </w:r>
          </w:p>
        </w:tc>
        <w:tc>
          <w:tcPr>
            <w:tcW w:w="43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Financial Statements and Supplementary Data</w:t>
              </w:r>
            </w:hyperlink>
          </w:p>
        </w:tc>
        <w:tc>
          <w:tcPr>
            <w:tcW w:w="546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9.</w:t>
            </w:r>
          </w:p>
        </w:tc>
        <w:tc>
          <w:tcPr>
            <w:tcW w:w="9800" w:type="dxa"/>
            <w:vAlign w:val="bottom"/>
            <w:gridSpan w:val="27"/>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117">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8"/>
          </w:tcPr>
          <w:p>
            <w:pPr>
              <w:spacing w:after="0"/>
              <w:rPr>
                <w:sz w:val="24"/>
                <w:szCs w:val="24"/>
                <w:color w:val="auto"/>
              </w:rPr>
            </w:pPr>
          </w:p>
        </w:tc>
        <w:tc>
          <w:tcPr>
            <w:tcW w:w="332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9B.</w:t>
            </w:r>
          </w:p>
        </w:tc>
        <w:tc>
          <w:tcPr>
            <w:tcW w:w="9800" w:type="dxa"/>
            <w:vAlign w:val="bottom"/>
            <w:gridSpan w:val="27"/>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r>
      <w:tr>
        <w:trPr>
          <w:trHeight w:val="304"/>
        </w:trPr>
        <w:tc>
          <w:tcPr>
            <w:tcW w:w="8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PART III</w:t>
              </w:r>
            </w:hyperlink>
          </w:p>
        </w:tc>
        <w:tc>
          <w:tcPr>
            <w:tcW w:w="480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10.</w:t>
            </w:r>
          </w:p>
        </w:tc>
        <w:tc>
          <w:tcPr>
            <w:tcW w:w="9800" w:type="dxa"/>
            <w:vAlign w:val="bottom"/>
            <w:gridSpan w:val="27"/>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118">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57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12.</w:t>
            </w:r>
          </w:p>
        </w:tc>
        <w:tc>
          <w:tcPr>
            <w:tcW w:w="9800" w:type="dxa"/>
            <w:vAlign w:val="bottom"/>
            <w:gridSpan w:val="27"/>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89"/>
              </w:rPr>
            </w:pPr>
            <w:hyperlink w:anchor="page118">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24"/>
                <w:szCs w:val="24"/>
                <w:color w:val="auto"/>
              </w:rPr>
            </w:pPr>
          </w:p>
        </w:tc>
        <w:tc>
          <w:tcPr>
            <w:tcW w:w="250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14.</w:t>
            </w:r>
          </w:p>
        </w:tc>
        <w:tc>
          <w:tcPr>
            <w:tcW w:w="9800" w:type="dxa"/>
            <w:vAlign w:val="bottom"/>
            <w:gridSpan w:val="27"/>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Principal Accountant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04"/>
        </w:trPr>
        <w:tc>
          <w:tcPr>
            <w:tcW w:w="8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2"/>
          </w:tcPr>
          <w:p>
            <w:pPr>
              <w:jc w:val="center"/>
              <w:ind w:right="4820"/>
              <w:spacing w:after="0"/>
              <w:rPr>
                <w:rFonts w:ascii="Arial" w:cs="Arial" w:eastAsia="Arial" w:hAnsi="Arial"/>
                <w:sz w:val="18"/>
                <w:szCs w:val="18"/>
                <w:b w:val="1"/>
                <w:bCs w:val="1"/>
                <w:color w:val="0000EE"/>
                <w:w w:val="98"/>
              </w:rPr>
            </w:pPr>
            <w:hyperlink w:anchor="page119">
              <w:r>
                <w:rPr>
                  <w:rFonts w:ascii="Arial" w:cs="Arial" w:eastAsia="Arial" w:hAnsi="Arial"/>
                  <w:sz w:val="18"/>
                  <w:szCs w:val="18"/>
                  <w:b w:val="1"/>
                  <w:bCs w:val="1"/>
                  <w:color w:val="0000EE"/>
                  <w:w w:val="98"/>
                </w:rPr>
                <w:t>PART IV</w:t>
              </w:r>
            </w:hyperlink>
          </w:p>
        </w:tc>
        <w:tc>
          <w:tcPr>
            <w:tcW w:w="320" w:type="dxa"/>
            <w:vAlign w:val="bottom"/>
          </w:tcPr>
          <w:p>
            <w:pPr>
              <w:spacing w:after="0"/>
              <w:rPr>
                <w:sz w:val="24"/>
                <w:szCs w:val="24"/>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15.</w:t>
            </w:r>
          </w:p>
        </w:tc>
        <w:tc>
          <w:tcPr>
            <w:tcW w:w="4280" w:type="dxa"/>
            <w:vAlign w:val="bottom"/>
            <w:gridSpan w:val="15"/>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5"/>
          </w:tcPr>
          <w:p>
            <w:pPr>
              <w:spacing w:after="0"/>
              <w:rPr>
                <w:sz w:val="24"/>
                <w:szCs w:val="24"/>
                <w:color w:val="auto"/>
              </w:rPr>
            </w:pPr>
          </w:p>
        </w:tc>
        <w:tc>
          <w:tcPr>
            <w:tcW w:w="482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114</w:t>
            </w:r>
          </w:p>
        </w:tc>
      </w:tr>
      <w:tr>
        <w:trPr>
          <w:trHeight w:val="304"/>
        </w:trPr>
        <w:tc>
          <w:tcPr>
            <w:tcW w:w="860" w:type="dxa"/>
            <w:vAlign w:val="bottom"/>
          </w:tcPr>
          <w:p>
            <w:pPr>
              <w:spacing w:after="0"/>
              <w:rPr>
                <w:sz w:val="24"/>
                <w:szCs w:val="24"/>
                <w:color w:val="auto"/>
              </w:rPr>
            </w:pPr>
          </w:p>
        </w:tc>
        <w:tc>
          <w:tcPr>
            <w:tcW w:w="3160" w:type="dxa"/>
            <w:vAlign w:val="bottom"/>
            <w:tcBorders>
              <w:top w:val="single" w:sz="8" w:color="0000EE"/>
            </w:tcBorders>
            <w:gridSpan w:val="11"/>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SIGNATURES</w:t>
              </w:r>
            </w:hyperlink>
          </w:p>
        </w:tc>
        <w:tc>
          <w:tcPr>
            <w:tcW w:w="664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118</w:t>
            </w:r>
          </w:p>
        </w:tc>
      </w:tr>
      <w:tr>
        <w:trPr>
          <w:trHeight w:val="20"/>
        </w:trPr>
        <w:tc>
          <w:tcPr>
            <w:tcW w:w="8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This Annual Report on Form 10-K (“Annual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“should,” “targets,” “projects” and variations of these words and similar expressions are intended to identify forward-looking statements. The forward-looking statements contained in this Annual Report on Form 10-K involve risks and uncertainties, including statements as to:</w:t>
      </w:r>
    </w:p>
    <w:p>
      <w:pPr>
        <w:spacing w:after="0" w:line="99" w:lineRule="exact"/>
        <w:rPr>
          <w:sz w:val="20"/>
          <w:szCs w:val="20"/>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 and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increased competition;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investment advisor to identify suitable investments for us and to monitor and administer our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investment advisor to attract and retain highly talented professionals;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as a BDC, a SBIC and a RIC;</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any investments in portfolio companies, particularly those having no liquid trading market;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7" w:lineRule="exact"/>
        <w:rPr>
          <w:sz w:val="20"/>
          <w:szCs w:val="20"/>
          <w:color w:val="auto"/>
        </w:rPr>
      </w:pPr>
    </w:p>
    <w:p>
      <w:pPr>
        <w:ind w:left="1180" w:right="10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value in some or all of our investments in such portfolio companies;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lending and investment activities;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because we use leverage as part of our investment strategy;</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portfolio companies with foreign operations;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Item 1A. – Risk Factors contained in this Annual Report on Form 10-K for the year ended December 31, 2019 and in our other filings with the SEC.</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later prove to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Annual Report should not be regarded as a representation by us that our plans and objectives will be achieved. These risks and uncertainties include those described or identified in Item 1A entitled “Risk Factors” in Part 1 and elsewhere in this Annual Report. You should not place undue reliance on these forward-looking statements as a prediction of actual results, which apply only as of the date of this Annual Report. We expressly disclaim any responsibility to update forward-looking statements, whether as a result of new information, future events or otherwise, except as required by law. The forward-looking statements and projections contained in this Annual Report are excluded from the safe harbor protection provided by Section 27A of the Securities Act of 1933, as amended, or the Securities Act.</w:t>
      </w:r>
    </w:p>
    <w:p>
      <w:pPr>
        <w:sectPr>
          <w:pgSz w:w="11900" w:h="16838" w:orient="portrait"/>
          <w:cols w:equalWidth="0" w:num="1">
            <w:col w:w="11160"/>
          </w:cols>
          <w:pgMar w:left="240" w:top="459" w:right="499" w:bottom="1440" w:gutter="0" w:footer="0" w:header="0"/>
        </w:sectPr>
      </w:pP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60"/>
          </w:cols>
          <w:pgMar w:left="240" w:top="459" w:right="49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i w:val="1"/>
          <w:iCs w:val="1"/>
          <w:color w:val="auto"/>
        </w:rPr>
        <w:t>Except as otherwise specified, references to “we,” “us,” “our,” “Fidus” and “FIC” refer to Fidus Investment Corporation and its consolidated subsidiaries. Some of the statements in this Annual Report constitute forward-looking statements, which apply to us and relate to future events, future performance or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Fidus Investment Corporation, a Maryland Corporation, operates as an externally managed business development company (“BDC”) under the Investment Company Act of 1940 (“1940 Act”). FIC completed its initial public offering, or IPO, in June 2011. In addition, FIC has elected to be treated as a regulated investment company (“RIC”) under Subchapter M of the Internal Revenue Code of 1986, as amended (the “Code”). As of December 31, 2019, our shares were listed on the NASDAQ Global Select Market under the symbol “FDUS.”</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FIC may make investments directly or through its three wholly-owned investment company subsidiaries, Fidus Mezzanine Capital, L.P. (“Fund I”), Fidus Mezzanine Capital II, L.P. (“Fund II”) and Fidus Mezzanine Capital III, L.P. (“Fund III”)(collectively Fund I, Fund II and Fund III are referred to as the “Funds”). Fidus Investment GP, LLC, the general partner of the Funds, is also a wholly owned subsidiary of FIC. The Funds are licensed by the U.S. Small Business Administration (the “SBA”) as small business investment companies (“SBICs”). The Funds utilize the proceeds of the issuance of SBA-guaranteed debentures to enhance returns to our stockholders. As of September 9, 2019, Fund I completed a wind-down plan, relinquished its SBIC license, and can no longer issue additional SBA debentures. 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Funds reach their borrowing limit under the program. For three or more SBICs under common control, the maximum amount of outstanding SBA debentures cannot exceed $350.0 million.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our Business</w:t>
      </w:r>
    </w:p>
    <w:p>
      <w:pPr>
        <w:spacing w:after="0" w:line="12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$30.0 million per portfolio company.</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of December 31, 2019, we had debt and equity investments in 64 portfolio companies with an aggregate fair value of $766.9 million. The weighted average yield on our debt investments as of December 31, 2019 was 12.0%. The weighted average yield of our debt investments is not the same as a return on investment for our stockholders but, rather, relates to a portion of our investment portfolio and is calculated before the payment of all of our fees and expenses. The weighted average yield was computed using the effective interest rates for debt investments at cost as of December 31, 2019, including accretion of original issue discount (“OID”) and loan origination fees, but excluding investments on non-accrual status, if any. There can be no assurance that the weighted average yield will remain at its current level. For the year ended December 31, 2019, our total return based on net asset value (“NAV”) per share was 12.0% and our total return based on market value was 37.6%. For the year ended December 31, 2018, our total return based on NAV was 12.6% and our total return based on market value was (15.8)%. 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 Total return based on market value equals the change in the market value of our common stock per share during the period divided by the market value per share at the beginning of the period, and assumes reinvestment of dividends at prices obtained by our dividend reinvestment plan during the period. While these two figures reflect fund expenses, they do not reflect any sales load that may be paid by investors.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200" w:right="320" w:firstLine="441"/>
        <w:spacing w:after="0" w:line="291" w:lineRule="auto"/>
        <w:rPr>
          <w:sz w:val="20"/>
          <w:szCs w:val="20"/>
          <w:color w:val="auto"/>
        </w:rPr>
      </w:pPr>
      <w:r>
        <w:rPr>
          <w:rFonts w:ascii="Arial" w:cs="Arial" w:eastAsia="Arial" w:hAnsi="Arial"/>
          <w:sz w:val="16"/>
          <w:szCs w:val="16"/>
          <w:color w:val="auto"/>
        </w:rPr>
        <w:t xml:space="preserve">Our headquarters are in Evanston, Illinois, and our internet address is </w:t>
      </w:r>
      <w:r>
        <w:rPr>
          <w:rFonts w:ascii="Arial" w:cs="Arial" w:eastAsia="Arial" w:hAnsi="Arial"/>
          <w:sz w:val="16"/>
          <w:szCs w:val="16"/>
          <w:i w:val="1"/>
          <w:iCs w:val="1"/>
          <w:color w:val="auto"/>
        </w:rPr>
        <w:t>www.fdus.com</w:t>
      </w:r>
      <w:r>
        <w:rPr>
          <w:rFonts w:ascii="Arial" w:cs="Arial" w:eastAsia="Arial" w:hAnsi="Arial"/>
          <w:sz w:val="16"/>
          <w:szCs w:val="16"/>
          <w:color w:val="auto"/>
        </w:rPr>
        <w:t xml:space="preserve">. We are not including the information contained on our website as a part of, or incorporating it by reference into, this Annual Report. We make available free of charge through our website our proxy statement, annual reports on Form 10-K, quarterly reports on Form 10-Q, current reports on Form 8-K and amendments to those reports, as soon as reasonably practicable after we electronically file such material with, or furnish such material to, the U.S. Securities and Exchange Commission (the “SEC”). The SEC maintains an internet 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issuers, like us, that file electronically with the SEC. Copies of this Annual Report and other reports are also available without charge by contacting us in writing at 1603 Orrington Avenue, Suite 1005, Evanston, Illinois 60201, Attention: Investor Relations.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Advisor</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investment activities are managed by Fidus Investment Advisors, LLC, our investment advisor, and supervised by our board of directors, a majority of whom are not “interested persons” of FIC as defined in section 2(a)(19) of the 1940 Act, and who we refer to hereafter as the Independent Directors. Pursuant to the terms of the investment advisory and management agreement, which we refer to as the Investment Advisory Agreement, between us and our investment advisor,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w:t>
      </w:r>
    </w:p>
    <w:p>
      <w:pPr>
        <w:spacing w:after="0" w:line="17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Our relationship with our investment advisor is governed by and dependent on the Investment Advisory Agreement and may be subject to conflicts of interest. We pay our investment advisor a fee for its services under the Investment Advisory Agreement consisting of two components—a base management fee and an incentive fee. The base management fee is calculated at an annual rate of 1.75% of the average value of our total assets (other than cash or cash equivalents but including assets purchased with borrowed amounts). The incentive fee consists of two parts. The first part is calculated and payable quarterly in arrears and equals 20.0% of our “pre-incentive fee net investment income” for the immediately preceding quarter, subject to a 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capital gain incentive fees paid in prior years. We accrue, but do not pay, a capital gains incentive fee in connection with any unrealized capital appreciation, as appropriate. For more information about how we compensate our investment advisor, see “Management and Other Agreements—Investment Advisory Agreement.”</w:t>
      </w:r>
    </w:p>
    <w:p>
      <w:pPr>
        <w:spacing w:after="0" w:line="18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Among other things, our board of directors is charged with protecting our interests by monitoring how our investment advisor addresses conflicts of interest associated with its management services and compensation.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Renewal of our Investment Advisory Agreement must be approved each year by our board of directors, including a majority of our Independent Directors.</w:t>
      </w:r>
    </w:p>
    <w:p>
      <w:pPr>
        <w:spacing w:after="0" w:line="16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Fidus Investment Advisors, LLC is a Delaware limited liability company that is registered as an investment advisor under the Investment Advisers Act of 1940, as amended, or the Advisers Act. In addition, Fidus Investment Advisors, LLC serves as our administrator and provides us with office space, equipment and clerical, book-keeping and record-keeping services pursuant to an administration agreement, which we refer to as the Administration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We intend to accomplish our goal of becoming one of the premier providers of capital to and value-added partner of lower middle-market companies by:</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Leveraging the Experience of Our Investment Advisor</w:t>
      </w:r>
      <w:r>
        <w:rPr>
          <w:rFonts w:ascii="Arial" w:cs="Arial" w:eastAsia="Arial" w:hAnsi="Arial"/>
          <w:sz w:val="16"/>
          <w:szCs w:val="16"/>
          <w:color w:val="auto"/>
        </w:rPr>
        <w:t>. Our investment advisor’s investment professionals have significant experience investing in,</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to and advising companies across multiple industries and changing market cycles. These professionals have diverse backgrounds with prior experience in senior management positions at investment banks, specialty finance companies, commercial banks and privately and publicly held companies and have extensive experience investing across all levels of the capital structure of lower middle-market companies. We believe these professionals possess an in-depth understanding of the strategic, financial and operational challenges and opportunities of lower middle-market companies, enabling our investment advisor to effectively identify, assess, structure and monitor our investments.</w:t>
      </w:r>
    </w:p>
    <w:p>
      <w:pPr>
        <w:sectPr>
          <w:pgSz w:w="11900" w:h="16838" w:orient="portrait"/>
          <w:cols w:equalWidth="0" w:num="1">
            <w:col w:w="11220"/>
          </w:cols>
          <w:pgMar w:left="240" w:top="459" w:right="439" w:bottom="1440" w:gutter="0" w:footer="0" w:header="0"/>
        </w:sectPr>
      </w:pP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i w:val="1"/>
          <w:iCs w:val="1"/>
          <w:color w:val="auto"/>
        </w:rPr>
        <w:t>Capitalizing on Our Strong Transaction Sourcing Network</w:t>
      </w:r>
      <w:r>
        <w:rPr>
          <w:rFonts w:ascii="Arial" w:cs="Arial" w:eastAsia="Arial" w:hAnsi="Arial"/>
          <w:sz w:val="16"/>
          <w:szCs w:val="16"/>
          <w:color w:val="auto"/>
        </w:rPr>
        <w:t>. Our investment advisor’s investment professionals possess an extensive network of</w:t>
      </w:r>
      <w:r>
        <w:rPr>
          <w:rFonts w:ascii="Arial" w:cs="Arial" w:eastAsia="Arial" w:hAnsi="Arial"/>
          <w:sz w:val="16"/>
          <w:szCs w:val="16"/>
          <w:i w:val="1"/>
          <w:iCs w:val="1"/>
          <w:color w:val="auto"/>
        </w:rPr>
        <w:t xml:space="preserve"> </w:t>
      </w:r>
      <w:r>
        <w:rPr>
          <w:rFonts w:ascii="Arial" w:cs="Arial" w:eastAsia="Arial" w:hAnsi="Arial"/>
          <w:sz w:val="16"/>
          <w:szCs w:val="16"/>
          <w:color w:val="auto"/>
        </w:rPr>
        <w:t>long-standing relationships with private equity firms, middle-market senior lenders, junior capital partners, financial intermediaries and management teams of privately owned businesses. We believe that the combination of our investment advisor’s relationships and our reputation as a reliable, responsive and value-added financing partner helps us generate a steady stream of new investment opportunities and proprietary deal flow.</w:t>
      </w:r>
    </w:p>
    <w:p>
      <w:pPr>
        <w:spacing w:after="0" w:line="154"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Serving as a Value-Added Partner with Customized Financing Solutions</w:t>
      </w:r>
      <w:r>
        <w:rPr>
          <w:rFonts w:ascii="Arial" w:cs="Arial" w:eastAsia="Arial" w:hAnsi="Arial"/>
          <w:sz w:val="16"/>
          <w:szCs w:val="16"/>
          <w:color w:val="auto"/>
        </w:rPr>
        <w:t>. We follow a partnership-oriented investment approach and focus on</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where we believe we can add value to a portfolio company. We primarily concentrate on industries or market niches in which the investment professionals of our investment advisor have prior experience. These professionals also have expertise in structuring securities at all levels of the capital structure, which we believe positions us well to meet the unique financing needs of our portfolio companies. We invest primarily in second lien and subordinated debt securities, typically coupled with an equity interest; however, on a selective basis we may invest in first lien senior secured or unitranche loans. Further, as a publicly-traded BDC, we have a longer investment horizon without the capital return requirements of traditional private investment vehicles. We believe this flexibility enables us to generate attractive risk-adjusted returns on invested capital and enables us to be a better long-term partner for our portfolio companies. We believe that by leveraging the industry and structuring expertise of our investment advisor coupled with our long-term investment horizon, we are well positioned to be a value-added partner for our portfolio companies.</w:t>
      </w:r>
    </w:p>
    <w:p>
      <w:pPr>
        <w:spacing w:after="0" w:line="16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i w:val="1"/>
          <w:iCs w:val="1"/>
          <w:color w:val="auto"/>
        </w:rPr>
        <w:t>Employing Rigorous Due Diligence and Underwriting Processes Focused on Capital Preservation</w:t>
      </w:r>
      <w:r>
        <w:rPr>
          <w:rFonts w:ascii="Arial" w:cs="Arial" w:eastAsia="Arial" w:hAnsi="Arial"/>
          <w:sz w:val="16"/>
          <w:szCs w:val="16"/>
          <w:color w:val="auto"/>
        </w:rPr>
        <w:t>. Our investment advisor follows a disciplined</w:t>
      </w:r>
      <w:r>
        <w:rPr>
          <w:rFonts w:ascii="Arial" w:cs="Arial" w:eastAsia="Arial" w:hAnsi="Arial"/>
          <w:sz w:val="16"/>
          <w:szCs w:val="16"/>
          <w:i w:val="1"/>
          <w:iCs w:val="1"/>
          <w:color w:val="auto"/>
        </w:rPr>
        <w:t xml:space="preserve"> </w:t>
      </w:r>
      <w:r>
        <w:rPr>
          <w:rFonts w:ascii="Arial" w:cs="Arial" w:eastAsia="Arial" w:hAnsi="Arial"/>
          <w:sz w:val="16"/>
          <w:szCs w:val="16"/>
          <w:color w:val="auto"/>
        </w:rPr>
        <w:t>and credit-oriented approach to evaluating and investing in companies. We focus on companies with proven business models, significant free cash flow, defensible market positions and significant enterprise value cushion for our debt investments. In making investment decisions, we seek to minimize the risk of capital loss without foregoing the opportunity for capital appreciation. Our investment advisor’s investment professionals have developed extensive due diligence and underwriting processes designed to better assess a portfolio company’s prospects and to determine the appropriate investment structure. Our investment advisor thoroughly analyzes each potential portfolio company’s competitive position, financial performance, management team, growth potential and industry attractiveness. As part of this process, our investment advisor also participates in meetings with management, tours of facilities, discussions with industry professionals and third-party reviews. We believe this approach enables us to build and maintain an attractive investment portfolio that meets our return and value criteria over the long term.</w:t>
      </w:r>
    </w:p>
    <w:p>
      <w:pPr>
        <w:spacing w:after="0" w:line="16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i w:val="1"/>
          <w:iCs w:val="1"/>
          <w:color w:val="auto"/>
        </w:rPr>
        <w:t>Actively Managing our Portfolio</w:t>
      </w:r>
      <w:r>
        <w:rPr>
          <w:rFonts w:ascii="Arial" w:cs="Arial" w:eastAsia="Arial" w:hAnsi="Arial"/>
          <w:sz w:val="18"/>
          <w:szCs w:val="18"/>
          <w:color w:val="auto"/>
        </w:rPr>
        <w:t>. We believe that our investment advisor’s initial and ongoing portfolio review process allows us to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monitor the performance and prospects of our portfolio companies. We seek to obtain board observation rights or board seats with respect to our portfolio companies, and we conduct monthly financial reviews and have regular discussions with portfolio company management. We structure our investments with a comprehensive set of financial maintenance, affirmative and negative covenants. We believe that active monitoring of our portfolio companies’ compliance with covenants provides us with an early warning of any financial difficulty and enhances our ability to protect our invested capital.</w:t>
      </w:r>
    </w:p>
    <w:p>
      <w:pPr>
        <w:spacing w:after="0" w:line="193"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i w:val="1"/>
          <w:iCs w:val="1"/>
          <w:color w:val="auto"/>
        </w:rPr>
        <w:t>Maintaining Portfolio Diversification</w:t>
      </w:r>
      <w:r>
        <w:rPr>
          <w:rFonts w:ascii="Arial" w:cs="Arial" w:eastAsia="Arial" w:hAnsi="Arial"/>
          <w:sz w:val="16"/>
          <w:szCs w:val="16"/>
          <w:color w:val="auto"/>
        </w:rPr>
        <w:t>. We seek to maintain a portfolio of investments that is appropriately diversified among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geographic regions and end markets. We have made investments in portfolio companies in the following industries: business services, industrial products and services, value-added distribution, healthcare products and services, consumer products and services (including retail, food and beverage), energy services, defense and aerospace, transportation and logistics, information technology services and niche manufacturing. We believe that investing across various industries helps mitigate the potential effects of negative economic events for particular companies, regions and industries.</w:t>
      </w:r>
    </w:p>
    <w:p>
      <w:pPr>
        <w:spacing w:after="0" w:line="158"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i w:val="1"/>
          <w:iCs w:val="1"/>
          <w:color w:val="auto"/>
        </w:rPr>
        <w:t>Benefiting from Lower Cost of Capital</w:t>
      </w:r>
      <w:r>
        <w:rPr>
          <w:rFonts w:ascii="Arial" w:cs="Arial" w:eastAsia="Arial" w:hAnsi="Arial"/>
          <w:sz w:val="17"/>
          <w:szCs w:val="17"/>
          <w:color w:val="auto"/>
        </w:rPr>
        <w:t>. The Funds’ SBIC licenses allow us to issue SBA-guaranteed debentures. These SBA debentures carry</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fixed rates that are generally lower than rates on comparable bank and public debt. Because lower-cost SBA leverage is, and will continue to be, a significant part of our funding strategy, our relative cost of debt capital should be lower than many of our competitors. For three or more SBICs under common control, the maximum amount of outstanding SBA debentures cannot exceed $350.0 million.</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seek to create a diversified investment portfolio that primarily includes loans and, to a lesser extent, equity securities. Our investments typically range between $5.0 million to $30.0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i w:val="1"/>
          <w:iCs w:val="1"/>
          <w:color w:val="auto"/>
        </w:rPr>
        <w:t xml:space="preserve">Second Lien Debt. </w:t>
      </w:r>
      <w:r>
        <w:rPr>
          <w:rFonts w:ascii="Arial" w:cs="Arial" w:eastAsia="Arial" w:hAnsi="Arial"/>
          <w:sz w:val="18"/>
          <w:szCs w:val="18"/>
          <w:color w:val="auto"/>
        </w:rPr>
        <w:t>The majority of our debt investments take the form of second lien debt, which includes senior subordinated notes. Second lien</w:t>
      </w:r>
      <w:r>
        <w:rPr>
          <w:rFonts w:ascii="Arial" w:cs="Arial" w:eastAsia="Arial" w:hAnsi="Arial"/>
          <w:sz w:val="18"/>
          <w:szCs w:val="18"/>
          <w:i w:val="1"/>
          <w:iCs w:val="1"/>
          <w:color w:val="auto"/>
        </w:rPr>
        <w:t xml:space="preserve"> </w:t>
      </w:r>
      <w:r>
        <w:rPr>
          <w:rFonts w:ascii="Arial" w:cs="Arial" w:eastAsia="Arial" w:hAnsi="Arial"/>
          <w:sz w:val="18"/>
          <w:szCs w:val="18"/>
          <w:color w:val="auto"/>
        </w:rPr>
        <w:t>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9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i w:val="1"/>
          <w:iCs w:val="1"/>
          <w:color w:val="auto"/>
        </w:rPr>
        <w:t xml:space="preserve">Subordinated Debt. </w:t>
      </w:r>
      <w:r>
        <w:rPr>
          <w:rFonts w:ascii="Arial" w:cs="Arial" w:eastAsia="Arial" w:hAnsi="Arial"/>
          <w:sz w:val="16"/>
          <w:szCs w:val="16"/>
          <w:color w:val="auto"/>
        </w:rPr>
        <w:t>These investments are typically structured as unsecured, subordinated notes. Structurally, subordinated debt usually ranks</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66"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First Lien Debt</w:t>
      </w:r>
      <w:r>
        <w:rPr>
          <w:rFonts w:ascii="Arial" w:cs="Arial" w:eastAsia="Arial" w:hAnsi="Arial"/>
          <w:sz w:val="17"/>
          <w:szCs w:val="17"/>
          <w:color w:val="auto"/>
        </w:rPr>
        <w:t>. To a lesser extent, we also structure some of our debt investments as senior secured or first lien debt investments. First lien debt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8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loan. The majority of our debt investments provide for a fixed interest rate.</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Equity Securities</w:t>
      </w:r>
      <w:r>
        <w:rPr>
          <w:rFonts w:ascii="Arial" w:cs="Arial" w:eastAsia="Arial" w:hAnsi="Arial"/>
          <w:sz w:val="17"/>
          <w:szCs w:val="17"/>
          <w:color w:val="auto"/>
        </w:rPr>
        <w:t>. Our equity securities typically consist of either a direct minority equity investment in common or preferred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Consolidated Portfolio</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generally seek to invest in companies from the broad range of industries in which our investment advisor has direct experience. The following is a representative list of the broad industry segments in which we have invested; however, we may invest in other industries if we are presented with attractive opportunities.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100"/>
              <w:spacing w:after="0"/>
              <w:rPr>
                <w:sz w:val="20"/>
                <w:szCs w:val="20"/>
                <w:color w:val="auto"/>
              </w:rPr>
            </w:pPr>
            <w:r>
              <w:rPr>
                <w:rFonts w:ascii="Arial" w:cs="Arial" w:eastAsia="Arial" w:hAnsi="Arial"/>
                <w:sz w:val="18"/>
                <w:szCs w:val="18"/>
                <w:color w:val="auto"/>
              </w:rPr>
              <w:t>aerospace &amp; defense;</w:t>
            </w:r>
          </w:p>
        </w:tc>
        <w:tc>
          <w:tcPr>
            <w:tcW w:w="1580" w:type="dxa"/>
            <w:vAlign w:val="bottom"/>
          </w:tcPr>
          <w:p>
            <w:pPr>
              <w:ind w:left="1420"/>
              <w:spacing w:after="0"/>
              <w:rPr>
                <w:sz w:val="20"/>
                <w:szCs w:val="20"/>
                <w:color w:val="auto"/>
              </w:rPr>
            </w:pPr>
            <w:r>
              <w:rPr>
                <w:rFonts w:ascii="Arial" w:cs="Arial" w:eastAsia="Arial" w:hAnsi="Arial"/>
                <w:sz w:val="18"/>
                <w:szCs w:val="18"/>
                <w:color w:val="auto"/>
              </w:rPr>
              <w:t>•</w:t>
            </w:r>
          </w:p>
        </w:tc>
        <w:tc>
          <w:tcPr>
            <w:tcW w:w="2860" w:type="dxa"/>
            <w:vAlign w:val="bottom"/>
          </w:tcPr>
          <w:p>
            <w:pPr>
              <w:ind w:left="100"/>
              <w:spacing w:after="0"/>
              <w:rPr>
                <w:sz w:val="20"/>
                <w:szCs w:val="20"/>
                <w:color w:val="auto"/>
              </w:rPr>
            </w:pPr>
            <w:r>
              <w:rPr>
                <w:rFonts w:ascii="Arial" w:cs="Arial" w:eastAsia="Arial" w:hAnsi="Arial"/>
                <w:sz w:val="18"/>
                <w:szCs w:val="18"/>
                <w:color w:val="auto"/>
              </w:rPr>
              <w:t>infrastructure;</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100"/>
              <w:spacing w:after="0"/>
              <w:rPr>
                <w:sz w:val="20"/>
                <w:szCs w:val="20"/>
                <w:color w:val="auto"/>
              </w:rPr>
            </w:pPr>
            <w:r>
              <w:rPr>
                <w:rFonts w:ascii="Arial" w:cs="Arial" w:eastAsia="Arial" w:hAnsi="Arial"/>
                <w:sz w:val="18"/>
                <w:szCs w:val="18"/>
                <w:color w:val="auto"/>
              </w:rPr>
              <w:t>business services;</w:t>
            </w:r>
          </w:p>
        </w:tc>
        <w:tc>
          <w:tcPr>
            <w:tcW w:w="1580" w:type="dxa"/>
            <w:vAlign w:val="bottom"/>
          </w:tcPr>
          <w:p>
            <w:pPr>
              <w:ind w:left="1420"/>
              <w:spacing w:after="0"/>
              <w:rPr>
                <w:sz w:val="20"/>
                <w:szCs w:val="20"/>
                <w:color w:val="auto"/>
              </w:rPr>
            </w:pPr>
            <w:r>
              <w:rPr>
                <w:rFonts w:ascii="Arial" w:cs="Arial" w:eastAsia="Arial" w:hAnsi="Arial"/>
                <w:sz w:val="18"/>
                <w:szCs w:val="18"/>
                <w:color w:val="auto"/>
              </w:rPr>
              <w:t>•</w:t>
            </w:r>
          </w:p>
        </w:tc>
        <w:tc>
          <w:tcPr>
            <w:tcW w:w="2860" w:type="dxa"/>
            <w:vAlign w:val="bottom"/>
          </w:tcPr>
          <w:p>
            <w:pPr>
              <w:ind w:left="100"/>
              <w:spacing w:after="0"/>
              <w:rPr>
                <w:sz w:val="20"/>
                <w:szCs w:val="20"/>
                <w:color w:val="auto"/>
              </w:rPr>
            </w:pPr>
            <w:r>
              <w:rPr>
                <w:rFonts w:ascii="Arial" w:cs="Arial" w:eastAsia="Arial" w:hAnsi="Arial"/>
                <w:sz w:val="18"/>
                <w:szCs w:val="18"/>
                <w:color w:val="auto"/>
              </w:rPr>
              <w:t>logistics &amp; transportation;</w:t>
            </w:r>
          </w:p>
        </w:tc>
      </w:tr>
      <w:tr>
        <w:trPr>
          <w:trHeight w:val="324"/>
        </w:trPr>
        <w:tc>
          <w:tcPr>
            <w:tcW w:w="3960" w:type="dxa"/>
            <w:vAlign w:val="bottom"/>
            <w:gridSpan w:val="2"/>
          </w:tcPr>
          <w:p>
            <w:pPr>
              <w:spacing w:after="0"/>
              <w:rPr>
                <w:sz w:val="20"/>
                <w:szCs w:val="20"/>
                <w:color w:val="auto"/>
              </w:rPr>
            </w:pPr>
            <w:r>
              <w:rPr>
                <w:rFonts w:ascii="Arial" w:cs="Arial" w:eastAsia="Arial" w:hAnsi="Arial"/>
                <w:sz w:val="18"/>
                <w:szCs w:val="18"/>
                <w:color w:val="auto"/>
              </w:rPr>
              <w:t>•  consumer products / multi-unit;</w:t>
            </w:r>
          </w:p>
        </w:tc>
        <w:tc>
          <w:tcPr>
            <w:tcW w:w="1580" w:type="dxa"/>
            <w:vAlign w:val="bottom"/>
          </w:tcPr>
          <w:p>
            <w:pPr>
              <w:ind w:left="1420"/>
              <w:spacing w:after="0"/>
              <w:rPr>
                <w:sz w:val="20"/>
                <w:szCs w:val="20"/>
                <w:color w:val="auto"/>
              </w:rPr>
            </w:pPr>
            <w:r>
              <w:rPr>
                <w:rFonts w:ascii="Arial" w:cs="Arial" w:eastAsia="Arial" w:hAnsi="Arial"/>
                <w:sz w:val="18"/>
                <w:szCs w:val="18"/>
                <w:color w:val="auto"/>
              </w:rPr>
              <w:t>•</w:t>
            </w:r>
          </w:p>
        </w:tc>
        <w:tc>
          <w:tcPr>
            <w:tcW w:w="2860" w:type="dxa"/>
            <w:vAlign w:val="bottom"/>
          </w:tcPr>
          <w:p>
            <w:pPr>
              <w:ind w:left="100"/>
              <w:spacing w:after="0"/>
              <w:rPr>
                <w:sz w:val="20"/>
                <w:szCs w:val="20"/>
                <w:color w:val="auto"/>
              </w:rPr>
            </w:pPr>
            <w:r>
              <w:rPr>
                <w:rFonts w:ascii="Arial" w:cs="Arial" w:eastAsia="Arial" w:hAnsi="Arial"/>
                <w:sz w:val="18"/>
                <w:szCs w:val="18"/>
                <w:color w:val="auto"/>
              </w:rPr>
              <w:t>niche manufacturing;</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100"/>
              <w:spacing w:after="0"/>
              <w:rPr>
                <w:sz w:val="20"/>
                <w:szCs w:val="20"/>
                <w:color w:val="auto"/>
              </w:rPr>
            </w:pPr>
            <w:r>
              <w:rPr>
                <w:rFonts w:ascii="Arial" w:cs="Arial" w:eastAsia="Arial" w:hAnsi="Arial"/>
                <w:sz w:val="18"/>
                <w:szCs w:val="18"/>
                <w:color w:val="auto"/>
              </w:rPr>
              <w:t>energy services;</w:t>
            </w:r>
          </w:p>
        </w:tc>
        <w:tc>
          <w:tcPr>
            <w:tcW w:w="4440" w:type="dxa"/>
            <w:vAlign w:val="bottom"/>
            <w:gridSpan w:val="2"/>
          </w:tcPr>
          <w:p>
            <w:pPr>
              <w:ind w:left="1420"/>
              <w:spacing w:after="0"/>
              <w:rPr>
                <w:sz w:val="20"/>
                <w:szCs w:val="20"/>
                <w:color w:val="auto"/>
              </w:rPr>
            </w:pPr>
            <w:r>
              <w:rPr>
                <w:rFonts w:ascii="Arial" w:cs="Arial" w:eastAsia="Arial" w:hAnsi="Arial"/>
                <w:sz w:val="18"/>
                <w:szCs w:val="18"/>
                <w:color w:val="auto"/>
                <w:w w:val="93"/>
              </w:rPr>
              <w:t>•  software &amp; tech-enabled services; and</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100"/>
              <w:spacing w:after="0"/>
              <w:rPr>
                <w:sz w:val="20"/>
                <w:szCs w:val="20"/>
                <w:color w:val="auto"/>
              </w:rPr>
            </w:pPr>
            <w:r>
              <w:rPr>
                <w:rFonts w:ascii="Arial" w:cs="Arial" w:eastAsia="Arial" w:hAnsi="Arial"/>
                <w:sz w:val="18"/>
                <w:szCs w:val="18"/>
                <w:color w:val="auto"/>
              </w:rPr>
              <w:t>healthcare products;</w:t>
            </w:r>
          </w:p>
        </w:tc>
        <w:tc>
          <w:tcPr>
            <w:tcW w:w="1580" w:type="dxa"/>
            <w:vAlign w:val="bottom"/>
          </w:tcPr>
          <w:p>
            <w:pPr>
              <w:ind w:left="1420"/>
              <w:spacing w:after="0"/>
              <w:rPr>
                <w:sz w:val="20"/>
                <w:szCs w:val="20"/>
                <w:color w:val="auto"/>
              </w:rPr>
            </w:pPr>
            <w:r>
              <w:rPr>
                <w:rFonts w:ascii="Arial" w:cs="Arial" w:eastAsia="Arial" w:hAnsi="Arial"/>
                <w:sz w:val="18"/>
                <w:szCs w:val="18"/>
                <w:color w:val="auto"/>
              </w:rPr>
              <w:t>•</w:t>
            </w:r>
          </w:p>
        </w:tc>
        <w:tc>
          <w:tcPr>
            <w:tcW w:w="2860" w:type="dxa"/>
            <w:vAlign w:val="bottom"/>
          </w:tcPr>
          <w:p>
            <w:pPr>
              <w:ind w:left="100"/>
              <w:spacing w:after="0"/>
              <w:rPr>
                <w:sz w:val="20"/>
                <w:szCs w:val="20"/>
                <w:color w:val="auto"/>
              </w:rPr>
            </w:pPr>
            <w:r>
              <w:rPr>
                <w:rFonts w:ascii="Arial" w:cs="Arial" w:eastAsia="Arial" w:hAnsi="Arial"/>
                <w:sz w:val="18"/>
                <w:szCs w:val="18"/>
                <w:color w:val="auto"/>
              </w:rPr>
              <w:t>value-added distribution.</w:t>
            </w:r>
          </w:p>
        </w:tc>
      </w:tr>
    </w:tbl>
    <w:p>
      <w:pPr>
        <w:spacing w:after="0" w:line="94" w:lineRule="exact"/>
        <w:rPr>
          <w:sz w:val="20"/>
          <w:szCs w:val="20"/>
          <w:color w:val="auto"/>
        </w:rPr>
      </w:pPr>
    </w:p>
    <w:p>
      <w:pPr>
        <w:ind w:left="1120" w:hanging="259"/>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industrial;</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December 31, 2019, we had investments in 64 portfolio companies with an aggregate fair value of $766.9 million. As of December 31, 2018, we had investments in 63 portfolio companies with an aggregate fair value of $643.0 million.</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following table shows the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Cost</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5"/>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5"/>
          </w:tcPr>
          <w:p>
            <w:pPr>
              <w:jc w:val="center"/>
              <w:ind w:right="248"/>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$208.2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$181.3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Southeast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176.8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138.1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West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766.9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100.0%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643.0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704.5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598.8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detailed industry segment composition of our portfolio at fair value and cost as a percentage of total investments.</w:t>
      </w:r>
    </w:p>
    <w:p>
      <w:pPr>
        <w:spacing w:after="0" w:line="26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974"/>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December 31,</w:t>
            </w:r>
          </w:p>
        </w:tc>
        <w:tc>
          <w:tcPr>
            <w:tcW w:w="680" w:type="dxa"/>
            <w:vAlign w:val="bottom"/>
          </w:tcPr>
          <w:p>
            <w:pPr>
              <w:spacing w:after="0"/>
              <w:rPr>
                <w:sz w:val="10"/>
                <w:szCs w:val="10"/>
                <w:color w:val="auto"/>
              </w:rPr>
            </w:pPr>
          </w:p>
        </w:tc>
        <w:tc>
          <w:tcPr>
            <w:tcW w:w="8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c>
          <w:tcPr>
            <w:tcW w:w="13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Specialty Distribution</w:t>
            </w:r>
          </w:p>
        </w:tc>
        <w:tc>
          <w:tcPr>
            <w:tcW w:w="8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5"/>
              <w:spacing w:after="0"/>
              <w:rPr>
                <w:sz w:val="20"/>
                <w:szCs w:val="20"/>
                <w:color w:val="auto"/>
              </w:rPr>
            </w:pPr>
            <w:r>
              <w:rPr>
                <w:rFonts w:ascii="Arial" w:cs="Arial" w:eastAsia="Arial" w:hAnsi="Arial"/>
                <w:sz w:val="18"/>
                <w:szCs w:val="18"/>
                <w:color w:val="auto"/>
              </w:rPr>
              <w:t>16.9%</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18.3%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Business Services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Services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Healthcare Products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Component Manufacturing</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Aerospace &amp; Defense Manufacturing</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Oil &amp; Gas Services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Vending Equipment Manufacturing</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Retail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Promotional Products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Transportation Services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Building Products Manufacturing</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Utilities: Services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Industrial Cleaning &amp; Coatings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Packaging</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 Manufacturing</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Oil &amp; Gas Distribution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Restaurants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(1)</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5"/>
                <w:szCs w:val="15"/>
                <w:color w:val="auto"/>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Specialty Chemicals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80" w:type="dxa"/>
            <w:vAlign w:val="bottom"/>
          </w:tcPr>
          <w:p>
            <w:pPr>
              <w:ind w:left="20"/>
              <w:spacing w:after="0"/>
              <w:rPr>
                <w:sz w:val="20"/>
                <w:szCs w:val="20"/>
                <w:color w:val="auto"/>
              </w:rPr>
            </w:pPr>
            <w:r>
              <w:rPr>
                <w:rFonts w:ascii="Arial" w:cs="Arial" w:eastAsia="Arial" w:hAnsi="Arial"/>
                <w:sz w:val="15"/>
                <w:szCs w:val="15"/>
                <w:color w:val="auto"/>
              </w:rPr>
              <w:t>(1)</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5"/>
                <w:szCs w:val="15"/>
                <w:color w:val="auto"/>
              </w:rPr>
              <w:t>(1)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jc w:val="right"/>
              <w:spacing w:after="0"/>
              <w:rPr>
                <w:sz w:val="20"/>
                <w:szCs w:val="20"/>
                <w:color w:val="auto"/>
              </w:rPr>
            </w:pPr>
            <w:r>
              <w:rPr>
                <w:rFonts w:ascii="Arial" w:cs="Arial" w:eastAsia="Arial" w:hAnsi="Arial"/>
                <w:sz w:val="15"/>
                <w:szCs w:val="15"/>
                <w:color w:val="auto"/>
              </w:rPr>
              <w:t>(1)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jc w:val="right"/>
              <w:spacing w:after="0"/>
              <w:rPr>
                <w:sz w:val="20"/>
                <w:szCs w:val="20"/>
                <w:color w:val="auto"/>
              </w:rPr>
            </w:pPr>
            <w:r>
              <w:rPr>
                <w:rFonts w:ascii="Arial" w:cs="Arial" w:eastAsia="Arial" w:hAnsi="Arial"/>
                <w:sz w:val="15"/>
                <w:szCs w:val="15"/>
                <w:color w:val="auto"/>
                <w:w w:val="97"/>
              </w:rPr>
              <w:t>(1)</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 Manufacturing</w:t>
            </w:r>
          </w:p>
        </w:tc>
        <w:tc>
          <w:tcPr>
            <w:tcW w:w="8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5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(1)</w:t>
            </w: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1520" w:type="dxa"/>
            <w:vAlign w:val="bottom"/>
            <w:gridSpan w:val="2"/>
          </w:tcPr>
          <w:p>
            <w:pPr>
              <w:jc w:val="right"/>
              <w:ind w:right="465"/>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1060" w:type="dxa"/>
            <w:vAlign w:val="bottom"/>
            <w:gridSpan w:val="2"/>
          </w:tcPr>
          <w:p>
            <w:pPr>
              <w:jc w:val="right"/>
              <w:ind w:right="3"/>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1100" w:type="dxa"/>
            <w:vAlign w:val="bottom"/>
            <w:gridSpan w:val="2"/>
          </w:tcPr>
          <w:p>
            <w:pPr>
              <w:jc w:val="right"/>
              <w:ind w:right="43"/>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Percentage is less than 0.1% of respective total.</w:t>
      </w:r>
    </w:p>
    <w:p>
      <w:pPr>
        <w:sectPr>
          <w:pgSz w:w="11900" w:h="16838" w:orient="portrait"/>
          <w:cols w:equalWidth="0" w:num="1">
            <w:col w:w="11240"/>
          </w:cols>
          <w:pgMar w:left="240" w:top="459" w:right="419" w:bottom="1440"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use the following criteria and guidelines in evaluating investment opportunities and constructing our portfolio. However, not all of these criteria and guidelines have been, or will be, met in connection with each of our investments.</w:t>
      </w:r>
    </w:p>
    <w:p>
      <w:pPr>
        <w:spacing w:after="0" w:line="17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auto"/>
        </w:rPr>
        <w:t xml:space="preserve">Value Orientation / Positive Cash Flow. </w:t>
      </w:r>
      <w:r>
        <w:rPr>
          <w:rFonts w:ascii="Arial" w:cs="Arial" w:eastAsia="Arial" w:hAnsi="Arial"/>
          <w:sz w:val="16"/>
          <w:szCs w:val="16"/>
          <w:color w:val="auto"/>
        </w:rPr>
        <w:t>Our investment advisor places a premium on analysis of business fundamentals from an investor’s</w:t>
      </w:r>
      <w:r>
        <w:rPr>
          <w:rFonts w:ascii="Arial" w:cs="Arial" w:eastAsia="Arial" w:hAnsi="Arial"/>
          <w:sz w:val="16"/>
          <w:szCs w:val="16"/>
          <w:i w:val="1"/>
          <w:iCs w:val="1"/>
          <w:color w:val="auto"/>
        </w:rPr>
        <w:t xml:space="preserve"> </w:t>
      </w:r>
      <w:r>
        <w:rPr>
          <w:rFonts w:ascii="Arial" w:cs="Arial" w:eastAsia="Arial" w:hAnsi="Arial"/>
          <w:sz w:val="16"/>
          <w:szCs w:val="16"/>
          <w:color w:val="auto"/>
        </w:rPr>
        <w:t>perspective and has a distinct value orientation. We focus on companies with proven business models in which we can invest at relatively low multiples of operating cash flow. We also typically invest in portfolio companies with a history of profitability and minimum trailing twelve month EBITDA of $5.0 million. We do not invest in start-up companies, “turn-around” situations or companies that we believe have unproven business plans.</w:t>
      </w:r>
    </w:p>
    <w:p>
      <w:pPr>
        <w:spacing w:after="0" w:line="154"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i w:val="1"/>
          <w:iCs w:val="1"/>
          <w:color w:val="auto"/>
        </w:rPr>
        <w:t>Experienced Management Teams with Meaningful Equity Ownership</w:t>
      </w:r>
      <w:r>
        <w:rPr>
          <w:rFonts w:ascii="Arial" w:cs="Arial" w:eastAsia="Arial" w:hAnsi="Arial"/>
          <w:sz w:val="16"/>
          <w:szCs w:val="16"/>
          <w:color w:val="auto"/>
        </w:rPr>
        <w:t>. We target portfolio companies that have management teams with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and/or relevant industry experience coupled with meaningful equity ownership. We believe management teams with these attributes are more likely to manage the companies in a manner that protects our debt investment and enhances the value of our equity investment.</w:t>
      </w:r>
    </w:p>
    <w:p>
      <w:pPr>
        <w:spacing w:after="0" w:line="14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i w:val="1"/>
          <w:iCs w:val="1"/>
          <w:color w:val="auto"/>
        </w:rPr>
        <w:t>Niche Market Leaders with Defensible Market Positions</w:t>
      </w:r>
      <w:r>
        <w:rPr>
          <w:rFonts w:ascii="Arial" w:cs="Arial" w:eastAsia="Arial" w:hAnsi="Arial"/>
          <w:sz w:val="17"/>
          <w:szCs w:val="17"/>
          <w:color w:val="auto"/>
        </w:rPr>
        <w:t>. We seek to invest in portfolio companies that have developed defensible and/or leading</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within their respective markets or market niches and are well positioned to capitalize on growth opportunities. We favor companies that demonstrate significant competitive advantages, which we believe helps to protect their market position and profitability.</w:t>
      </w:r>
    </w:p>
    <w:p>
      <w:pPr>
        <w:spacing w:after="0" w:line="166"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 xml:space="preserve">Diversified Customer and Supplier Base. </w:t>
      </w:r>
      <w:r>
        <w:rPr>
          <w:rFonts w:ascii="Arial" w:cs="Arial" w:eastAsia="Arial" w:hAnsi="Arial"/>
          <w:sz w:val="18"/>
          <w:szCs w:val="18"/>
          <w:color w:val="auto"/>
        </w:rPr>
        <w:t>We prefer to invest in portfolio companies that have a diversified customer and supplier base.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 a diversified customer and supplier base are generally better able to endure economic downturns, industry consolidation and shifting customer preferences.</w:t>
      </w:r>
    </w:p>
    <w:p>
      <w:pPr>
        <w:spacing w:after="0" w:line="18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i w:val="1"/>
          <w:iCs w:val="1"/>
          <w:color w:val="auto"/>
        </w:rPr>
        <w:t>Significant Equity Value</w:t>
      </w:r>
      <w:r>
        <w:rPr>
          <w:rFonts w:ascii="Arial" w:cs="Arial" w:eastAsia="Arial" w:hAnsi="Arial"/>
          <w:sz w:val="17"/>
          <w:szCs w:val="17"/>
          <w:color w:val="auto"/>
        </w:rPr>
        <w:t>. We believe the existence of significant underlying equity value provides important support to our debt investments.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our debt investments, we look for portfolio companies where management/sponsors have provided significant equity funding and where we believe aggregate enterprise value significantly exceeds aggregate indebtedness, after consideration of our investment.</w:t>
      </w:r>
    </w:p>
    <w:p>
      <w:pPr>
        <w:spacing w:after="0" w:line="166"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i w:val="1"/>
          <w:iCs w:val="1"/>
          <w:color w:val="auto"/>
        </w:rPr>
        <w:t xml:space="preserve">Viable Exit Strategy. </w:t>
      </w:r>
      <w:r>
        <w:rPr>
          <w:rFonts w:ascii="Arial" w:cs="Arial" w:eastAsia="Arial" w:hAnsi="Arial"/>
          <w:sz w:val="18"/>
          <w:szCs w:val="18"/>
          <w:color w:val="auto"/>
        </w:rPr>
        <w:t>We invest in portfolio companies that we believe will provide steady cash flows to service our debt, ultimately repay our</w:t>
      </w:r>
      <w:r>
        <w:rPr>
          <w:rFonts w:ascii="Arial" w:cs="Arial" w:eastAsia="Arial" w:hAnsi="Arial"/>
          <w:sz w:val="18"/>
          <w:szCs w:val="18"/>
          <w:i w:val="1"/>
          <w:iCs w:val="1"/>
          <w:color w:val="auto"/>
        </w:rPr>
        <w:t xml:space="preserve"> </w:t>
      </w:r>
      <w:r>
        <w:rPr>
          <w:rFonts w:ascii="Arial" w:cs="Arial" w:eastAsia="Arial" w:hAnsi="Arial"/>
          <w:sz w:val="18"/>
          <w:szCs w:val="18"/>
          <w:color w:val="auto"/>
        </w:rPr>
        <w:t>loans and provide working capital for their respective businesses. In addition, we seek to invest in portfolio companies whose business models and expected future cash flows offer attractive exit possibilities for our portfolio equity investments. We expect to exit our investments typically through one of three scenarios: (a) the sale of the portfolio company resulting in repayment of all outstanding debt and monetization of equity; (b) the recapitalization of the portfolio company through which our investments are replaced with debt or equity from a third party or parties; or (c) the repayment of the initial or remaining principal amount of our debt investment from cash flow generated by the portfolio company. In some investments, there may be scheduled amortization of some portion of our debt investment that would result in a partial exit of our investment prior to the maturity of the debt investment.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Committee</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investment advisor has formed an investment committee to evaluate and approve all of our investments. The investment committee process is intended to bring the diverse experience and perspectives of the committee’s members to the analysis and consideration of each investment. The investment committee also serves to provide investment consistency and adherence to our investment advisor’s core investment philosophy and policies. The investment committee also determines appropriate investment sizing and suggests ongoing monitoring requirements.</w:t>
      </w:r>
    </w:p>
    <w:p>
      <w:pPr>
        <w:spacing w:after="0" w:line="17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members of the investment committee that evaluate and approve all of our investments are Edward H. Ross, Thomas C. Lauer, John H. Grigg, Robert G. Lesley, Jr., John J. Ross, II, Thomas J. Steiglehner, and W. Andrew Worth.</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investment advisor has developed the following investment process based on the experience of its investment professionals to identify investment opportunities and to structure investments quickly and effectively. Furthermore, our investment advisor seeks to identify those companies exhibiting superior fundamental risk-reward profiles and strong defensible business franchises while focusing on the relative value of the security in the portfolio company’s capital structure. The investment process consists of five distinct phases:</w:t>
      </w:r>
    </w:p>
    <w:p>
      <w:pPr>
        <w:spacing w:after="0" w:line="92" w:lineRule="exact"/>
        <w:rPr>
          <w:sz w:val="20"/>
          <w:szCs w:val="20"/>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Generation/Origination;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Initial Evaluation;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Diligence and Underwriting;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Documentation and Closing;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Active Portfolio Management.</w:t>
      </w:r>
    </w:p>
    <w:p>
      <w:pPr>
        <w:sectPr>
          <w:pgSz w:w="11900" w:h="16838" w:orient="portrait"/>
          <w:cols w:equalWidth="0" w:num="1">
            <w:col w:w="11200"/>
          </w:cols>
          <w:pgMar w:left="240" w:top="459" w:right="459" w:bottom="1440" w:gutter="0" w:footer="0" w:header="0"/>
        </w:sectPr>
      </w:pP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00"/>
          </w:cols>
          <w:pgMar w:left="240" w:top="459" w:right="4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phases is described in more detail below.</w:t>
      </w:r>
    </w:p>
    <w:p>
      <w:pPr>
        <w:spacing w:after="0" w:line="225"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i w:val="1"/>
          <w:iCs w:val="1"/>
          <w:color w:val="auto"/>
        </w:rPr>
        <w:t xml:space="preserve">Investment Generation/Origination. </w:t>
      </w:r>
      <w:r>
        <w:rPr>
          <w:rFonts w:ascii="Arial" w:cs="Arial" w:eastAsia="Arial" w:hAnsi="Arial"/>
          <w:sz w:val="17"/>
          <w:szCs w:val="17"/>
          <w:color w:val="auto"/>
        </w:rPr>
        <w:t>Our investment origination efforts are focused on leveraging our investment advisor’s extensive network of</w:t>
      </w:r>
      <w:r>
        <w:rPr>
          <w:rFonts w:ascii="Arial" w:cs="Arial" w:eastAsia="Arial" w:hAnsi="Arial"/>
          <w:sz w:val="17"/>
          <w:szCs w:val="17"/>
          <w:i w:val="1"/>
          <w:iCs w:val="1"/>
          <w:color w:val="auto"/>
        </w:rPr>
        <w:t xml:space="preserve"> </w:t>
      </w:r>
      <w:r>
        <w:rPr>
          <w:rFonts w:ascii="Arial" w:cs="Arial" w:eastAsia="Arial" w:hAnsi="Arial"/>
          <w:sz w:val="17"/>
          <w:szCs w:val="17"/>
          <w:color w:val="auto"/>
        </w:rPr>
        <w:t>long-standing relationships with private equity firms, middle-market senior lenders, junior-capital partners, financial intermediaries, service providers and management teams of privately owned businesses. We believe that our investment advisor’s investment professionals have reputations as reliable, responsive and value-added partners for lower middle-market companies. Our investment advisor’s focus and reputation as a value-added partner generates a balanced mix of proprietary deal flow and a steady stream of new deal opportunities.</w:t>
      </w:r>
    </w:p>
    <w:p>
      <w:pPr>
        <w:spacing w:after="0" w:line="173"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i w:val="1"/>
          <w:iCs w:val="1"/>
          <w:color w:val="auto"/>
        </w:rPr>
        <w:t xml:space="preserve">Initial Evaluation. </w:t>
      </w:r>
      <w:r>
        <w:rPr>
          <w:rFonts w:ascii="Arial" w:cs="Arial" w:eastAsia="Arial" w:hAnsi="Arial"/>
          <w:sz w:val="17"/>
          <w:szCs w:val="17"/>
          <w:color w:val="auto"/>
        </w:rPr>
        <w:t>After a potential transaction is received by our investment advisor, it will conduct an initial review of the transaction materials</w:t>
      </w:r>
      <w:r>
        <w:rPr>
          <w:rFonts w:ascii="Arial" w:cs="Arial" w:eastAsia="Arial" w:hAnsi="Arial"/>
          <w:sz w:val="17"/>
          <w:szCs w:val="17"/>
          <w:i w:val="1"/>
          <w:iCs w:val="1"/>
          <w:color w:val="auto"/>
        </w:rPr>
        <w:t xml:space="preserve"> </w:t>
      </w:r>
      <w:r>
        <w:rPr>
          <w:rFonts w:ascii="Arial" w:cs="Arial" w:eastAsia="Arial" w:hAnsi="Arial"/>
          <w:sz w:val="17"/>
          <w:szCs w:val="17"/>
          <w:color w:val="auto"/>
        </w:rPr>
        <w:t>to determine whether it meets our investment criteria and complies with SBA and other regulatory compliance requirements.</w:t>
      </w:r>
    </w:p>
    <w:p>
      <w:pPr>
        <w:spacing w:after="0" w:line="14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the potential transaction initially meets our investment criteria, at least two members of the investment committee, referred to as the deal team, will conduct a preliminary due diligence review, taking into consideration some or all of the following factors:</w:t>
      </w:r>
    </w:p>
    <w:p>
      <w:pPr>
        <w:spacing w:after="0" w:line="76" w:lineRule="exact"/>
        <w:rPr>
          <w:sz w:val="20"/>
          <w:szCs w:val="20"/>
          <w:color w:val="auto"/>
        </w:rPr>
      </w:pPr>
    </w:p>
    <w:p>
      <w:pPr>
        <w:ind w:left="1180" w:right="2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comprehensive financial model based on quantitative analysis of historical financial performance, projections and pro forma adjustments to determine a range of estimated internal rates of return.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initial call or meeting with the portfolio company management team, owner, private equity sponsor or other deal partner.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brief industry and market analysis, leveraging direct industry expertise from other investment professionals of our investment advisor.</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Preliminary qualitative analysis of the portfolio company management team’s competencies and backgrounds.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investment structures and pricing terms.</w:t>
      </w:r>
    </w:p>
    <w:p>
      <w:pPr>
        <w:spacing w:after="0" w:line="225"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Upon successful completion of the screening process, the deal team prepares a screening memorandum and makes a recommendation to the investment committee. At this time, the investment committee will also consider whether the investment would be made by FIC or through the Funds. If the investment committee supports the deal team’s recommendation, the deal team issues a non-binding term sheet to the potential portfolio company. Such a term sheet will typically include the key economic terms based on our analysis conducted during the screening process. Upon agreement on a term sheet with the potential portfolio company, our investment advisor will begin a formal diligence and underwriting process.</w:t>
      </w:r>
    </w:p>
    <w:p>
      <w:pPr>
        <w:spacing w:after="0" w:line="15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i w:val="1"/>
          <w:iCs w:val="1"/>
          <w:color w:val="auto"/>
        </w:rPr>
        <w:t xml:space="preserve">Due Diligence and Underwriting. </w:t>
      </w:r>
      <w:r>
        <w:rPr>
          <w:rFonts w:ascii="Arial" w:cs="Arial" w:eastAsia="Arial" w:hAnsi="Arial"/>
          <w:sz w:val="18"/>
          <w:szCs w:val="18"/>
          <w:color w:val="auto"/>
        </w:rPr>
        <w:t>Our investment advisor has developed a rigorous and disciplined due diligence process that includes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understanding of a borrower’s industry, market, operational, financial, organizational and legal positions and prospects. The due diligence review will take into account information that the deal team deems necessary to make an informed decision about the creditworthiness of the borrower and the risks of the investment, which includes some or all of the following:</w:t>
      </w:r>
    </w:p>
    <w:p>
      <w:pPr>
        <w:spacing w:after="0" w:line="92" w:lineRule="exact"/>
        <w:rPr>
          <w:sz w:val="20"/>
          <w:szCs w:val="20"/>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Initial or additional site visits and facility tours with management and key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of the business history, operations and strategy.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depth review of industry and competition.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Analysis of key customers and suppliers, including review of any concentrations and key contracts.</w:t>
      </w:r>
    </w:p>
    <w:p>
      <w:pPr>
        <w:spacing w:after="0" w:line="130" w:lineRule="exact"/>
        <w:rPr>
          <w:rFonts w:ascii="Arial" w:cs="Arial" w:eastAsia="Arial" w:hAnsi="Arial"/>
          <w:sz w:val="18"/>
          <w:szCs w:val="18"/>
          <w:color w:val="auto"/>
        </w:rPr>
      </w:pPr>
    </w:p>
    <w:p>
      <w:pPr>
        <w:ind w:left="1180" w:right="440" w:hanging="436"/>
        <w:spacing w:after="0" w:line="342"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Detailed review of historical and projected financial statements, including a review of at least three years of performance (annual and monthly), key financial ratios, revenue, expense and profitability drivers and sensitivities to management’s financial projections.</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Detailed evaluation of company management, including background checks.</w:t>
      </w:r>
    </w:p>
    <w:p>
      <w:pPr>
        <w:spacing w:after="0" w:line="130" w:lineRule="exact"/>
        <w:rPr>
          <w:rFonts w:ascii="Arial" w:cs="Arial" w:eastAsia="Arial" w:hAnsi="Arial"/>
          <w:sz w:val="18"/>
          <w:szCs w:val="18"/>
          <w:color w:val="auto"/>
        </w:rPr>
      </w:pPr>
    </w:p>
    <w:p>
      <w:pPr>
        <w:ind w:left="1180" w:right="54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party reviews of accounting, environmental, legal, insurance, material contracts, competition, industry and market studies and interviews with customers and suppliers, (each as appropriate).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sponsor diligence, if applicable, including portfolio company and other reference checks.</w:t>
      </w:r>
    </w:p>
    <w:p>
      <w:pPr>
        <w:spacing w:after="0" w:line="225"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During the due diligence process, significant attention is given to sensitivity analyses and how the portfolio company might be expected to perform given various scenarios, including downside, “base case” and upside. Upon satisfactory completion of the due diligence review process, the deal team will present their findings and a recommendation to the investment committee. If the investment committee supports the deal team’s recommendation, the deal team will proceed with negotiating and documenting the investment.</w:t>
      </w:r>
    </w:p>
    <w:p>
      <w:pPr>
        <w:spacing w:after="0" w:line="1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Documentation and Closing. </w:t>
      </w:r>
      <w:r>
        <w:rPr>
          <w:rFonts w:ascii="Arial" w:cs="Arial" w:eastAsia="Arial" w:hAnsi="Arial"/>
          <w:sz w:val="18"/>
          <w:szCs w:val="18"/>
          <w:color w:val="auto"/>
        </w:rPr>
        <w:t>Our investment advisor works with the management of a potential portfolio company and its other capital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as applicable, senior, junior and equity capital providers to structure an investment. Our investment advisor structures each investment with an acute focus on capital preservation and will tailor the terms of each investment to the facts and circumstances of the transaction and the prospective portfolio company. We seek to limit the downside of our investments by:</w:t>
      </w:r>
    </w:p>
    <w:p>
      <w:pPr>
        <w:sectPr>
          <w:pgSz w:w="11900" w:h="16838" w:orient="portrait"/>
          <w:cols w:equalWidth="0" w:num="1">
            <w:col w:w="11220"/>
          </w:cols>
          <w:pgMar w:left="240" w:top="459" w:right="439" w:bottom="1440" w:gutter="0" w:footer="0" w:header="0"/>
        </w:sectPr>
      </w:pP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20"/>
          </w:cols>
          <w:pgMar w:left="24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4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Targeting an optimal total return on our investments (including a combination of current and deferred interest, prepayment penalties and equity participation) that compensates us for credit risk.</w:t>
      </w:r>
    </w:p>
    <w:p>
      <w:pPr>
        <w:spacing w:after="0" w:line="75" w:lineRule="exact"/>
        <w:rPr>
          <w:rFonts w:ascii="Arial" w:cs="Arial" w:eastAsia="Arial" w:hAnsi="Arial"/>
          <w:sz w:val="18"/>
          <w:szCs w:val="18"/>
          <w:color w:val="auto"/>
        </w:rPr>
      </w:pPr>
    </w:p>
    <w:p>
      <w:pPr>
        <w:ind w:left="1180" w:right="20" w:hanging="436"/>
        <w:spacing w:after="0" w:line="259"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yet consistent with preservation of our capital. Such restrictions may include affirmative and negative covenants, default penalties, lien protection, change of control provisions and board rights, including either board observation or rights to a seat on the board under some circumstances.</w:t>
      </w:r>
    </w:p>
    <w:p>
      <w:pPr>
        <w:spacing w:after="0" w:line="92" w:lineRule="exact"/>
        <w:rPr>
          <w:rFonts w:ascii="Arial" w:cs="Arial" w:eastAsia="Arial" w:hAnsi="Arial"/>
          <w:sz w:val="18"/>
          <w:szCs w:val="18"/>
          <w:color w:val="auto"/>
        </w:rPr>
      </w:pPr>
    </w:p>
    <w:p>
      <w:pPr>
        <w:ind w:left="1180" w:right="80" w:hanging="436"/>
        <w:spacing w:after="0" w:line="293"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Structuring financial covenants and terms in our debt investments that require a portfolio company to reduce leverage over time, thereby mitigating the risk of loss and increasing the likelihood of achieving targeted returns on investment. These methods may include, among others: leverage covenants requiring a decreasing ratio of debt to cash flow; cash flow covenants requiring an increasing ratio of cash flow to interest expense and possibly other cash expenses such as capital expenditures, cash taxes and mandatory principal payments; and debt incurrence prohibitions, or limiting a company’s ability to relever its balance sheet. In addition, limitations on asset sales and capital expenditures prevent a company from changing the nature of its business or capitalization without our consent.</w:t>
      </w:r>
    </w:p>
    <w:p>
      <w:pPr>
        <w:spacing w:after="0" w:line="165"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We expect to hold most of our investments to maturity or repayment, but may exit our investments earlier if a liquidity event takes place, such as a sale or recapitalization of a portfolio company, or if we determine that a sale of one or more of our investments is in our best interest.</w:t>
      </w:r>
    </w:p>
    <w:p>
      <w:pPr>
        <w:spacing w:after="0" w:line="14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i w:val="1"/>
          <w:iCs w:val="1"/>
          <w:color w:val="auto"/>
        </w:rPr>
        <w:t>Active Portfolio Management</w:t>
      </w:r>
      <w:r>
        <w:rPr>
          <w:rFonts w:ascii="Arial" w:cs="Arial" w:eastAsia="Arial" w:hAnsi="Arial"/>
          <w:sz w:val="18"/>
          <w:szCs w:val="18"/>
          <w:color w:val="auto"/>
        </w:rPr>
        <w:t>. Active portfolio monitoring is a vital part of our investment process and we continuously monitor the status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of the portfolio companies. The same deal team that was involved in the investment process will continue its involvement in the portfolio company post-investment. This provides for continuity of knowledge and allows the deal team to maintain a strong business relationship with key management of its portfolio companies for post-investment assistance and monitoring purposes.</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part of the monitoring process, the deal team conducts a comprehensive review of the financial and operating results of each portfolio company that includes a review of the monthly/quarterly financials relative to prior year and budget, a review of the financial projections including cash flow and liquidity needs, meeting with management, attending board meetings and reviewing compliance certificates and covenants. We maintain an ongoing dialogue with the management and any controlling equity holders of a portfolio company that will include discussions about the company’s business plans and growth opportunities and any changes in industry and competitive dynamics. While we maintain limited involvement in the ordinary course operations of our portfolio companies, we may maintain a higher level of involvement in non-ordinary course financing or strategic activities and any non-performing scenarios. Our investment advisor’s portfolio management will also include quarterly portfolio reviews with all investment professionals and investment committee members.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Rating System</w:t>
      </w:r>
    </w:p>
    <w:p>
      <w:pPr>
        <w:spacing w:after="0" w:line="121"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7" w:lineRule="exact"/>
        <w:rPr>
          <w:sz w:val="20"/>
          <w:szCs w:val="20"/>
          <w:color w:val="auto"/>
        </w:rPr>
      </w:pPr>
    </w:p>
    <w:p>
      <w:pPr>
        <w:ind w:left="1180" w:right="340" w:hanging="436"/>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86" w:lineRule="exact"/>
        <w:rPr>
          <w:rFonts w:ascii="Arial" w:cs="Arial" w:eastAsia="Arial" w:hAnsi="Arial"/>
          <w:sz w:val="18"/>
          <w:szCs w:val="18"/>
          <w:color w:val="auto"/>
        </w:rPr>
      </w:pPr>
    </w:p>
    <w:p>
      <w:pPr>
        <w:jc w:val="both"/>
        <w:ind w:left="1180" w:right="60" w:hanging="436"/>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risks factors are neutral or favorable. Each new portfolio investment enters our portfolio with Investment Rating 2.</w:t>
      </w:r>
    </w:p>
    <w:p>
      <w:pPr>
        <w:spacing w:after="0" w:line="86" w:lineRule="exact"/>
        <w:rPr>
          <w:rFonts w:ascii="Arial" w:cs="Arial" w:eastAsia="Arial" w:hAnsi="Arial"/>
          <w:sz w:val="18"/>
          <w:szCs w:val="18"/>
          <w:color w:val="auto"/>
        </w:rPr>
      </w:pPr>
    </w:p>
    <w:p>
      <w:pPr>
        <w:ind w:left="1180" w:right="220" w:hanging="436"/>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86" w:lineRule="exact"/>
        <w:rPr>
          <w:rFonts w:ascii="Arial" w:cs="Arial" w:eastAsia="Arial" w:hAnsi="Arial"/>
          <w:sz w:val="18"/>
          <w:szCs w:val="18"/>
          <w:color w:val="auto"/>
        </w:rPr>
      </w:pPr>
    </w:p>
    <w:p>
      <w:pPr>
        <w:ind w:left="1180" w:right="460" w:hanging="436"/>
        <w:spacing w:after="0" w:line="308"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Investment Rating 4 is used for investments performing materially below our expectations and the risk has increased materially since origination. The investment has the potential for some loss of investment return, but we expect no loss of principal.</w:t>
      </w:r>
    </w:p>
    <w:p>
      <w:pPr>
        <w:spacing w:after="0" w:line="51" w:lineRule="exact"/>
        <w:rPr>
          <w:rFonts w:ascii="Arial" w:cs="Arial" w:eastAsia="Arial" w:hAnsi="Arial"/>
          <w:sz w:val="17"/>
          <w:szCs w:val="17"/>
          <w:color w:val="auto"/>
        </w:rPr>
      </w:pPr>
    </w:p>
    <w:p>
      <w:pPr>
        <w:ind w:left="1180" w:right="34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and cost as of December 31, 2019 and 2018 (dollars in millions).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Investment Rating</w:t>
            </w:r>
          </w:p>
        </w:tc>
        <w:tc>
          <w:tcPr>
            <w:tcW w:w="4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5"/>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1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5"/>
          </w:tcPr>
          <w:p>
            <w:pPr>
              <w:jc w:val="center"/>
              <w:ind w:right="368"/>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1060" w:type="dxa"/>
            <w:vAlign w:val="bottom"/>
            <w:gridSpan w:val="4"/>
          </w:tcPr>
          <w:p>
            <w:pPr>
              <w:jc w:val="center"/>
              <w:ind w:right="1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60" w:type="dxa"/>
            <w:vAlign w:val="bottom"/>
            <w:gridSpan w:val="2"/>
            <w:vMerge w:val="continue"/>
          </w:tcPr>
          <w:p>
            <w:pPr>
              <w:spacing w:after="0"/>
              <w:rPr>
                <w:sz w:val="13"/>
                <w:szCs w:val="13"/>
                <w:color w:val="auto"/>
              </w:rPr>
            </w:pPr>
          </w:p>
        </w:tc>
        <w:tc>
          <w:tcPr>
            <w:tcW w:w="4780" w:type="dxa"/>
            <w:vAlign w:val="bottom"/>
            <w:gridSpan w:val="5"/>
          </w:tcPr>
          <w:p>
            <w:pPr>
              <w:jc w:val="right"/>
              <w:ind w:right="20"/>
              <w:spacing w:after="0" w:line="158"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4"/>
          </w:tcPr>
          <w:p>
            <w:pPr>
              <w:jc w:val="right"/>
              <w:ind w:right="20"/>
              <w:spacing w:after="0" w:line="158"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right"/>
              <w:ind w:right="20"/>
              <w:spacing w:after="0" w:line="158"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4040" w:type="dxa"/>
            <w:vAlign w:val="bottom"/>
            <w:gridSpan w:val="2"/>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404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$ 100.1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13.1%</w:t>
            </w:r>
          </w:p>
        </w:tc>
        <w:tc>
          <w:tcPr>
            <w:tcW w:w="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$ 123.8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19.2%</w:t>
            </w:r>
          </w:p>
        </w:tc>
        <w:tc>
          <w:tcPr>
            <w:tcW w:w="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8"/>
              <w:spacing w:after="0" w:line="203"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w:t>
            </w:r>
          </w:p>
        </w:tc>
        <w:tc>
          <w:tcPr>
            <w:tcW w:w="4600" w:type="dxa"/>
            <w:vAlign w:val="bottom"/>
            <w:gridSpan w:val="3"/>
          </w:tcPr>
          <w:p>
            <w:pPr>
              <w:jc w:val="right"/>
              <w:spacing w:after="0"/>
              <w:rPr>
                <w:sz w:val="20"/>
                <w:szCs w:val="20"/>
                <w:color w:val="auto"/>
              </w:rPr>
            </w:pPr>
            <w:r>
              <w:rPr>
                <w:rFonts w:ascii="Arial" w:cs="Arial" w:eastAsia="Arial" w:hAnsi="Arial"/>
                <w:sz w:val="18"/>
                <w:szCs w:val="18"/>
                <w:color w:val="auto"/>
              </w:rPr>
              <w:t>580.5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570.1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396.2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4</w:t>
            </w:r>
          </w:p>
        </w:tc>
        <w:tc>
          <w:tcPr>
            <w:tcW w:w="46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$ 766.9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$ 643.0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704.5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ind w:right="108"/>
              <w:spacing w:after="0"/>
              <w:rPr>
                <w:sz w:val="20"/>
                <w:szCs w:val="20"/>
                <w:color w:val="auto"/>
              </w:rPr>
            </w:pPr>
            <w:r>
              <w:rPr>
                <w:rFonts w:ascii="Arial" w:cs="Arial" w:eastAsia="Arial" w:hAnsi="Arial"/>
                <w:sz w:val="18"/>
                <w:szCs w:val="18"/>
                <w:color w:val="auto"/>
                <w:w w:val="88"/>
              </w:rPr>
              <w:t>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598.8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Based on our investment rating system, the weighted average rating of our portfolio as of December 31, 2019 and 2018 was 2.0 and 2.0, respectively, on a fair value basis and 2.1 and 2.2, respectively, on a cost basis.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 of Net Asset Value and Valuation Process</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determine the net asset value per share of our common stock on at least a quarterly basis, and more frequently if we are required to do so in connection with the issuance of shares of our common stock or pursuant to applicable federal laws and regulations. The net asset value per share of common stock is equal to the carrying value of our total assets minus liabilities and any preferred stock outstanding divided by the total number of shares of common stock outstanding. Our business plan calls for us to invest primarily in illiquid securities issued by private companies. These portfolio investments may be subject to restrictions on resale and will generally have no established trading market. Because there is not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in accordance with authoritative accounting guidelines. See “Management’s Discussion and Analysis of Financial Condition and Results of Operations – Critical Accounting Policies and Use of Estimates – Valuation of Portfolio Investments.”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primary competitors in providing financing to lower middle-market companies include public and private funds, other BDCs, SBICs,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maintain our RIC status.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use the expertise of the investment professionals of our investment advisor to assess investment risks and determine appropriate pricing for our investments in portfolio companies. In addition, the relationships of the investment professionals of our investment advisor enable us to learn about, and compete effectively for, financing opportunities with attractive lower middle-market companies in the industries in which we seek to invest.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do not have any direct employees, and our day-to-day investment operations are managed by our investment advisor, which is also acting as our administrator. We have a chief executive officer, president, chief financial officer and chief compliance officer and, to the extent necessary, our board of directors may elect to hire additional personnel going forward. Our officers are employees of, and are compensated by, our investment advisor, and our allocable portion of the cost of our chief financial officer and chief compliance officer and their respective staffs are paid by us pursuant to the Administration Agreement. Some of our executive officers are also officers of our investment advisor. See “Management and Other Agreements — Administration Agreement.”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AND OTHER AGREEMENTS</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Our investment advisor is located at 1603 Orrington Avenue, Suite 1005, Evanston, Illinois 60201. Our investment advisor also maintains additional office space at 227 West Trade Street Suite 1910, Charlotte, North Carolina 28202, and 1140 Avenue of the Americas, Suite 1500, New York, New York 10036. Our investment advisor is registered as an investment adviser under the Advisers Act. Subject to the overall supervision of our board of directors and in accordance with the 1940 Act, our investment advisor manages our day-to-day operations and provides investment advisory services to us. Under the terms of the Investment Advisory Agreement, our investment advisor:</w:t>
      </w:r>
    </w:p>
    <w:p>
      <w:pPr>
        <w:sectPr>
          <w:pgSz w:w="11900" w:h="16838" w:orient="portrait"/>
          <w:cols w:equalWidth="0" w:num="1">
            <w:col w:w="11240"/>
          </w:cols>
          <w:pgMar w:left="240" w:top="459" w:right="419" w:bottom="1440" w:gutter="0" w:footer="0" w:header="0"/>
        </w:sectPr>
      </w:pP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240" w:top="459" w:right="4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32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53" w:lineRule="exact"/>
        <w:rPr>
          <w:rFonts w:ascii="Arial" w:cs="Arial" w:eastAsia="Arial" w:hAnsi="Arial"/>
          <w:sz w:val="16"/>
          <w:szCs w:val="16"/>
          <w:color w:val="auto"/>
        </w:rPr>
      </w:pPr>
    </w:p>
    <w:p>
      <w:pPr>
        <w:ind w:left="640" w:hanging="32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assists us in determining what securities we purchase, retain or sell;</w:t>
      </w:r>
    </w:p>
    <w:p>
      <w:pPr>
        <w:spacing w:after="0" w:line="130" w:lineRule="exact"/>
        <w:rPr>
          <w:rFonts w:ascii="Arial" w:cs="Arial" w:eastAsia="Arial" w:hAnsi="Arial"/>
          <w:sz w:val="18"/>
          <w:szCs w:val="18"/>
          <w:color w:val="auto"/>
        </w:rPr>
      </w:pPr>
    </w:p>
    <w:p>
      <w:pPr>
        <w:ind w:left="640" w:right="360" w:hanging="328"/>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executes, closes, services and monitors the investments we make.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Advisory Agreement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Fee</w:t>
      </w:r>
    </w:p>
    <w:p>
      <w:pPr>
        <w:spacing w:after="0" w:line="11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Pursuant to the Investment Advisory Agreement, we pay our investment advisor a fee for investment advisory and management services consisting of two components — a base management fee and an incentive fee.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Base Management Fee</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base management fee is calculated at an annual rate of 1.75% based on the average value of our total assets (other than cash or cash equivalents but including assets purchased with borrowed amounts) at the end of the two most recently completed calendar quarters, and appropriately adjusted for any share issuances or repurchases during the current calendar quarter. Base management fees for any partial quarter are appropriately prorated. The base management fee is payable quarterly in arrears.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Incentive Fee</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our pre-incentive fee net investment income for the quarter. Pre-incentive fee net investment income means interest income, dividend income and any other income (including any other fees such as commitment, origination, structuring, diligence and consulting fees or other fees that we receive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we have not yet received in cash. The Investment Advisor is not under any obligation to reimburse us for any part of the incentive fee it receives that was based on accrued interest that we never collect.</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unrealized capital appreciation or depreciation or realized losses on extinguishment of debt. Because of the structure of the incentive fee, it is possible that we may pay an incentive fee in a quarter where we incur a loss. For example, if we generate pre-incentive fee net investment income in excess of the hurdle rate (as defined below) for a quarter, we will pay the applicable incentive fee even if we have incurred a loss in that quarter due to a net loss on investments or realized losses on extinguishment of debt.</w:t>
      </w:r>
    </w:p>
    <w:p>
      <w:pPr>
        <w:spacing w:after="0" w:line="18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Pre-incentive fee net investment income, expressed as a rate of return on the value of our weighted average net assets (defined as total assets less indebtedness and before taking into account any incentive fees payable during the period) at the end of the immediately preceding calendar quarter, is compared to a fixed “hurdle rate” of 2.0% per quarter. If market interest rates rise, we may be able to invest our funds in debt instruments that provide for a higher return, which would increase our pre-incentive fee net investment income and make it easier for our investment advisor to surpass the fixed hurdle rate and receive an incentive fee based on such net investment income.</w:t>
      </w:r>
    </w:p>
    <w:p>
      <w:pPr>
        <w:spacing w:after="0" w:line="173"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pay our investment advisor an incentive fee with respect to our pre-incentive fee net investment income earned in each calendar quarter as follows:</w:t>
      </w:r>
    </w:p>
    <w:p>
      <w:pPr>
        <w:spacing w:after="0" w:line="76" w:lineRule="exact"/>
        <w:rPr>
          <w:sz w:val="20"/>
          <w:szCs w:val="20"/>
          <w:color w:val="auto"/>
        </w:rPr>
      </w:pPr>
    </w:p>
    <w:p>
      <w:pPr>
        <w:ind w:left="1620" w:right="380" w:hanging="322"/>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rate of 2.0%;</w:t>
      </w:r>
    </w:p>
    <w:p>
      <w:pPr>
        <w:spacing w:after="0" w:line="75" w:lineRule="exact"/>
        <w:rPr>
          <w:rFonts w:ascii="Arial" w:cs="Arial" w:eastAsia="Arial" w:hAnsi="Arial"/>
          <w:sz w:val="18"/>
          <w:szCs w:val="18"/>
          <w:color w:val="auto"/>
        </w:rPr>
      </w:pPr>
    </w:p>
    <w:p>
      <w:pPr>
        <w:jc w:val="both"/>
        <w:ind w:left="1620" w:right="80" w:hanging="322"/>
        <w:spacing w:after="0" w:line="25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100.0% of our pre-incentive fee net investment income with respect to that portion of such pre-incentive fee net investment income, if any, that exceeds the hurdle rate but is less than 2.5% in any calendar quarter. We refer to this portion of our pre-incentive fee net investment income (that exceeds the hurdle rate but is less than 2.5%) as the “catch-up” provision. The catch-up is meant to provide our investment advisor with 20.0% of the pre-incentive fee net investment income as if a hurdle rate did not apply if net investment income exceeds 2.5% in any calendar quarter; and</w:t>
      </w:r>
    </w:p>
    <w:p>
      <w:pPr>
        <w:spacing w:after="0" w:line="93" w:lineRule="exact"/>
        <w:rPr>
          <w:rFonts w:ascii="Arial" w:cs="Arial" w:eastAsia="Arial" w:hAnsi="Arial"/>
          <w:sz w:val="18"/>
          <w:szCs w:val="18"/>
          <w:color w:val="auto"/>
        </w:rPr>
      </w:pPr>
    </w:p>
    <w:p>
      <w:pPr>
        <w:ind w:left="1620" w:hanging="322"/>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20.0% of the amount of our pre-incentive fee net investment income, if any, that exceeds 2.5% in any calendar quarter.</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These calculations are appropriately prorated for any period of less than three months and adjusted for any share issuances or repurchases during the current quarter.</w:t>
      </w:r>
    </w:p>
    <w:p>
      <w:pPr>
        <w:sectPr>
          <w:pgSz w:w="11900" w:h="16838" w:orient="portrait"/>
          <w:cols w:equalWidth="0" w:num="1">
            <w:col w:w="11200"/>
          </w:cols>
          <w:pgMar w:left="240" w:top="459" w:right="459" w:bottom="1440" w:gutter="0" w:footer="0" w:header="0"/>
        </w:sectPr>
      </w:pP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240" w:top="459"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graphical representation of the calculation of the quarterly income-related portion of the incentive fee:</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Quarterly Incentive Fee Based on Pre-Incentive Fee Net Investment Income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21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IPO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We accrue, but do not pay, a capital gains incentive fee in connection with any unrealized capital appreciation, as appropriate.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 1: Income Related Portion of Incentive Fee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Alternative 1</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Hurdle rate </w:t>
      </w:r>
      <w:r>
        <w:rPr>
          <w:rFonts w:ascii="Arial" w:cs="Arial" w:eastAsia="Arial" w:hAnsi="Arial"/>
          <w:sz w:val="15"/>
          <w:szCs w:val="15"/>
          <w:color w:val="auto"/>
        </w:rPr>
        <w:t>(1)</w:t>
      </w:r>
      <w:r>
        <w:rPr>
          <w:rFonts w:ascii="Arial" w:cs="Arial" w:eastAsia="Arial" w:hAnsi="Arial"/>
          <w:sz w:val="18"/>
          <w:szCs w:val="18"/>
          <w:color w:val="auto"/>
        </w:rPr>
        <w:t xml:space="preserve"> = 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15"/>
          <w:szCs w:val="15"/>
          <w:color w:val="auto"/>
        </w:rPr>
        <w:t>(2)</w:t>
      </w:r>
      <w:r>
        <w:rPr>
          <w:rFonts w:ascii="Arial" w:cs="Arial" w:eastAsia="Arial" w:hAnsi="Arial"/>
          <w:sz w:val="18"/>
          <w:szCs w:val="18"/>
          <w:color w:val="auto"/>
        </w:rPr>
        <w:t xml:space="preserve"> = 0.4375%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Other expenses (administrative service expenses, legal, accounting, custodian, transfer agent, etc.) </w:t>
      </w:r>
      <w:r>
        <w:rPr>
          <w:rFonts w:ascii="Arial" w:cs="Arial" w:eastAsia="Arial" w:hAnsi="Arial"/>
          <w:sz w:val="15"/>
          <w:szCs w:val="15"/>
          <w:color w:val="auto"/>
        </w:rPr>
        <w:t>(3)</w:t>
      </w:r>
      <w:r>
        <w:rPr>
          <w:rFonts w:ascii="Arial" w:cs="Arial" w:eastAsia="Arial" w:hAnsi="Arial"/>
          <w:sz w:val="18"/>
          <w:szCs w:val="18"/>
          <w:color w:val="auto"/>
        </w:rPr>
        <w:t xml:space="preserve"> = 0.2%</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23" w:lineRule="exact"/>
        <w:rPr>
          <w:sz w:val="20"/>
          <w:szCs w:val="20"/>
          <w:color w:val="auto"/>
        </w:rPr>
      </w:pPr>
    </w:p>
    <w:p>
      <w:pPr>
        <w:ind w:left="640" w:right="1920"/>
        <w:spacing w:after="0" w:line="386" w:lineRule="auto"/>
        <w:rPr>
          <w:sz w:val="20"/>
          <w:szCs w:val="20"/>
          <w:color w:val="auto"/>
        </w:rPr>
      </w:pPr>
      <w:r>
        <w:rPr>
          <w:rFonts w:ascii="Arial" w:cs="Arial" w:eastAsia="Arial" w:hAnsi="Arial"/>
          <w:sz w:val="18"/>
          <w:szCs w:val="18"/>
          <w:color w:val="auto"/>
        </w:rPr>
        <w:t>(investment income – (management fee + other expenses)) = 0.6125% Pre-incentive fee net investment income does not exceed hurdle rate, therefore there is no income-related incentive fee.</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Alternative 2</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2.9%</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Hurdle rate </w:t>
      </w:r>
      <w:r>
        <w:rPr>
          <w:rFonts w:ascii="Arial" w:cs="Arial" w:eastAsia="Arial" w:hAnsi="Arial"/>
          <w:sz w:val="15"/>
          <w:szCs w:val="15"/>
          <w:color w:val="auto"/>
        </w:rPr>
        <w:t>(1)</w:t>
      </w:r>
      <w:r>
        <w:rPr>
          <w:rFonts w:ascii="Arial" w:cs="Arial" w:eastAsia="Arial" w:hAnsi="Arial"/>
          <w:sz w:val="18"/>
          <w:szCs w:val="18"/>
          <w:color w:val="auto"/>
        </w:rPr>
        <w:t xml:space="preserve"> = 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15"/>
          <w:szCs w:val="15"/>
          <w:color w:val="auto"/>
        </w:rPr>
        <w:t>(2)</w:t>
      </w:r>
      <w:r>
        <w:rPr>
          <w:rFonts w:ascii="Arial" w:cs="Arial" w:eastAsia="Arial" w:hAnsi="Arial"/>
          <w:sz w:val="18"/>
          <w:szCs w:val="18"/>
          <w:color w:val="auto"/>
        </w:rPr>
        <w:t xml:space="preserve"> = 0.4375%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Other expenses (administrative service expenses, legal, accounting, custodian, transfer agent, etc.) </w:t>
      </w:r>
      <w:r>
        <w:rPr>
          <w:rFonts w:ascii="Arial" w:cs="Arial" w:eastAsia="Arial" w:hAnsi="Arial"/>
          <w:sz w:val="15"/>
          <w:szCs w:val="15"/>
          <w:color w:val="auto"/>
        </w:rPr>
        <w:t>(3)</w:t>
      </w:r>
      <w:r>
        <w:rPr>
          <w:rFonts w:ascii="Arial" w:cs="Arial" w:eastAsia="Arial" w:hAnsi="Arial"/>
          <w:sz w:val="18"/>
          <w:szCs w:val="18"/>
          <w:color w:val="auto"/>
        </w:rPr>
        <w:t xml:space="preserve"> = 0.2%</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 (management fee + other expenses)) = 2.2625%</w:t>
      </w:r>
    </w:p>
    <w:p>
      <w:pPr>
        <w:spacing w:after="0" w:line="158"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xml:space="preserve">= 100.0% × pre-incentive fee net investment income (subject to “catch-up”) </w:t>
      </w:r>
      <w:r>
        <w:rPr>
          <w:rFonts w:ascii="Arial" w:cs="Arial" w:eastAsia="Arial" w:hAnsi="Arial"/>
          <w:sz w:val="13"/>
          <w:szCs w:val="13"/>
          <w:color w:val="auto"/>
        </w:rPr>
        <w:t>(4)</w:t>
      </w:r>
    </w:p>
    <w:p>
      <w:pPr>
        <w:spacing w:after="0" w:line="23" w:lineRule="exact"/>
        <w:rPr>
          <w:sz w:val="20"/>
          <w:szCs w:val="20"/>
          <w:color w:val="auto"/>
        </w:rPr>
      </w:pPr>
    </w:p>
    <w:p>
      <w:pPr>
        <w:ind w:left="2060" w:hanging="141"/>
        <w:spacing w:after="0"/>
        <w:tabs>
          <w:tab w:leader="none" w:pos="2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100.0% × (2.2625% – 2.0%)</w:t>
      </w:r>
    </w:p>
    <w:p>
      <w:pPr>
        <w:spacing w:after="0" w:line="9" w:lineRule="exact"/>
        <w:rPr>
          <w:rFonts w:ascii="Arial" w:cs="Arial" w:eastAsia="Arial" w:hAnsi="Arial"/>
          <w:sz w:val="18"/>
          <w:szCs w:val="18"/>
          <w:color w:val="auto"/>
        </w:rPr>
      </w:pPr>
    </w:p>
    <w:p>
      <w:pPr>
        <w:ind w:left="2060" w:hanging="141"/>
        <w:spacing w:after="0"/>
        <w:tabs>
          <w:tab w:leader="none" w:pos="2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0.2625%</w:t>
      </w:r>
    </w:p>
    <w:p>
      <w:pPr>
        <w:sectPr>
          <w:pgSz w:w="11900" w:h="16838" w:orient="portrait"/>
          <w:cols w:equalWidth="0" w:num="1">
            <w:col w:w="11160"/>
          </w:cols>
          <w:pgMar w:left="240" w:top="459" w:right="499" w:bottom="1440" w:gutter="0" w:footer="0" w:header="0"/>
        </w:sectPr>
      </w:pP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60"/>
          </w:cols>
          <w:pgMar w:left="240" w:top="459" w:right="4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0.2625%.</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Alternative 3</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Hurdle rate </w:t>
      </w:r>
      <w:r>
        <w:rPr>
          <w:rFonts w:ascii="Arial" w:cs="Arial" w:eastAsia="Arial" w:hAnsi="Arial"/>
          <w:sz w:val="15"/>
          <w:szCs w:val="15"/>
          <w:color w:val="auto"/>
        </w:rPr>
        <w:t>(1)</w:t>
      </w:r>
      <w:r>
        <w:rPr>
          <w:rFonts w:ascii="Arial" w:cs="Arial" w:eastAsia="Arial" w:hAnsi="Arial"/>
          <w:sz w:val="18"/>
          <w:szCs w:val="18"/>
          <w:color w:val="auto"/>
        </w:rPr>
        <w:t xml:space="preserve"> = 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Management fee </w:t>
      </w:r>
      <w:r>
        <w:rPr>
          <w:rFonts w:ascii="Arial" w:cs="Arial" w:eastAsia="Arial" w:hAnsi="Arial"/>
          <w:sz w:val="15"/>
          <w:szCs w:val="15"/>
          <w:color w:val="auto"/>
        </w:rPr>
        <w:t>(2)</w:t>
      </w:r>
      <w:r>
        <w:rPr>
          <w:rFonts w:ascii="Arial" w:cs="Arial" w:eastAsia="Arial" w:hAnsi="Arial"/>
          <w:sz w:val="18"/>
          <w:szCs w:val="18"/>
          <w:color w:val="auto"/>
        </w:rPr>
        <w:t xml:space="preserve"> = 0.4375%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Other expenses (administrative service expenses, legal, accounting, custodian, transfer agent, etc.) </w:t>
      </w:r>
      <w:r>
        <w:rPr>
          <w:rFonts w:ascii="Arial" w:cs="Arial" w:eastAsia="Arial" w:hAnsi="Arial"/>
          <w:sz w:val="15"/>
          <w:szCs w:val="15"/>
          <w:color w:val="auto"/>
        </w:rPr>
        <w:t>(3)</w:t>
      </w:r>
      <w:r>
        <w:rPr>
          <w:rFonts w:ascii="Arial" w:cs="Arial" w:eastAsia="Arial" w:hAnsi="Arial"/>
          <w:sz w:val="18"/>
          <w:szCs w:val="18"/>
          <w:color w:val="auto"/>
        </w:rPr>
        <w:t xml:space="preserve"> = 0.2%</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 (management fee + other expenses)) = 2.8625%</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Incentive fee = 100.0% × pre-incentive fee net investment income (subject to “catch-up”) </w:t>
      </w:r>
      <w:r>
        <w:rPr>
          <w:rFonts w:ascii="Arial" w:cs="Arial" w:eastAsia="Arial" w:hAnsi="Arial"/>
          <w:sz w:val="15"/>
          <w:szCs w:val="15"/>
          <w:color w:val="auto"/>
        </w:rPr>
        <w:t>(4)</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Incentive fee = 100.0% × “catch-up” + (20.0% × (pre-incentive fee net investment income – 2.5%))</w:t>
      </w:r>
    </w:p>
    <w:p>
      <w:pPr>
        <w:spacing w:after="0" w:line="238"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“Catch-up”</w:t>
            </w:r>
          </w:p>
        </w:tc>
        <w:tc>
          <w:tcPr>
            <w:tcW w:w="700" w:type="dxa"/>
            <w:vAlign w:val="bottom"/>
          </w:tcPr>
          <w:p>
            <w:pPr>
              <w:ind w:left="160"/>
              <w:spacing w:after="0"/>
              <w:rPr>
                <w:sz w:val="20"/>
                <w:szCs w:val="20"/>
                <w:color w:val="auto"/>
              </w:rPr>
            </w:pPr>
            <w:r>
              <w:rPr>
                <w:rFonts w:ascii="Arial" w:cs="Arial" w:eastAsia="Arial" w:hAnsi="Arial"/>
                <w:sz w:val="18"/>
                <w:szCs w:val="18"/>
                <w:color w:val="auto"/>
                <w:w w:val="91"/>
              </w:rPr>
              <w:t>= 2.5%</w:t>
            </w:r>
          </w:p>
        </w:tc>
        <w:tc>
          <w:tcPr>
            <w:tcW w:w="3140" w:type="dxa"/>
            <w:vAlign w:val="bottom"/>
          </w:tcPr>
          <w:p>
            <w:pPr>
              <w:ind w:left="20"/>
              <w:spacing w:after="0"/>
              <w:rPr>
                <w:sz w:val="20"/>
                <w:szCs w:val="20"/>
                <w:color w:val="auto"/>
              </w:rPr>
            </w:pPr>
            <w:r>
              <w:rPr>
                <w:rFonts w:ascii="Arial" w:cs="Arial" w:eastAsia="Arial" w:hAnsi="Arial"/>
                <w:sz w:val="18"/>
                <w:szCs w:val="18"/>
                <w:color w:val="auto"/>
              </w:rPr>
              <w:t>– 2.0%</w:t>
            </w:r>
          </w:p>
        </w:tc>
      </w:tr>
      <w:tr>
        <w:trPr>
          <w:trHeight w:val="230"/>
        </w:trPr>
        <w:tc>
          <w:tcPr>
            <w:tcW w:w="112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w w:val="91"/>
              </w:rPr>
              <w:t>= 0.5%</w:t>
            </w:r>
          </w:p>
        </w:tc>
        <w:tc>
          <w:tcPr>
            <w:tcW w:w="3140" w:type="dxa"/>
            <w:vAlign w:val="bottom"/>
          </w:tcPr>
          <w:p>
            <w:pPr>
              <w:spacing w:after="0"/>
              <w:rPr>
                <w:sz w:val="20"/>
                <w:szCs w:val="20"/>
                <w:color w:val="auto"/>
              </w:rPr>
            </w:pP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Incentive fee</w:t>
            </w: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w w:val="91"/>
              </w:rPr>
              <w:t>= (100.0% × 0.5%) + (20.0% × (2.8625% – 2.5%))</w:t>
            </w:r>
          </w:p>
        </w:tc>
      </w:tr>
      <w:tr>
        <w:trPr>
          <w:trHeight w:val="216"/>
        </w:trPr>
        <w:tc>
          <w:tcPr>
            <w:tcW w:w="112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w w:val="91"/>
              </w:rPr>
              <w:t>= 0.5%</w:t>
            </w:r>
          </w:p>
        </w:tc>
        <w:tc>
          <w:tcPr>
            <w:tcW w:w="3140" w:type="dxa"/>
            <w:vAlign w:val="bottom"/>
          </w:tcPr>
          <w:p>
            <w:pPr>
              <w:ind w:left="20"/>
              <w:spacing w:after="0"/>
              <w:rPr>
                <w:sz w:val="20"/>
                <w:szCs w:val="20"/>
                <w:color w:val="auto"/>
              </w:rPr>
            </w:pPr>
            <w:r>
              <w:rPr>
                <w:rFonts w:ascii="Arial" w:cs="Arial" w:eastAsia="Arial" w:hAnsi="Arial"/>
                <w:sz w:val="18"/>
                <w:szCs w:val="18"/>
                <w:color w:val="auto"/>
              </w:rPr>
              <w:t>+ (20.0% × 0.3625%)</w:t>
            </w:r>
          </w:p>
        </w:tc>
      </w:tr>
      <w:tr>
        <w:trPr>
          <w:trHeight w:val="230"/>
        </w:trPr>
        <w:tc>
          <w:tcPr>
            <w:tcW w:w="112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w w:val="91"/>
              </w:rPr>
              <w:t>= 0.5%</w:t>
            </w:r>
          </w:p>
        </w:tc>
        <w:tc>
          <w:tcPr>
            <w:tcW w:w="3140" w:type="dxa"/>
            <w:vAlign w:val="bottom"/>
          </w:tcPr>
          <w:p>
            <w:pPr>
              <w:ind w:left="20"/>
              <w:spacing w:after="0"/>
              <w:rPr>
                <w:sz w:val="20"/>
                <w:szCs w:val="20"/>
                <w:color w:val="auto"/>
              </w:rPr>
            </w:pPr>
            <w:r>
              <w:rPr>
                <w:rFonts w:ascii="Arial" w:cs="Arial" w:eastAsia="Arial" w:hAnsi="Arial"/>
                <w:sz w:val="18"/>
                <w:szCs w:val="18"/>
                <w:color w:val="auto"/>
              </w:rPr>
              <w:t>+ 0.0725%</w:t>
            </w:r>
          </w:p>
        </w:tc>
      </w:tr>
    </w:tbl>
    <w:p>
      <w:pPr>
        <w:ind w:left="1920"/>
        <w:spacing w:after="0"/>
        <w:rPr>
          <w:sz w:val="20"/>
          <w:szCs w:val="20"/>
          <w:color w:val="auto"/>
        </w:rPr>
      </w:pPr>
      <w:r>
        <w:rPr>
          <w:rFonts w:ascii="Arial" w:cs="Arial" w:eastAsia="Arial" w:hAnsi="Arial"/>
          <w:sz w:val="18"/>
          <w:szCs w:val="18"/>
          <w:color w:val="auto"/>
        </w:rPr>
        <w:t>= 0.5725%</w:t>
      </w:r>
    </w:p>
    <w:p>
      <w:pPr>
        <w:spacing w:after="0" w:line="21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0.5725%.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763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3" w:lineRule="exact"/>
        <w:rPr>
          <w:sz w:val="20"/>
          <w:szCs w:val="20"/>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8.0% annualized hurdle rate.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1.75% annualized base management fee.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640" w:right="300" w:hanging="436"/>
        <w:spacing w:after="0" w:line="261"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“catch-up” provision is intended to provide our investment advisor with an incentive fee of 20.0% on all pre-incentive fee net investment income as if a hurdle rate did not apply when our net investment income exceeds 2.5% in any fiscal quarter.</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 2: Capital Gains Portion of Incentive Fee</w:t>
      </w:r>
      <w:r>
        <w:rPr>
          <w:rFonts w:ascii="Arial" w:cs="Arial" w:eastAsia="Arial" w:hAnsi="Arial"/>
          <w:sz w:val="15"/>
          <w:szCs w:val="15"/>
          <w:b w:val="1"/>
          <w:bCs w:val="1"/>
          <w:color w:val="auto"/>
        </w:rPr>
        <w:t>(*)</w:t>
      </w:r>
      <w:r>
        <w:rPr>
          <w:rFonts w:ascii="Arial" w:cs="Arial" w:eastAsia="Arial" w:hAnsi="Arial"/>
          <w:sz w:val="18"/>
          <w:szCs w:val="18"/>
          <w:b w:val="1"/>
          <w:bCs w:val="1"/>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Alternative 1</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6"/>
          <w:szCs w:val="16"/>
          <w:i w:val="1"/>
          <w:iCs w:val="1"/>
          <w:color w:val="auto"/>
        </w:rPr>
        <w:t xml:space="preserve">Year 1 </w:t>
      </w:r>
      <w:r>
        <w:rPr>
          <w:rFonts w:ascii="Arial" w:cs="Arial" w:eastAsia="Arial" w:hAnsi="Arial"/>
          <w:sz w:val="16"/>
          <w:szCs w:val="16"/>
          <w:color w:val="auto"/>
        </w:rPr>
        <w:t>: $5.0 million investment made in Company A (“Investment A”), and $7.5 million investment made in Company B (“Investment B”)</w:t>
      </w:r>
    </w:p>
    <w:p>
      <w:pPr>
        <w:spacing w:after="0" w:line="140"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 xml:space="preserve">Year 2 </w:t>
      </w:r>
      <w:r>
        <w:rPr>
          <w:rFonts w:ascii="Arial" w:cs="Arial" w:eastAsia="Arial" w:hAnsi="Arial"/>
          <w:sz w:val="18"/>
          <w:szCs w:val="18"/>
          <w:color w:val="auto"/>
        </w:rPr>
        <w:t>: Investment A sold for $12.5 million and fair market value (“FMV”) of Investment B determined to be $8.0 million</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 xml:space="preserve">Year 3 </w:t>
      </w:r>
      <w:r>
        <w:rPr>
          <w:rFonts w:ascii="Arial" w:cs="Arial" w:eastAsia="Arial" w:hAnsi="Arial"/>
          <w:sz w:val="18"/>
          <w:szCs w:val="18"/>
          <w:color w:val="auto"/>
        </w:rPr>
        <w:t>: FMV of Investment B determined to be $6.25 million</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Investment B sold for $7.75 million</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 xml:space="preserve">Year 1 </w:t>
      </w:r>
      <w:r>
        <w:rPr>
          <w:rFonts w:ascii="Arial" w:cs="Arial" w:eastAsia="Arial" w:hAnsi="Arial"/>
          <w:sz w:val="18"/>
          <w:szCs w:val="18"/>
          <w:color w:val="auto"/>
        </w:rPr>
        <w:t>: None</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7"/>
          <w:szCs w:val="17"/>
          <w:i w:val="1"/>
          <w:iCs w:val="1"/>
          <w:color w:val="auto"/>
        </w:rPr>
        <w:t xml:space="preserve">Year 2 </w:t>
      </w:r>
      <w:r>
        <w:rPr>
          <w:rFonts w:ascii="Arial" w:cs="Arial" w:eastAsia="Arial" w:hAnsi="Arial"/>
          <w:sz w:val="17"/>
          <w:szCs w:val="17"/>
          <w:color w:val="auto"/>
        </w:rPr>
        <w:t>: Capital gains incentive fee of $1.5 million — ($7.5 million realized capital gains on sale of Investment A multiplied by 20.0%)</w:t>
      </w:r>
    </w:p>
    <w:p>
      <w:pPr>
        <w:spacing w:after="0" w:line="129" w:lineRule="exact"/>
        <w:rPr>
          <w:sz w:val="20"/>
          <w:szCs w:val="20"/>
          <w:color w:val="auto"/>
        </w:rPr>
      </w:pPr>
    </w:p>
    <w:p>
      <w:pPr>
        <w:ind w:left="640" w:right="780" w:firstLine="423"/>
        <w:spacing w:after="0" w:line="277" w:lineRule="auto"/>
        <w:rPr>
          <w:sz w:val="20"/>
          <w:szCs w:val="20"/>
          <w:color w:val="auto"/>
        </w:rPr>
      </w:pPr>
      <w:r>
        <w:rPr>
          <w:rFonts w:ascii="Arial" w:cs="Arial" w:eastAsia="Arial" w:hAnsi="Arial"/>
          <w:sz w:val="18"/>
          <w:szCs w:val="18"/>
          <w:i w:val="1"/>
          <w:iCs w:val="1"/>
          <w:color w:val="auto"/>
        </w:rPr>
        <w:t xml:space="preserve">Year 3 </w:t>
      </w:r>
      <w:r>
        <w:rPr>
          <w:rFonts w:ascii="Arial" w:cs="Arial" w:eastAsia="Arial" w:hAnsi="Arial"/>
          <w:sz w:val="18"/>
          <w:szCs w:val="18"/>
          <w:color w:val="auto"/>
        </w:rPr>
        <w:t>: None — $1.25 million (20.0% multiplied by ($7.5 million cumulative capital gains less $1.25 million cumulative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less $1.5 million (previous capital gains fee paid in Year 2)</w:t>
      </w:r>
    </w:p>
    <w:p>
      <w:pPr>
        <w:spacing w:after="0" w:line="62" w:lineRule="exact"/>
        <w:rPr>
          <w:sz w:val="20"/>
          <w:szCs w:val="20"/>
          <w:color w:val="auto"/>
        </w:rPr>
      </w:pPr>
    </w:p>
    <w:p>
      <w:pPr>
        <w:ind w:left="640" w:right="120" w:firstLine="423"/>
        <w:spacing w:after="0" w:line="277" w:lineRule="auto"/>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Capital gains incentive fee of $50,000 — $1.55 million ($7.75 million cumulative realized capital gains multiplied by 20.0%) less</w:t>
      </w:r>
      <w:r>
        <w:rPr>
          <w:rFonts w:ascii="Arial" w:cs="Arial" w:eastAsia="Arial" w:hAnsi="Arial"/>
          <w:sz w:val="18"/>
          <w:szCs w:val="18"/>
          <w:i w:val="1"/>
          <w:iCs w:val="1"/>
          <w:color w:val="auto"/>
        </w:rPr>
        <w:t xml:space="preserve"> </w:t>
      </w:r>
      <w:r>
        <w:rPr>
          <w:rFonts w:ascii="Arial" w:cs="Arial" w:eastAsia="Arial" w:hAnsi="Arial"/>
          <w:sz w:val="18"/>
          <w:szCs w:val="18"/>
          <w:color w:val="auto"/>
        </w:rPr>
        <w:t>$1.5 million (capital gains incentive fee taken in Year 2)</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24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Alternative 2</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right="80" w:firstLine="423"/>
        <w:spacing w:after="0" w:line="277" w:lineRule="auto"/>
        <w:rPr>
          <w:sz w:val="20"/>
          <w:szCs w:val="20"/>
          <w:color w:val="auto"/>
        </w:rPr>
      </w:pPr>
      <w:r>
        <w:rPr>
          <w:rFonts w:ascii="Arial" w:cs="Arial" w:eastAsia="Arial" w:hAnsi="Arial"/>
          <w:sz w:val="18"/>
          <w:szCs w:val="18"/>
          <w:i w:val="1"/>
          <w:iCs w:val="1"/>
          <w:color w:val="auto"/>
        </w:rPr>
        <w:t xml:space="preserve">Year 1 </w:t>
      </w:r>
      <w:r>
        <w:rPr>
          <w:rFonts w:ascii="Arial" w:cs="Arial" w:eastAsia="Arial" w:hAnsi="Arial"/>
          <w:sz w:val="18"/>
          <w:szCs w:val="18"/>
          <w:color w:val="auto"/>
        </w:rPr>
        <w:t>: $4.0 million investment made in Company A (“Investment A”), $7.5 million investment made in Company B (“Investment B”) and</w:t>
      </w:r>
      <w:r>
        <w:rPr>
          <w:rFonts w:ascii="Arial" w:cs="Arial" w:eastAsia="Arial" w:hAnsi="Arial"/>
          <w:sz w:val="18"/>
          <w:szCs w:val="18"/>
          <w:i w:val="1"/>
          <w:iCs w:val="1"/>
          <w:color w:val="auto"/>
        </w:rPr>
        <w:t xml:space="preserve"> </w:t>
      </w:r>
      <w:r>
        <w:rPr>
          <w:rFonts w:ascii="Arial" w:cs="Arial" w:eastAsia="Arial" w:hAnsi="Arial"/>
          <w:sz w:val="18"/>
          <w:szCs w:val="18"/>
          <w:color w:val="auto"/>
        </w:rPr>
        <w:t>$6.25 million investment made in Company C (“Investment C”)</w:t>
      </w:r>
    </w:p>
    <w:p>
      <w:pPr>
        <w:spacing w:after="0" w:line="62" w:lineRule="exact"/>
        <w:rPr>
          <w:sz w:val="20"/>
          <w:szCs w:val="20"/>
          <w:color w:val="auto"/>
        </w:rPr>
      </w:pPr>
    </w:p>
    <w:p>
      <w:pPr>
        <w:ind w:left="640" w:right="20" w:firstLine="423"/>
        <w:spacing w:after="0" w:line="277" w:lineRule="auto"/>
        <w:rPr>
          <w:sz w:val="20"/>
          <w:szCs w:val="20"/>
          <w:color w:val="auto"/>
        </w:rPr>
      </w:pPr>
      <w:r>
        <w:rPr>
          <w:rFonts w:ascii="Arial" w:cs="Arial" w:eastAsia="Arial" w:hAnsi="Arial"/>
          <w:sz w:val="18"/>
          <w:szCs w:val="18"/>
          <w:i w:val="1"/>
          <w:iCs w:val="1"/>
          <w:color w:val="auto"/>
        </w:rPr>
        <w:t xml:space="preserve">Year 2 </w:t>
      </w:r>
      <w:r>
        <w:rPr>
          <w:rFonts w:ascii="Arial" w:cs="Arial" w:eastAsia="Arial" w:hAnsi="Arial"/>
          <w:sz w:val="18"/>
          <w:szCs w:val="18"/>
          <w:color w:val="auto"/>
        </w:rPr>
        <w:t>: Investment A sold for $12.5 million, FMV of Investment B determined to be $6.25 million and FMV of Investment C determined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$6.25 million</w:t>
      </w:r>
    </w:p>
    <w:p>
      <w:pPr>
        <w:spacing w:after="0" w:line="62"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 xml:space="preserve">Year 3 </w:t>
      </w:r>
      <w:r>
        <w:rPr>
          <w:rFonts w:ascii="Arial" w:cs="Arial" w:eastAsia="Arial" w:hAnsi="Arial"/>
          <w:sz w:val="18"/>
          <w:szCs w:val="18"/>
          <w:color w:val="auto"/>
        </w:rPr>
        <w:t>: FMV of Investment B determined to be $6.75 million and Investment C sold for $7.5 million</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FMV of Investment B determined to be $8.75 million</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 xml:space="preserve">Year 5 </w:t>
      </w:r>
      <w:r>
        <w:rPr>
          <w:rFonts w:ascii="Arial" w:cs="Arial" w:eastAsia="Arial" w:hAnsi="Arial"/>
          <w:sz w:val="18"/>
          <w:szCs w:val="18"/>
          <w:color w:val="auto"/>
        </w:rPr>
        <w:t>: Investment B sold for $5.0 million</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capital gains incentive fee, if any, would be:</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 xml:space="preserve">Year 1 </w:t>
      </w:r>
      <w:r>
        <w:rPr>
          <w:rFonts w:ascii="Arial" w:cs="Arial" w:eastAsia="Arial" w:hAnsi="Arial"/>
          <w:sz w:val="18"/>
          <w:szCs w:val="18"/>
          <w:color w:val="auto"/>
        </w:rPr>
        <w:t>: None</w:t>
      </w:r>
    </w:p>
    <w:p>
      <w:pPr>
        <w:spacing w:after="0" w:line="117" w:lineRule="exact"/>
        <w:rPr>
          <w:sz w:val="20"/>
          <w:szCs w:val="20"/>
          <w:color w:val="auto"/>
        </w:rPr>
      </w:pPr>
    </w:p>
    <w:p>
      <w:pPr>
        <w:ind w:left="640" w:right="120" w:firstLine="423"/>
        <w:spacing w:after="0" w:line="277" w:lineRule="auto"/>
        <w:rPr>
          <w:sz w:val="20"/>
          <w:szCs w:val="20"/>
          <w:color w:val="auto"/>
        </w:rPr>
      </w:pPr>
      <w:r>
        <w:rPr>
          <w:rFonts w:ascii="Arial" w:cs="Arial" w:eastAsia="Arial" w:hAnsi="Arial"/>
          <w:sz w:val="18"/>
          <w:szCs w:val="18"/>
          <w:i w:val="1"/>
          <w:iCs w:val="1"/>
          <w:color w:val="auto"/>
        </w:rPr>
        <w:t xml:space="preserve">Year 2 </w:t>
      </w:r>
      <w:r>
        <w:rPr>
          <w:rFonts w:ascii="Arial" w:cs="Arial" w:eastAsia="Arial" w:hAnsi="Arial"/>
          <w:sz w:val="18"/>
          <w:szCs w:val="18"/>
          <w:color w:val="auto"/>
        </w:rPr>
        <w:t>: $1.45 million capital gains incentive fee — 20.0% multiplied by $7.25 million ($8.5 million realized capital gains on Investment A</w:t>
      </w:r>
      <w:r>
        <w:rPr>
          <w:rFonts w:ascii="Arial" w:cs="Arial" w:eastAsia="Arial" w:hAnsi="Arial"/>
          <w:sz w:val="18"/>
          <w:szCs w:val="18"/>
          <w:i w:val="1"/>
          <w:iCs w:val="1"/>
          <w:color w:val="auto"/>
        </w:rPr>
        <w:t xml:space="preserve"> </w:t>
      </w:r>
      <w:r>
        <w:rPr>
          <w:rFonts w:ascii="Arial" w:cs="Arial" w:eastAsia="Arial" w:hAnsi="Arial"/>
          <w:sz w:val="18"/>
          <w:szCs w:val="18"/>
          <w:color w:val="auto"/>
        </w:rPr>
        <w:t>less $1.25 million unrealized capital depreciation on Investment B)</w:t>
      </w:r>
    </w:p>
    <w:p>
      <w:pPr>
        <w:spacing w:after="0" w:line="62" w:lineRule="exact"/>
        <w:rPr>
          <w:sz w:val="20"/>
          <w:szCs w:val="20"/>
          <w:color w:val="auto"/>
        </w:rPr>
      </w:pPr>
    </w:p>
    <w:p>
      <w:pPr>
        <w:ind w:left="640" w:right="260" w:firstLine="423"/>
        <w:spacing w:after="0" w:line="308" w:lineRule="auto"/>
        <w:rPr>
          <w:sz w:val="20"/>
          <w:szCs w:val="20"/>
          <w:color w:val="auto"/>
        </w:rPr>
      </w:pPr>
      <w:r>
        <w:rPr>
          <w:rFonts w:ascii="Arial" w:cs="Arial" w:eastAsia="Arial" w:hAnsi="Arial"/>
          <w:sz w:val="17"/>
          <w:szCs w:val="17"/>
          <w:i w:val="1"/>
          <w:iCs w:val="1"/>
          <w:color w:val="auto"/>
        </w:rPr>
        <w:t xml:space="preserve">Year 3 </w:t>
      </w:r>
      <w:r>
        <w:rPr>
          <w:rFonts w:ascii="Arial" w:cs="Arial" w:eastAsia="Arial" w:hAnsi="Arial"/>
          <w:sz w:val="17"/>
          <w:szCs w:val="17"/>
          <w:color w:val="auto"/>
        </w:rPr>
        <w:t>: $0.35 million capital gains incentive fee</w:t>
      </w:r>
      <w:r>
        <w:rPr>
          <w:rFonts w:ascii="Arial" w:cs="Arial" w:eastAsia="Arial" w:hAnsi="Arial"/>
          <w:sz w:val="17"/>
          <w:szCs w:val="17"/>
          <w:i w:val="1"/>
          <w:iCs w:val="1"/>
          <w:color w:val="auto"/>
        </w:rPr>
        <w:t xml:space="preserve"> </w:t>
      </w:r>
      <w:r>
        <w:rPr>
          <w:rFonts w:ascii="Arial" w:cs="Arial" w:eastAsia="Arial" w:hAnsi="Arial"/>
          <w:sz w:val="14"/>
          <w:szCs w:val="14"/>
          <w:color w:val="auto"/>
        </w:rPr>
        <w:t>(1)</w:t>
      </w:r>
      <w:r>
        <w:rPr>
          <w:rFonts w:ascii="Arial" w:cs="Arial" w:eastAsia="Arial" w:hAnsi="Arial"/>
          <w:sz w:val="17"/>
          <w:szCs w:val="17"/>
          <w:i w:val="1"/>
          <w:iCs w:val="1"/>
          <w:color w:val="auto"/>
        </w:rPr>
        <w:t xml:space="preserve"> </w:t>
      </w:r>
      <w:r>
        <w:rPr>
          <w:rFonts w:ascii="Arial" w:cs="Arial" w:eastAsia="Arial" w:hAnsi="Arial"/>
          <w:sz w:val="17"/>
          <w:szCs w:val="17"/>
          <w:color w:val="auto"/>
        </w:rPr>
        <w:t>— $1.8 million (20.0% multiplied by $9.0 million ($9.75 million cumulative realized</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gains less $0.75 million unrealized capital depreciation)) less $1.45 million capital gains incentive fee received in Year 2</w:t>
      </w:r>
    </w:p>
    <w:p>
      <w:pPr>
        <w:spacing w:after="0" w:line="38"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 xml:space="preserve">Year 4 </w:t>
      </w:r>
      <w:r>
        <w:rPr>
          <w:rFonts w:ascii="Arial" w:cs="Arial" w:eastAsia="Arial" w:hAnsi="Arial"/>
          <w:sz w:val="18"/>
          <w:szCs w:val="18"/>
          <w:color w:val="auto"/>
        </w:rPr>
        <w:t>: None</w:t>
      </w:r>
    </w:p>
    <w:p>
      <w:pPr>
        <w:spacing w:after="0" w:line="117" w:lineRule="exact"/>
        <w:rPr>
          <w:sz w:val="20"/>
          <w:szCs w:val="20"/>
          <w:color w:val="auto"/>
        </w:rPr>
      </w:pPr>
    </w:p>
    <w:p>
      <w:pPr>
        <w:ind w:left="640" w:right="200" w:firstLine="423"/>
        <w:spacing w:after="0" w:line="277" w:lineRule="auto"/>
        <w:rPr>
          <w:sz w:val="20"/>
          <w:szCs w:val="20"/>
          <w:color w:val="auto"/>
        </w:rPr>
      </w:pPr>
      <w:r>
        <w:rPr>
          <w:rFonts w:ascii="Arial" w:cs="Arial" w:eastAsia="Arial" w:hAnsi="Arial"/>
          <w:sz w:val="18"/>
          <w:szCs w:val="18"/>
          <w:i w:val="1"/>
          <w:iCs w:val="1"/>
          <w:color w:val="auto"/>
        </w:rPr>
        <w:t xml:space="preserve">Year 5 </w:t>
      </w:r>
      <w:r>
        <w:rPr>
          <w:rFonts w:ascii="Arial" w:cs="Arial" w:eastAsia="Arial" w:hAnsi="Arial"/>
          <w:sz w:val="18"/>
          <w:szCs w:val="18"/>
          <w:color w:val="auto"/>
        </w:rPr>
        <w:t>: None — $1.45 million (20.0% multiplied by $7.25 million (cumulative realized capital gains of $9.75 million less realized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losses of $2.5 million)) is less than $1.8 million cumulative capital gains incentive fee paid in Year 2 and Year 3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7632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3" w:lineRule="exact"/>
        <w:rPr>
          <w:sz w:val="20"/>
          <w:szCs w:val="20"/>
          <w:color w:val="auto"/>
        </w:rPr>
      </w:pPr>
    </w:p>
    <w:p>
      <w:pPr>
        <w:jc w:val="both"/>
        <w:ind w:left="640" w:right="240" w:hanging="436"/>
        <w:spacing w:after="0" w:line="310" w:lineRule="auto"/>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hypothetical amounts of returns shown are based on a percentage of our total net assets and assume no leverage. There is no guarantee that positive returns will be realized and actual returns may vary from those shown in this example. The examples shown pertain to the capital gains</w:t>
      </w:r>
    </w:p>
    <w:p>
      <w:pPr>
        <w:spacing w:after="0" w:line="1" w:lineRule="exact"/>
        <w:rPr>
          <w:sz w:val="20"/>
          <w:szCs w:val="20"/>
          <w:color w:val="auto"/>
        </w:rPr>
      </w:pPr>
    </w:p>
    <w:p>
      <w:pPr>
        <w:ind w:left="640" w:right="320"/>
        <w:spacing w:after="0" w:line="250" w:lineRule="auto"/>
        <w:rPr>
          <w:sz w:val="20"/>
          <w:szCs w:val="20"/>
          <w:color w:val="auto"/>
        </w:rPr>
      </w:pPr>
      <w:r>
        <w:rPr>
          <w:rFonts w:ascii="Arial" w:cs="Arial" w:eastAsia="Arial" w:hAnsi="Arial"/>
          <w:sz w:val="18"/>
          <w:szCs w:val="18"/>
          <w:color w:val="auto"/>
        </w:rPr>
        <w:t>portion of the incentive fee payable at the end of the fiscal year. We accrue, but do not pay, a capital gains incentive fee in connection with any unrealized capital appreciation, as appropriate.</w:t>
      </w:r>
    </w:p>
    <w:p>
      <w:pPr>
        <w:spacing w:after="0" w:line="1" w:lineRule="exact"/>
        <w:rPr>
          <w:sz w:val="20"/>
          <w:szCs w:val="20"/>
          <w:color w:val="auto"/>
        </w:rPr>
      </w:pPr>
    </w:p>
    <w:p>
      <w:pPr>
        <w:ind w:left="640" w:right="40" w:hanging="436"/>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illustrated in Year 3 of Alternative 2 above, if we were to be dissolved on a date other than our fiscal year end of any year, we may have paid aggregate capital gains incentive fees that are more than the amount of such fees that would be payable if we had been dissolved on our fiscal year end of such year.</w:t>
      </w:r>
    </w:p>
    <w:p>
      <w:pPr>
        <w:spacing w:after="0" w:line="1" w:lineRule="exact"/>
        <w:rPr>
          <w:rFonts w:ascii="Arial" w:cs="Arial" w:eastAsia="Arial" w:hAnsi="Arial"/>
          <w:sz w:val="18"/>
          <w:szCs w:val="18"/>
          <w:color w:val="auto"/>
        </w:rPr>
      </w:pPr>
    </w:p>
    <w:p>
      <w:pPr>
        <w:ind w:left="640" w:right="420" w:hanging="436"/>
        <w:spacing w:after="0" w:line="255"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noted above, it is possible that the cumulative aggregate capital gains fee received by our investment advisor ($1.8 million) is effectively greater than $1.45 million (20.0% of cumulative aggregate realized capital gains less net realized capital losses or net unrealized depreciation ($7.25 million)).</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All investment professionals of our investment advisor and/or its affiliates, when and to the extent engaged in providing investment advisory and management services to us, and the compensation and routine overhead expenses of personnel allocable to these services to us, are provided and paid for by our investment advisor and not by us. We bear all other out-of-pocket costs and expenses of our operations and transactions. See “Management’s Discussion and Analysis of Financial Condition and Results of Operations – Overview – Expenses.”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At an in-person meeting of our board of directors on June 6, 2019, our board of directors, including a majority of the Independent Directors, unanimously voted to approve the continuation of the Investment Advisory Agreement to June 20, 2020. Unless terminated earlier, the Investment Advisory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the Independent Directors.</w:t>
      </w:r>
    </w:p>
    <w:p>
      <w:pPr>
        <w:spacing w:after="0" w:line="188" w:lineRule="exact"/>
        <w:rPr>
          <w:sz w:val="20"/>
          <w:szCs w:val="20"/>
          <w:color w:val="auto"/>
        </w:rPr>
      </w:pPr>
    </w:p>
    <w:p>
      <w:pPr>
        <w:jc w:val="both"/>
        <w:ind w:left="200" w:right="600" w:firstLine="441"/>
        <w:spacing w:after="0" w:line="264" w:lineRule="auto"/>
        <w:rPr>
          <w:sz w:val="20"/>
          <w:szCs w:val="20"/>
          <w:color w:val="auto"/>
        </w:rPr>
      </w:pPr>
      <w:r>
        <w:rPr>
          <w:rFonts w:ascii="Arial" w:cs="Arial" w:eastAsia="Arial" w:hAnsi="Arial"/>
          <w:sz w:val="18"/>
          <w:szCs w:val="18"/>
          <w:color w:val="auto"/>
        </w:rPr>
        <w:t>In reaching a decision to approve the current Investment Advisory Agreement, our board of directors reviewed information comparing our investment performance to other externally managed BDCs with similar investment objectives and to appropriate market indices. The board also reviewed other information and considered, among other things:</w:t>
      </w:r>
    </w:p>
    <w:p>
      <w:pPr>
        <w:spacing w:after="0" w:line="87" w:lineRule="exact"/>
        <w:rPr>
          <w:sz w:val="20"/>
          <w:szCs w:val="20"/>
          <w:color w:val="auto"/>
        </w:rPr>
      </w:pPr>
    </w:p>
    <w:p>
      <w:pPr>
        <w:ind w:left="1180" w:right="46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nature, extent and quality of the advisory and other services (including administrative services provided under the Administrative Agreement as discussed below) provided to us by our investment advisor;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fee structure of comparative externally managed BDCs with similar investment objectives;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30" w:lineRule="exact"/>
        <w:rPr>
          <w:rFonts w:ascii="Arial" w:cs="Arial" w:eastAsia="Arial" w:hAnsi="Arial"/>
          <w:sz w:val="18"/>
          <w:szCs w:val="18"/>
          <w:color w:val="auto"/>
        </w:rPr>
      </w:pPr>
    </w:p>
    <w:p>
      <w:pPr>
        <w:ind w:left="1180" w:right="106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investment advisor’s pro forma profitability with respect to managing us and providing administrative services under the Administrative Agreement;</w:t>
      </w:r>
    </w:p>
    <w:p>
      <w:pPr>
        <w:sectPr>
          <w:pgSz w:w="11900" w:h="16838" w:orient="portrait"/>
          <w:cols w:equalWidth="0" w:num="1">
            <w:col w:w="11220"/>
          </w:cols>
          <w:pgMar w:left="240" w:top="459" w:right="439" w:bottom="1440" w:gutter="0" w:footer="0" w:header="0"/>
        </w:sectPr>
      </w:pP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20"/>
          </w:cols>
          <w:pgMar w:left="24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4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limited potential for our investment advisor and its affiliates to derive additional “fall-out” benefits as a result of our relationship with our investment advisor;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various other matters.</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board of directors did not rank or otherwise assign relative weights to the specific factors it considered in connection with its evaluation of the Investment Advisory Agreement, nor did it undertake to make any specific determination as to whether any particular factor, or any aspect of any particular factor, was favorable or unfavorable to the ultimate decision made by our board of directors. Rather, our board of directors based its approval of the Investment Advisory Agreement on the totality of information presented to it. In considering the factors discussed above, individual directors may have given different weights to different factors.</w:t>
      </w:r>
    </w:p>
    <w:p>
      <w:pPr>
        <w:spacing w:after="0" w:line="188"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Based on the information reviewed and the factors discussed above, our board of directors (including the Independent Directors) concluded that the terms of the Investment Advisory Agreement, including the fee rates thereunder, are fair and reasonable in relation to the services provided and approved the continuation of the Investment Advisory Agreement as being in the best interests of FIC and our stockholders.</w:t>
      </w:r>
    </w:p>
    <w:p>
      <w:pPr>
        <w:spacing w:after="0" w:line="14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Conflicts of interest may arise if our investment advisor seeks to change the terms of the Investment Advisory Agreement, including, for example, the amount of the base management fee, the incentive fee or other compensation terms. In general, material amendments to the Investment Advisory Agreement must be approved by the affirmative vote of the holders of a majority of our outstanding voting securities (as that term is defined in the 1940 Act) and by a majority of our Independent Directors.</w:t>
      </w:r>
    </w:p>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See “Item 1A. Risk Factors – Risks Relating to our Business and Structure – 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Investment Advisory Agreement provides that, absent willful misconduct, bad faith or gross negligence in the performance of its duties under the Investment Advisory Agreement or by reason of the reckless disregard of its duties and obligations under the Investment Advisory Agreement, our investment advisor and its affiliates, and their respective officers, directors, members, managers, partners, stockholders and employees, are entitled to indemnification from us from and against any claims or liabilities, including reasonable legal fees and other expenses reasonably incurred, arising out of or in connection with our investment advisor’s performance of its duties and obligations under the Investment Advisory Agreement or otherwise as our investment advisor.</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Pursuant to the Administration Agreement, Fidus Investment Advisors, LLC acts as our administrator and furnishes us with office facilities and equipment and clerical, book-keeping and record-keeping services at such facilities.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and we reimburse our Investment Advisor for fees and expenses incurred with providing such services. In addition, we reimburse our Investment Advisor for fees and expenses incurred while performing due diligence on our prospective portfolio companies, including “dead deal” costs for potential investments which are ultimately not pursued. Payments under the Administration Agreement are equal to an amount based upon our allocable portion of our investment advisor’s overhead in performing its obligations under the Administration Agreement, including rent and our allocable portion of the cost of our officers, including our chief financial officer and chief compliance officer and their respective staffs. To the extent that our investment advisor outsources any of its functions, we will pay the fees associated with such functions on a direct basis without profit to our investment advisor.</w:t>
      </w:r>
    </w:p>
    <w:p>
      <w:pPr>
        <w:spacing w:after="0" w:line="18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At an in-person meeting of our board of directors on June 6, 2019, our board of directors, including a majority of the Independent Directors, unanimously voted to approve the continuation of the Administration Agreement to June 20, 2020. Unless terminated earlier, the Administration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our Independent Directors. In making the decision to approve the continuation of the Administration Agreement, our board of directors took into account, to the extent relevant, certain information set forth above under “Investment Advisory Agreement – Duration and Termination” with respect to its consideration of the Investment Advisory Agreement.</w:t>
      </w:r>
    </w:p>
    <w:p>
      <w:pPr>
        <w:sectPr>
          <w:pgSz w:w="11900" w:h="16838" w:orient="portrait"/>
          <w:cols w:equalWidth="0" w:num="1">
            <w:col w:w="11200"/>
          </w:cols>
          <w:pgMar w:left="240" w:top="459" w:right="459" w:bottom="1440" w:gutter="0" w:footer="0" w:header="0"/>
        </w:sectPr>
      </w:pP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00"/>
          </w:cols>
          <w:pgMar w:left="240" w:top="459" w:right="4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firstLine="441"/>
        <w:spacing w:after="0" w:line="342" w:lineRule="auto"/>
        <w:rPr>
          <w:sz w:val="20"/>
          <w:szCs w:val="20"/>
          <w:color w:val="auto"/>
        </w:rPr>
      </w:pPr>
      <w:r>
        <w:rPr>
          <w:rFonts w:ascii="Arial" w:cs="Arial" w:eastAsia="Arial" w:hAnsi="Arial"/>
          <w:sz w:val="16"/>
          <w:szCs w:val="16"/>
          <w:color w:val="auto"/>
        </w:rPr>
        <w:t>The Administration Agreement may be terminated by either party without penalty upon 60 days’ written notice to the other party. The holders of a majority of our outstanding voting securities (as that term is defined in the 1940 Act) may also terminate the Administration Agreement without penalty.</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Administration Agreement provides that, absent willful misconduct, bad faith or gross negligence in the performance of its duties under the Administration Agreement or by reason of the reckless disregard of its duties and obligations under the Administration Agreement, our investment advisor and its affiliates, and their respective officers, directors, members, managers, stockholders and employees, are entitled to indemnification from us from and against any claims or liabilities, including reasonable legal fees and other expenses reasonably incurred, arising out of or in connection with our investment advisor’s performance of its duties or obligations under the Administration Agreement or otherwise as our administrator.</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We have entered into a license agreement with Fidus Partners, LLC under which Fidus Partners, LLC has agreed to grant us a non-exclusive (provided that there is not a change in control of Fidus Partners, LLC), royalty-free license to use the name “Fidus.” Under this agreement, we have a right to use the “Fidus” name for so long as our investment advisor remains our investment advisor. Other than with respect to this limited license, we have no legal right to the “Fidus” name. This license agreement will remain in effect for so long as the Investment Advisory Agreement with our investment advisor remains in effect.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and Fund I have elected to be treated as BDCs under the 1940 Act and we have elected to be treated as a RIC under Subchapter M of the Code. The 1940 Act contains prohibitions and restrictions relating to transactions between BDCs and their affiliates (including any investment advisors), principal underwriters and affiliates of those affiliates or principal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as that term is defined in the 1940 Act.</w:t>
      </w:r>
    </w:p>
    <w:p>
      <w:pPr>
        <w:spacing w:after="0" w:line="19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may invest up to 100.0%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any publicly-traded securities that may from time-to-time be held by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3.0% of the total outstanding voting stock of any investment company, invest more than 5.0% of the value of our total assets in securities issued by one investment company or invest more than 10.0% of the value of our total assets in securities issued by more than one investment company. With regard to that portion of our portfolio invested in securities issued by investment companies, it should be noted that such investments might subject our stockholders to additional expenses. These policies are not fundamental and, as a result, each may be changed by the vote of a majority of our board of directors without stockholder approval.</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70.0% of the company’s total assets. The principal categories of qualifying assets relevant to our business are the following:</w:t>
      </w:r>
    </w:p>
    <w:p>
      <w:pPr>
        <w:spacing w:after="0" w:line="87" w:lineRule="exact"/>
        <w:rPr>
          <w:sz w:val="20"/>
          <w:szCs w:val="20"/>
          <w:color w:val="auto"/>
        </w:rPr>
      </w:pPr>
    </w:p>
    <w:p>
      <w:pPr>
        <w:ind w:left="1180" w:right="140" w:hanging="544"/>
        <w:spacing w:after="0" w:line="259"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that:</w:t>
      </w:r>
    </w:p>
    <w:p>
      <w:pPr>
        <w:spacing w:after="0" w:line="92" w:lineRule="exact"/>
        <w:rPr>
          <w:rFonts w:ascii="Arial" w:cs="Arial" w:eastAsia="Arial" w:hAnsi="Arial"/>
          <w:sz w:val="18"/>
          <w:szCs w:val="18"/>
          <w:color w:val="auto"/>
        </w:rPr>
      </w:pPr>
    </w:p>
    <w:p>
      <w:pPr>
        <w:ind w:left="1620" w:hanging="32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U.S.;</w:t>
      </w:r>
    </w:p>
    <w:p>
      <w:pPr>
        <w:spacing w:after="0" w:line="130" w:lineRule="exact"/>
        <w:rPr>
          <w:rFonts w:ascii="Arial" w:cs="Arial" w:eastAsia="Arial" w:hAnsi="Arial"/>
          <w:sz w:val="18"/>
          <w:szCs w:val="18"/>
          <w:color w:val="auto"/>
        </w:rPr>
      </w:pPr>
    </w:p>
    <w:p>
      <w:pPr>
        <w:ind w:left="1620" w:right="480" w:hanging="322"/>
        <w:spacing w:after="0" w:line="277"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wholly-owned by the BDC) or a company that would be an investment company but for certain exclusions under the 1940 Act;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satisfies either of the following:</w:t>
      </w:r>
    </w:p>
    <w:p>
      <w:pPr>
        <w:spacing w:after="0" w:line="130" w:lineRule="exact"/>
        <w:rPr>
          <w:rFonts w:ascii="Arial" w:cs="Arial" w:eastAsia="Arial" w:hAnsi="Arial"/>
          <w:sz w:val="18"/>
          <w:szCs w:val="18"/>
          <w:color w:val="auto"/>
        </w:rPr>
      </w:pPr>
    </w:p>
    <w:p>
      <w:pPr>
        <w:ind w:left="1620" w:right="620" w:hanging="322"/>
        <w:spacing w:after="0" w:line="277"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or has any class of securities listed on a national securities exchange subject to a $250.0 million market capitalization maximum; or</w:t>
      </w:r>
    </w:p>
    <w:p>
      <w:pPr>
        <w:spacing w:after="0" w:line="75" w:lineRule="exact"/>
        <w:rPr>
          <w:rFonts w:ascii="Arial" w:cs="Arial" w:eastAsia="Arial" w:hAnsi="Arial"/>
          <w:sz w:val="18"/>
          <w:szCs w:val="18"/>
          <w:color w:val="auto"/>
        </w:rPr>
      </w:pPr>
    </w:p>
    <w:p>
      <w:pPr>
        <w:ind w:left="1620" w:right="160" w:hanging="322"/>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 BDC has an affiliated person who is a director of the eligible portfolio company.</w:t>
      </w:r>
    </w:p>
    <w:p>
      <w:pPr>
        <w:spacing w:after="0" w:line="87" w:lineRule="exact"/>
        <w:rPr>
          <w:sz w:val="20"/>
          <w:szCs w:val="20"/>
          <w:color w:val="auto"/>
        </w:rPr>
      </w:pPr>
    </w:p>
    <w:p>
      <w:pPr>
        <w:ind w:left="1180" w:hanging="54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30" w:lineRule="exact"/>
        <w:rPr>
          <w:rFonts w:ascii="Arial" w:cs="Arial" w:eastAsia="Arial" w:hAnsi="Arial"/>
          <w:sz w:val="18"/>
          <w:szCs w:val="18"/>
          <w:color w:val="auto"/>
        </w:rPr>
      </w:pPr>
    </w:p>
    <w:p>
      <w:pPr>
        <w:ind w:left="1180" w:right="20" w:hanging="544"/>
        <w:spacing w:after="0" w:line="259"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to such a private transaction,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1180" w:right="70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60.0% of the outstanding equity of the eligible portfolio company.</w:t>
      </w:r>
    </w:p>
    <w:p>
      <w:pPr>
        <w:spacing w:after="0" w:line="75"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color w:val="auto"/>
        </w:rPr>
      </w:pPr>
    </w:p>
    <w:p>
      <w:pPr>
        <w:ind w:left="1180" w:right="76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that mature in one year or less from the date of investment.</w:t>
      </w:r>
    </w:p>
    <w:p>
      <w:pPr>
        <w:spacing w:after="0" w:line="170"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regulations defining qualifying assets may change over time. We may adjust our investment focus as needed to comply with and/or take advantage of any regulatory, legislative, administrative or judicial actions in this area.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 BDC must be organized and have its principal place of business in the U.S. and must be operated for the purpose of making investments in the types of securities described in (a), (b) or (c) above. However, in order to count portfolio securities as qualifying assets for the purpose of the 70.0% test, the BDC must either control the issuer of the securities or must offer to make available to the issuer of the securities significant managerial assistance; except that, when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Our investment advisor, acting as our administrator, has agreed to provide such managerial assistance on our behalf to portfolio companies that request this assistance. We may receive fees for these services and will reimburse our investment advisor, acting as our administrator, for its allocated costs in providing such assistance.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200" w:right="100" w:firstLine="441"/>
        <w:spacing w:after="0" w:line="269"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repurchase agreements and high-quality debt investments that mature in one year or less from the date of investment, which we refer to, collectively, as temporary investments, so that 70.0% of our assets are invested in qualifying assets or temporary investments. We may from time to time invest in U.S. Treasury bills or in repurchase agreements, so long as the agreements are fully collateralized by cash or securities issued by the U.S. government, including securities issued by certain U.S. government agencies. A repurchase agreement involves the purchase by an investor, such as us, of a specified security and the simultaneous agreement by the seller to repurchase it at an agreed-upon future date and at a price that is greater than the purchase price by an amount that reflects an agreed-upon interest rate. There is no percentage restriction on the proportion of our assets that may be invested in such repurchase agreements. However, if more than 25.0% of our total assets constitute repurchase agreements from a single counterparty (other than repurchase agreements fully collateralized by U.S. government securities), we would not satisfy the asset diversification requirements for tax treatment as a RIC for U.S. federal income tax purposes. Accordingly, we do not intend to enter into any such repurchase agreements that would cause us to fail such asset diversification requirements. Our investment advisor monitors the creditworthiness of the counterparties with which we enter into repurchase agreement transactions.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stock senior to our common stock if our asset coverage, as defined in the 1940 Act, is at least equal to 200.0% (or 150.0% on and after April 29, 2020) immediately after each such issuance (exclusive of the SBA debentures pursuant to our SEC exemptive relief).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5.0% of the value of our total assets for temporary or emergency purposes without regard to asset coverage. For a discussion of the risks associated with leverage, see “Risk Factors — Risks Relating to Our Business and Structure — Regulations governing our operation as a BDC affect our ability to raise, and the way in which we raise, additional capital which may have a negative effect on our growth.”</w:t>
      </w:r>
    </w:p>
    <w:p>
      <w:pPr>
        <w:sectPr>
          <w:pgSz w:w="11900" w:h="16838" w:orient="portrait"/>
          <w:cols w:equalWidth="0" w:num="1">
            <w:col w:w="11220"/>
          </w:cols>
          <w:pgMar w:left="240" w:top="459" w:right="439" w:bottom="1440" w:gutter="0" w:footer="0" w:header="0"/>
        </w:sectPr>
      </w:pP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20"/>
          </w:cols>
          <w:pgMar w:left="24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SEC has proposed a new rule under the 1940 Act that would govern financial commitment transactions (defined to include reverse repurchase agreements, short sale borrowings and any firm or standby commitment agreement or similar agreement) by BDCs. Under the proposed rule, a BDC would be required to comply with one of two alternative portfolio limitations, one of which would have the effect of treating such financial commitment transactions as senior securities. There are no assurances as to when the SEC will adopt a final version of the proposed rules or as to the form that the final rules will take.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Codes of Ethics</w:t>
      </w:r>
    </w:p>
    <w:p>
      <w:pPr>
        <w:spacing w:after="0" w:line="12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 xml:space="preserve">We, Fund I and our investment advisor have adopted a joint code of ethics pursuant to Rule 17j-1 under the 1940 Act that establishes procedures for personal investments and restricts certain personal securities transactions. Additionally, our investment advisor has adopted a code of ethics pursuant to rule 204A-1 under the Advisers Act and in accordance with Rule 17j-1(c). Personnel subject to the code of ethics may invest in securities for their personal investment accounts, including securities that may be purchased or held by us, so long as such investments are made in accordance with the code’s requirements. You may read and copy these codes at the SEC’s Public Reference Room in Washington, D.C. You may obtain information on the operation of the Public Reference Room by calling the SEC at (800) SEC-0300. You may also obtain copies of the joint code of ethics, after paying a duplicating fee, by electronic request at the following e-mail address: </w:t>
      </w:r>
      <w:r>
        <w:rPr>
          <w:rFonts w:ascii="Arial" w:cs="Arial" w:eastAsia="Arial" w:hAnsi="Arial"/>
          <w:sz w:val="16"/>
          <w:szCs w:val="16"/>
          <w:i w:val="1"/>
          <w:iCs w:val="1"/>
          <w:color w:val="auto"/>
        </w:rPr>
        <w:t>publicinfo@sec.gov</w:t>
      </w:r>
      <w:r>
        <w:rPr>
          <w:rFonts w:ascii="Arial" w:cs="Arial" w:eastAsia="Arial" w:hAnsi="Arial"/>
          <w:sz w:val="16"/>
          <w:szCs w:val="16"/>
          <w:color w:val="auto"/>
        </w:rPr>
        <w:t xml:space="preserve">, or by writing the SEC’s Public Reference Section, 100 F Street, N.E., Washington, D.C. 20549. The joint code of ethics is also available on our website at </w:t>
      </w:r>
      <w:r>
        <w:rPr>
          <w:rFonts w:ascii="Arial" w:cs="Arial" w:eastAsia="Arial" w:hAnsi="Arial"/>
          <w:sz w:val="16"/>
          <w:szCs w:val="16"/>
          <w:i w:val="1"/>
          <w:iCs w:val="1"/>
          <w:u w:val="single" w:color="auto"/>
          <w:color w:val="auto"/>
        </w:rPr>
        <w:t>www.fdus.com</w:t>
      </w:r>
      <w:r>
        <w:rPr>
          <w:rFonts w:ascii="Arial" w:cs="Arial" w:eastAsia="Arial" w:hAnsi="Arial"/>
          <w:sz w:val="16"/>
          <w:szCs w:val="16"/>
          <w:color w:val="auto"/>
        </w:rPr>
        <w:t>. We have also adopted a code of business conduct that is applicable to all officers, directors and employees of Fidus and our investment advisor that is available on our website</w:t>
      </w:r>
      <w:r>
        <w:rPr>
          <w:rFonts w:ascii="Arial" w:cs="Arial" w:eastAsia="Arial" w:hAnsi="Arial"/>
          <w:sz w:val="16"/>
          <w:szCs w:val="16"/>
          <w:i w:val="1"/>
          <w:iCs w:val="1"/>
          <w:color w:val="auto"/>
        </w:rPr>
        <w: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In light of the types of investments held in our portfolio, it is unlikely that we will be called upon to vote our shares very often. In the event that we receive a proxy statement related to one of our portfolio companies, however, we have delegated our proxy voting responsibility to our investment advisor. The proxy voting policies and procedures of our investment advisor are set out below. The guidelines are reviewed periodically by our investment advisor and our Independent Directors, and, accordingly, are subject to change. For purposes of these proxy voting policies and procedures described below, “we,” “our” and “us” refer to our investment advisor.</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As an investment adviser registered under the Advisers Act, our investment advisor has a fiduciary duty to act solely in our best interests. As part of this duty, our investment advisor recognizes that it must vote our securities in a timely manner free of conflicts of interest and in our best interests.</w:t>
      </w:r>
    </w:p>
    <w:p>
      <w:pPr>
        <w:spacing w:after="0" w:line="124"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investment advisor’s policies and procedures for voting proxies for its investment advisory clients are intended to comply with Section 206 of, and Rule 206(4)-6 under, the Advisers Act.</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Proxy Policies</w:t>
      </w:r>
    </w:p>
    <w:p>
      <w:pPr>
        <w:spacing w:after="0" w:line="117"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Our investment advisor will vote proxies relating to our portfolio securities in what it perceives to be the best interest of our stockholders. Our investment advisor reviews on a case-by-case basis each proposal submitted to a stockholder vote to determine its effect on the portfolio securities we hold. In most cases our investment advisor will vote in favor of proposals that it believes are likely to increase the value of the portfolio securities we hold. Although our investment advisor will generally vote against proposals that may have a negative effect on our portfolio securities, our investment advisor may vote for such a proposal if there exist compelling long-term reasons to do so.</w:t>
      </w:r>
    </w:p>
    <w:p>
      <w:pPr>
        <w:spacing w:after="0" w:line="173"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auto"/>
        </w:rPr>
        <w:t>Proxy voting decisions are made by our investment advisor’s senior investment professionals who are responsible for monitoring each of our portfolio investments. To ensure that our investment advisor’s vote is not the product of a conflict of interest, our investment advisor requires that</w:t>
      </w:r>
    </w:p>
    <w:p>
      <w:pPr>
        <w:ind w:left="200" w:right="140" w:firstLine="4"/>
        <w:spacing w:after="0" w:line="253" w:lineRule="auto"/>
        <w:tabs>
          <w:tab w:leader="none" w:pos="4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anyone involved in the decision-making process disclose to our chief compliance officer any potential conflict that he or she is aware of and any contact that he or she has had with any interested party regarding a proxy vote; and (b) employees involved in the decision-making process or vote administration are prohibited from revealing how our investment advisor intends to vote on a proposal in order to reduce any attempted influence from interested parties. Where conflicts of interest may be present, our investment advisor will disclose such conflicts to us, including our Independent Directors, and may request guidance from us on how to vote such proxies.</w:t>
      </w:r>
    </w:p>
    <w:p>
      <w:pPr>
        <w:spacing w:after="0" w:line="2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You may obtain information about how our investment advisor voted proxies for us by making a written request for proxy voting information to: Fidus Investment Corporation, 1603 Orrington Avenue, Suite 1005, Evanston, Illinois 60201, Attention: Investor Relations, or by calling Fidus Investment Corporation collect at (847) 859-3940.</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Fund I and our investment advisor have each adopted and implemented written policies and procedures reasonably designed to prevent violation of federal securities laws and are required to review these compliance policies and procedures annually for their adequacy and the effectiveness of their implementation. Our chief compliance officer is responsible for administering these policies and procedures.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left="200" w:right="580" w:firstLine="441"/>
        <w:spacing w:after="0" w:line="264" w:lineRule="auto"/>
        <w:rPr>
          <w:sz w:val="20"/>
          <w:szCs w:val="20"/>
          <w:color w:val="auto"/>
        </w:rPr>
      </w:pPr>
      <w:r>
        <w:rPr>
          <w:rFonts w:ascii="Arial" w:cs="Arial" w:eastAsia="Arial" w:hAnsi="Arial"/>
          <w:sz w:val="18"/>
          <w:szCs w:val="18"/>
          <w:color w:val="auto"/>
        </w:rPr>
        <w:t>From time to time, we may receive nonpublic personal information relating to our stockholders. We do not disclose nonpublic personal information about our stockholders or former stockholders to anyone, except as required by law or as is necessary in order to service stockholder accounts (for example, to a transfer agent or third-party administrator).</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advisor, its affiliates or authorized service providers that have a legitimate business need for the information. We maintain physical, electronic and procedural safeguards designed to protect the nonpublic personal information of our stockholders.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Under the 1940 Act,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Independent Directors and, in some cases, prior approval by the SEC. On March 27, 2012, the SEC granted us and Fund I exemptive relief allowing us to operate effectively as one company and to take certain actions, including engaging in certain transactions with our affiliates, and to be subject to modified consolidated asset coverage requirements for senior securities issued by a BDC, that would otherwise be prohibited by the 1940 Act. Effective June 30, 2014, our exemptive relief was amended to include Fund II and any future direct or indirect wholly owned subsidiary. Therefore, any SBA debentures issued by Fund II are not subject to the 200.0% (or 150.0%, provided that certain requirements are met) asset coverage requirement.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Funds are licensed by the SBA to operate as SBICs under Section 301(c) of the Small Business Investment Act of 1958. Fund I, Fund II and Fund III received their SBIC licenses on October 22, 2007, May 28, 2013, and March 21, 2019, respectively. We may issue SBA debentures to fund additional investments through the Funds.</w:t>
      </w:r>
    </w:p>
    <w:p>
      <w:pPr>
        <w:spacing w:after="0" w:line="181" w:lineRule="exact"/>
        <w:rPr>
          <w:sz w:val="20"/>
          <w:szCs w:val="20"/>
          <w:color w:val="auto"/>
        </w:rPr>
      </w:pPr>
    </w:p>
    <w:p>
      <w:pPr>
        <w:ind w:left="200" w:right="520" w:firstLine="441"/>
        <w:spacing w:after="0" w:line="312"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can provide financing in the form of debt and/or equity securities and provide consulting and advisory services to “eligible” small businesses. The Funds have typically invested in senior subordinated debt, acquired warrants and/or made other equity investments in qualifying small businesses.</w:t>
      </w:r>
    </w:p>
    <w:p>
      <w:pPr>
        <w:spacing w:after="0" w:line="14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Under current SBA regulations, eligible small businesses generally include businesses that (together with their affiliates) have a tangible net worth not exceeding $19.5 million and have average annual net income after U.S. federal income taxes not exceeding $6.5 million (average net income to be computed without benefit of any carryover loss) for the two most recent fiscal years. In addition, an SBIC must devote between 20.0% and 25.0% (depending upon when it was licensed, when it obtained leverage commitments, the amount of leverage drawn and when financings occur) of its investment activity to “smaller” concerns as defined by the SBA. A smaller concern generally includes businesses (including their affiliates) that have a tangible net worth not exceeding $6.0 million and have average annual net income after U.S. federal income taxes not exceeding $2.0 million (average net income to be computed without benefit of any net carryover loss) for the two most recent fiscal years. SBA regulations also provide alternative size standard criteria to determine eligibility for designation as an eligible small business or smaller concern, which criteria depend on the industry in which the business (including its affiliates) is engaged and are based on the number of employees and gross revenue. However, once an SBIC has invested in a portfolio company, it may continue to make follow-on investments in the portfolio company, regardless of the size of the portfolio company at the time of the follow-on investment, up to the time of the portfolio company’s initial public offering.</w:t>
      </w:r>
    </w:p>
    <w:p>
      <w:pPr>
        <w:spacing w:after="0" w:line="17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SBA prohibits an SBIC from providing funds to small businesses for certain purposes, such as relending and investment outside the U.S., to businesses engaged in a few prohibited industries, and to certain “passive” (non-operating) companies. In addition, under SBA regulations, without prior SBA approval, an SBIC may not invest more than 30.0% of its regulatory capital in any one portfolio company (assuming the SBIC intends to draw leverage equal to twice its regulatory capital).</w:t>
      </w:r>
    </w:p>
    <w:p>
      <w:pPr>
        <w:sectPr>
          <w:pgSz w:w="11900" w:h="16838" w:orient="portrait"/>
          <w:cols w:equalWidth="0" w:num="1">
            <w:col w:w="11220"/>
          </w:cols>
          <w:pgMar w:left="240" w:top="459" w:right="439" w:bottom="1440" w:gutter="0" w:footer="0" w:header="0"/>
        </w:sectPr>
      </w:pP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20"/>
          </w:cols>
          <w:pgMar w:left="240" w:top="459"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SBA places certain limitations on the financing terms of investments by SBICs in portfolio companies (such as limiting the permissible interest rate on debt securities held by an SBIC in a portfolio company). SBA regulations allow an SBIC to exercise control over a small business for a period of seven years from the date on which the SBIC initially acquires its control position. This control period may be extended for an additional period of time with the SBA’s prior written approval.</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SBA restricts the ability of an SBIC to lend money to any of its officers, directors and employees or to invest in affiliates thereof. The SBA also prohibits, without prior SBA approval, a “change of control” of an SBIC or transfers that would result in any person (or a group of persons acting in concert) owning 10.0% or more of a class of capital stock of a licensed SBIC. A “change of control” is any event that would result in the transfer of the power, direct or indirect, to direct the management and policies of an SBIC, whether through ownership, contractual arrangements or otherwise.</w:t>
      </w:r>
    </w:p>
    <w:p>
      <w:pPr>
        <w:spacing w:after="0" w:line="154"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 SBIC (or group of SBICs under common control) may generally have outstanding debentures guaranteed by the SBA in amounts up to two times the amount of the regulatory capital of the SBIC(s). Debentures guaranteed by the SBA have a maturity of ten years, require semi-annual payments of interest, and do not require any principal payments prior to maturity. The amount of SBA-guaranteed debentures that affiliated SBIC funds can have outstanding is limited to $350.0 million, subject to SBA approval.</w:t>
      </w:r>
    </w:p>
    <w:p>
      <w:pPr>
        <w:spacing w:after="0" w:line="18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SBICs must invest idle funds that are not being used to make loans in investments permitted under SBA regulations in the following limited types of securities: (i) direct obligations of, or obligations guaranteed as to principal and interest by, the U.S. government, which mature within 15 months from the date of the investment; (ii) repurchase agreements with federally insured institutions with a maturity of seven days or less (and the securities underlying the repurchase obligations must be direct obligations of or guaranteed by the federal government); (iii) certificates of deposit with a maturity of one year or less, issued by a federally insured institution; (iv) a deposit account in a federally insured institution that is subject to a withdrawal restriction of one year or less; (v) a checking account in a federally insured institution; or (vi) a reasonable petty cash fund.</w:t>
      </w:r>
    </w:p>
    <w:p>
      <w:pPr>
        <w:spacing w:after="0" w:line="17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SBICs are periodically examined and audited by the SBA’s staff to determine their compliance with SBA regulations and are periodically required to file certain forms with the SBA.</w:t>
      </w:r>
    </w:p>
    <w:p>
      <w:pPr>
        <w:spacing w:after="0" w:line="170"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Neither the SBA nor the U.S. government or any of its agencies or officers has approved any ownership interest to be issued by us or any obligation that we or any of our subsidiaries may incur.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Sarbanes-Oxley Act of 2002, or the Sarbanes-Oxley Act, imposes a wide variety of regulatory requirements on publicly held companies and their insiders. Many of these requirements affect us. For example:</w:t>
      </w:r>
    </w:p>
    <w:p>
      <w:pPr>
        <w:spacing w:after="0" w:line="76" w:lineRule="exact"/>
        <w:rPr>
          <w:sz w:val="20"/>
          <w:szCs w:val="20"/>
          <w:color w:val="auto"/>
        </w:rPr>
      </w:pPr>
    </w:p>
    <w:p>
      <w:pPr>
        <w:ind w:left="1180" w:right="80" w:hanging="436"/>
        <w:spacing w:after="0" w:line="308" w:lineRule="auto"/>
        <w:tabs>
          <w:tab w:leader="none" w:pos="1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pursuant to Rule 13a-14 under the Securities Exchange Act of 1934, as amended, or the Exchange Act, our principal executive officer and principal financial officer must certify the accuracy of the financial statements contained in our periodic reports;</w:t>
      </w:r>
    </w:p>
    <w:p>
      <w:pPr>
        <w:spacing w:after="0" w:line="51" w:lineRule="exact"/>
        <w:rPr>
          <w:rFonts w:ascii="Arial" w:cs="Arial" w:eastAsia="Arial" w:hAnsi="Arial"/>
          <w:sz w:val="17"/>
          <w:szCs w:val="17"/>
          <w:color w:val="auto"/>
        </w:rPr>
      </w:pPr>
    </w:p>
    <w:p>
      <w:pPr>
        <w:ind w:left="1180" w:right="24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Item 307 under Regulation S-K,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1180" w:right="160" w:hanging="436"/>
        <w:spacing w:after="0" w:line="308" w:lineRule="auto"/>
        <w:tabs>
          <w:tab w:leader="none" w:pos="1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pursuant to Rule 13a-15 under the Exchange Act, our management must prepare an annual report regarding its assessment of our internal control over financial reporting, which must be audited by our independent registered public accounting firm; and</w:t>
      </w:r>
    </w:p>
    <w:p>
      <w:pPr>
        <w:spacing w:after="0" w:line="51" w:lineRule="exact"/>
        <w:rPr>
          <w:rFonts w:ascii="Arial" w:cs="Arial" w:eastAsia="Arial" w:hAnsi="Arial"/>
          <w:sz w:val="17"/>
          <w:szCs w:val="17"/>
          <w:color w:val="auto"/>
        </w:rPr>
      </w:pPr>
    </w:p>
    <w:p>
      <w:pPr>
        <w:ind w:left="1180" w:right="40" w:hanging="436"/>
        <w:spacing w:after="0" w:line="312"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under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under such act. We will continue to monitor our compliance with all regulations that are adopted under the Sarbanes-Oxley Act and will take actions necessary to ensure that we comply with that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NASDAQ Global Select Market Corporate Governance Regulations</w:t>
      </w:r>
    </w:p>
    <w:p>
      <w:pPr>
        <w:spacing w:after="0" w:line="12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NASDAQ Global Select Market has adopted corporate governance regulations with which listed companies must comply. We are in compliance with such corporate governance listing standards applicable to BDCs.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We have elected to be treated as a RIC under Subchapter M of the Code. As a RIC, we generally will not be subject to corporate-level U.S. federal income taxes on any income that we distribute to our stockholders. To maintain our tax status as a RIC, we must, among other things, meet certain source-of-income and asset diversification requirements (as described below). In addition, in order to maintain our status as a RIC, we must timely distribute to our stockholders, for each taxable year, at least 90.0%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 4.0% U.S. federal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corporate-level U.S. federal income tax on our undistributed taxable income and could be subject to</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 federal excise, state, local and foreign taxes.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to stockholders as dividends. We will be subject to U.S. federal income tax at the regular corporate rates on any income or capital gain not distributed (or deemed distributed) to our stockholders.</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will be subject to a 4.0% nondeductible U.S. federal excise tax on certain undistributed income unless we distribute in a timely manner an amount at least equal to the sum of (1) 98.0% of our investment company taxable income for each calendar year, (2) 98.2% of our capital gain net income for the one-year period ending October 31 in that calendar year (or, if we so elect, for that calendar year) and (3) any income and capital gain net income that we recognized but were distributed in the preceding calendar year and on which we paid no U.S. federal income tax.</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order to maintain our status as a RIC for U.S. federal income tax purposes, we must, among other things:</w:t>
      </w:r>
    </w:p>
    <w:p>
      <w:pPr>
        <w:spacing w:after="0" w:line="131" w:lineRule="exact"/>
        <w:rPr>
          <w:sz w:val="20"/>
          <w:szCs w:val="20"/>
          <w:color w:val="auto"/>
        </w:rPr>
      </w:pPr>
    </w:p>
    <w:p>
      <w:pPr>
        <w:ind w:left="1180" w:right="22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qualify as a BDC or be registered as a management investment company under the 1940 Act at all times during each taxable year;</w:t>
      </w:r>
    </w:p>
    <w:p>
      <w:pPr>
        <w:spacing w:after="0" w:line="75" w:lineRule="exact"/>
        <w:rPr>
          <w:rFonts w:ascii="Arial" w:cs="Arial" w:eastAsia="Arial" w:hAnsi="Arial"/>
          <w:sz w:val="18"/>
          <w:szCs w:val="18"/>
          <w:color w:val="auto"/>
        </w:rPr>
      </w:pPr>
    </w:p>
    <w:p>
      <w:pPr>
        <w:ind w:left="1180" w:right="60" w:hanging="436"/>
        <w:spacing w:after="0" w:line="259"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derive in each taxable year at least 90.0% of our gross income from dividends, interest, payments with respect to certain securities loans, gains from the sale or other disposition of stock or other securities or foreign currencies, other income derived with respect to our business of investing in such stock, securities or currencies and net income derived from an interest in a “qualified publicly traded partnership” (as defined in Subchapter M of the Code), or the 90% Income Test; and</w:t>
      </w:r>
    </w:p>
    <w:p>
      <w:pPr>
        <w:spacing w:after="0" w:line="92"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30" w:lineRule="exact"/>
        <w:rPr>
          <w:rFonts w:ascii="Arial" w:cs="Arial" w:eastAsia="Arial" w:hAnsi="Arial"/>
          <w:sz w:val="18"/>
          <w:szCs w:val="18"/>
          <w:color w:val="auto"/>
        </w:rPr>
      </w:pPr>
    </w:p>
    <w:p>
      <w:pPr>
        <w:ind w:left="1620" w:right="60" w:hanging="322"/>
        <w:spacing w:after="0" w:line="259"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at least 50.0% of the value of our assets consists of cash, cash equivalents, U.S. Government securities, securities of other RICs, and other securities if such other securities of any one issuer do not represent more than 5.0% of the value of our assets or more than 10.0% of the outstanding voting securities of the issuer (which for these purposes includes the equity securities of a “qualified publicly traded partnership”); and</w:t>
      </w:r>
    </w:p>
    <w:p>
      <w:pPr>
        <w:spacing w:after="0" w:line="92" w:lineRule="exact"/>
        <w:rPr>
          <w:rFonts w:ascii="Arial" w:cs="Arial" w:eastAsia="Arial" w:hAnsi="Arial"/>
          <w:sz w:val="18"/>
          <w:szCs w:val="18"/>
          <w:color w:val="auto"/>
        </w:rPr>
      </w:pPr>
    </w:p>
    <w:p>
      <w:pPr>
        <w:ind w:left="1620" w:right="140" w:hanging="322"/>
        <w:spacing w:after="0" w:line="259"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 more than 25.0% of the value of our assets is invested in the securities, other than U.S. Government securities or securities of other RICs, (i) of one issuer (ii) of two or more issuers that are controlled, as determined under applicable tax rules, by us and that are engaged in the same or similar or related trades or businesses or (iii) of one or more “qualified publicly traded partnerships,” or the Diversification Tests.</w:t>
      </w:r>
    </w:p>
    <w:p>
      <w:pPr>
        <w:spacing w:after="0" w:line="18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spacing w:after="0" w:line="17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In order to meet the 90% Income Test, we have established several special purpose corporations, and in the future may establish additional such corporations, to hold assets from which we do not anticipate earning dividends, interest or other qualifying income under the 90% Income Test (the “Taxable Subsidiaries”). Any investments held through the Taxable Subsidiaries are generally subject to U.S. federal income and other taxes, and therefore we can expect to achieve a reduced after-tax yield on such investments.</w:t>
      </w:r>
    </w:p>
    <w:p>
      <w:pPr>
        <w:spacing w:after="0" w:line="18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w:t>
      </w:r>
    </w:p>
    <w:p>
      <w:pPr>
        <w:sectPr>
          <w:pgSz w:w="11900" w:h="16838" w:orient="portrait"/>
          <w:cols w:equalWidth="0" w:num="1">
            <w:col w:w="11200"/>
          </w:cols>
          <w:pgMar w:left="240" w:top="459" w:right="459" w:bottom="1440" w:gutter="0" w:footer="0" w:header="0"/>
        </w:sectPr>
      </w:pP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00"/>
          </w:cols>
          <w:pgMar w:left="240" w:top="459" w:right="4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w:t>
      </w:r>
    </w:p>
    <w:p>
      <w:pPr>
        <w:spacing w:after="0" w:line="193"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Furthermore, a portfolio company in which we invest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 such as cancellation of indebtedness income in connection with the work-out of a leveraged investment (which, while not free from doubt, may be treated as non-qualifying income) or the receipt of other non-qualifying income.</w:t>
      </w:r>
    </w:p>
    <w:p>
      <w:pPr>
        <w:spacing w:after="0" w:line="188"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4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Investments by us in non-U.S. securities may be subject to non-U.S. income, withholding and other taxes, and therefore, our yield on any such securities may be reduced by such non-U.S. taxes. Stockholders will generally not be entitled to claim a credit or deduction with respect to non-U.S. taxes paid by us.</w:t>
      </w:r>
    </w:p>
    <w:p>
      <w:pPr>
        <w:spacing w:after="0" w:line="18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Although we do not presently expect to do so, we are authorized to borrow funds and to sell assets in order to satisfy the Annual Distribution Requirement and to avoid corporate-level U.S. federal income tax and the 4.0% U.S. federal excise tax. However, under the 1940 Act, we are not permitted to make distributions to our stockholders while our debt obligations and other senior securities are outstanding unless certain “asset coverage” tests are met. See “Regulation — Qualifying Assets” and “Regulation — Senior Securities.” Moreover, our ability to dispose of assets to satisfy the Annual Distribution Requirement and to avoid corporate-level U.S. federal income tax and the 4.0% U.S. federal excise tax may be limited by (1) the illiquid nature of our portfolio and (2) other requirements relating to our status as a RIC, including the Diversification Tests. If we dispose of assets in order to meet the Annual Distribution Requirement or to avoid corporate-level U.S. federal income tax or the 4.0% U.S. federal excise tax, we may make such dispositions at times that, from an investment standpoint, are not advantageous.</w:t>
      </w:r>
    </w:p>
    <w:p>
      <w:pPr>
        <w:spacing w:after="0" w:line="17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If we fail to satisfy the Annual Distribution Requirement or otherwise fail to qualify as a RIC in any taxable year, unless certain cure provisions apply, we will be subject to tax in that year on all of our taxable income, regardless of whether we make any distributions to our stockholders. In that case, all of such income will be subject to corporate-level U.S. federal income tax, reducing the amount available to be distributed to our stockholders. See “Failure To Qualify as a RIC” below.</w:t>
      </w:r>
    </w:p>
    <w:p>
      <w:pPr>
        <w:spacing w:after="0" w:line="18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As a RIC, we are not allowed to carry forward or carry back a net operating loss for purposes of computing our investment company taxable income in other taxable years. U.S. federal income tax law generally permits a RIC to carry forward (i) the excess of its net short-term capital loss over its net long-term capital gain for a given year as a short-term capital loss arising on the first day of the following year and (ii) the excess of its net long-term capital loss over its net short-term capital gain for a given year as a long- term capital loss arising on the first day of the following year. However, future transactions in which we may engage could cause our ability to use any capital loss carryforwards, and unrealized losses once realized, to be limited under Section 382 of the Code.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Certain of our investment practices may be subject to special and complex U.S. federal income tax provisions that may, among other things,</w:t>
      </w:r>
    </w:p>
    <w:p>
      <w:pPr>
        <w:spacing w:after="0" w:line="35" w:lineRule="exact"/>
        <w:rPr>
          <w:sz w:val="20"/>
          <w:szCs w:val="20"/>
          <w:color w:val="auto"/>
        </w:rPr>
      </w:pPr>
    </w:p>
    <w:p>
      <w:pPr>
        <w:ind w:left="200" w:right="60" w:firstLine="4"/>
        <w:spacing w:after="0" w:line="252" w:lineRule="auto"/>
        <w:tabs>
          <w:tab w:leader="none" w:pos="4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in order to mitigate the effect of these provisions.</w:t>
      </w:r>
    </w:p>
    <w:p>
      <w:pPr>
        <w:spacing w:after="0" w:line="194"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described above, to the extent that we invest in equity securities of entities that are treated as partnerships for U.S. federal income tax purposes, the effect of such investments for purposes of the 90% Income Test and the Diversification Tests will depend on whether or not the partnership is a “qualified publicly traded partnership” (as defined in Subchapter M of the Code). If the partnership is a “qualified publicly traded partnership,” the net income derived from such investments will be qualifying income for purposes of the 90% Income Test and will be “securities” for purposes of the Diversification Tests. If the partnership, however, is not treated as a “qualified publicly traded partnership,” then the consequences of an investment in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the partnership will depend upon the amount and type of income and assets of the partnership allocable to us. The income derived from such investments may not be qualifying income for purposes of the 90% Income Test and, therefore, could adversely affect our tax treatment as a RIC. We intend to monitor our investments in equity securities of entities that are treated as partnerships for U.S. federal income tax purposes to prevent our disqualification as a RIC.</w:t>
      </w:r>
    </w:p>
    <w:p>
      <w:pPr>
        <w:spacing w:after="0" w:line="18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We may invest in preferred securities or other securities the U.S. federal income tax treatment of which may not be clear or may be subject to recharacterization by the Internal Revenue Service (“IRS”). To the extent the tax treatment of such securities or the income from such securities differs from the expected tax treatment, it could affect the timing or character of income recognized, requiring us to purchase or sell securities, or otherwise change our portfolio, in order to comply with the tax rules applicable to RICs under Subchapter M of the Code.</w:t>
      </w:r>
    </w:p>
    <w:p>
      <w:pPr>
        <w:spacing w:after="0" w:line="171"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We may make distributions that are payable in cash or shares of our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The IRS has issued a revenue procedure indicating that this rule will apply if the total amount of cash to be distributed is not less than 20% of the total distribution. Under this revenue procedure, if too many stockholders elect to receive their distributions in cash, the cash available for distribution must be allocated among the shareholders electing to receive cash (with the balance of the distribution paid in stock). If we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18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may decide to retain some or all of our long-term capital gains in excess of the amount required to satisfy the Annual Distribution Requirement, but designate the retained amount as a “deemed distribution.” In that case, among other consequences, we will pay tax on the retained amount on behalf of the stockholders. Each U.S. stockholder will be required to include his, her or its share of the deemed distribution in income as if it had been actually distributed to the U.S. stockholder, and the stockholder will be entitled to claim a credit equal to his, her or its allocable share of the tax paid thereon by us. Since non-U.S. stockholders generally would not have U.S. tax liability with respect to the deemed capital gain distribution, they would not be entitled to credit the tax paid by us for U.S. tax purposes. Whether non-U.S. stockholders could claim a credit with respect to their non-U.S. tax liability will depend on the foreign tax credit rules of the country in which they are a resident.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Failure to Obtain RIC Tax Treatment</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such year if certain cure provisions are applicable (which may, among other things, require us to pay certain corporate-level U.S. federal taxes or to dispose of certain assets).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we were unable to maintain our tax treatment as a RIC, we would be subject to tax on all of our taxable income at regular corporate rates. We would not be able to deduct distributions to stockholders, nor would distributions be compulsory. Distributions would generally be taxable to our stockholders as dividend income to the extent of our current and accumulated earnings and profits (in the case of non-corporate U.S. stockholders, at a maximum U.S. federal income tax rate applicable to qualified dividend income of 20.0%). Subject to certain limitations under Subchapter M of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8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we fail to qualify as a RIC for two or more taxable years, to qualify as a RIC in a subsequent year we may be subject to regular corporate-level U.S. federal income tax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Investing in our securities involves a number of significant risks. You should carefully consider these risk factors, together with all of the other information included in this Annual Report and other reports and documents filed by us with the SEC. The risks set out below are not the only risks we face. Additional risks and uncertainties not presently known to us or not presently deemed material by us may also impair our operations and performance. If any of the following events occur, our business, financial condition, results of operations and cash flows could be materially and adversely affected. In such case, our net asset value and the trading price of our common stock could decline, and you may lose all or part of your investment.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b w:val="1"/>
          <w:bCs w:val="1"/>
          <w:i w:val="1"/>
          <w:iCs w:val="1"/>
          <w:color w:val="auto"/>
        </w:rPr>
        <w:t>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spacing w:after="0" w:line="7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depend on the investment expertise, skill and network of business contacts of the managing members of our investment advisor, who evaluate, negotiate, structure, execute and monitor our investments. Our future success will depend to a significant extent on the continued service and coordination of the investment professionals of our investment advisor and executive officers. Certain investment professionals and executives may not devote all of their business time to our operations and may have other demands on their time as a result of other activities. The departure of any of these individuals could have a material adverse effect on our ability to achieve our investment objective.</w:t>
      </w:r>
    </w:p>
    <w:p>
      <w:pPr>
        <w:spacing w:after="0" w:line="281"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b w:val="1"/>
          <w:bCs w:val="1"/>
          <w:i w:val="1"/>
          <w:iCs w:val="1"/>
          <w:color w:val="auto"/>
        </w:rPr>
        <w:t>Our business model depends, to a significant extent, upon strong referral relationships with financial institutions, sponsors and investment professionals. Any inability of our investment advisor to maintain or develop these relationships, or the failure of these relationships to generate investment opportunities, could adversely affect our business.</w:t>
      </w:r>
    </w:p>
    <w:p>
      <w:pPr>
        <w:spacing w:after="0" w:line="7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depend upon the investment professionals of our investment advisor to maintain their relationships with financial institutions, sponsors and investment professionals, and we intend to rely to a significant extent upon these relationships to provide us with potential investment opportunities. If the investment professionals of our investment advisor fail to maintain such relationships, or to develop new relationships with other sources of investment opportunities, we will not be able to grow our investment portfolio. In addition, individuals with whom the investment professionals of our investment advisor have relationships are not obligated to provide us with investment opportunities, and, therefore, we can offer no assurance that these relationships will generate investment opportunities for us in the future.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depends on our ability to manage our business effectively.</w:t>
      </w:r>
    </w:p>
    <w:p>
      <w:pPr>
        <w:spacing w:after="0" w:line="117" w:lineRule="exact"/>
        <w:rPr>
          <w:sz w:val="20"/>
          <w:szCs w:val="20"/>
          <w:color w:val="auto"/>
        </w:rPr>
      </w:pPr>
    </w:p>
    <w:p>
      <w:pPr>
        <w:ind w:left="200" w:right="160" w:firstLine="441"/>
        <w:spacing w:after="0" w:line="254" w:lineRule="auto"/>
        <w:rPr>
          <w:sz w:val="20"/>
          <w:szCs w:val="20"/>
          <w:color w:val="auto"/>
        </w:rPr>
      </w:pPr>
      <w:r>
        <w:rPr>
          <w:rFonts w:ascii="Arial" w:cs="Arial" w:eastAsia="Arial" w:hAnsi="Arial"/>
          <w:sz w:val="18"/>
          <w:szCs w:val="18"/>
          <w:color w:val="auto"/>
        </w:rPr>
        <w:t>Our ability to achieve our investment objective and grow depends on our ability to manage our business and deploy our capital effectively. This depends, in turn, on our investment advisor’s ability to identify, evaluate and monitor companies that meet our investment criteria. Accomplishing our investment objectives on a cost-effective basis depends upon our investment advisor’s execution of our investment process, its ability to provide competent, attentive and efficient services to us and, to a lesser extent, our access to financing on acceptable terms. Our investment advisor has substantial responsibilities under the Investment Advisory Agreement. In addition, our investment advisor’s investment professionals may be called upon to provide managerial assistance to our portfolio companies. These activities may distract them or slow our rate of investment. Any failure to manage our business and our future growth effectively could have a material adverse effect on our business, financial condition and results of operations.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suffer credit losses and our investments could be rated below investment grade.</w:t>
      </w:r>
    </w:p>
    <w:p>
      <w:pPr>
        <w:spacing w:after="0" w:line="117"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Private debt in the form of second lien, subordinated, and first lien (senior secured or unitranche loans) to corporate and asset-based borrowers is highly speculative and involves a high degree of risk of credit loss, and therefore an investment in our shares of common stock may not be suitable for someone with a low tolerance for risk. These risks are likely to increase during an economic recession.</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addition, investments in our portfolio are typically not rated by any rating agency. We believe that if such investments were rated, the vast majority would be rated below investment grade (which is sometimes referred to as “junk”) due to speculative characteristics of the issuer’s capacity to pay interest and repay principal. Our investments may result in an amount of risk, volatility or potential loss of principal that is greater than that of alternative investments.</w:t>
      </w:r>
    </w:p>
    <w:p>
      <w:pPr>
        <w:spacing w:after="0" w:line="29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Because we borrow money and may in the future issue additional senior securities, including preferred stock and debt securities, the potential for gain or loss on amounts invested in us is magnified and may increase the risk of investing in us.</w:t>
      </w:r>
    </w:p>
    <w:p>
      <w:pPr>
        <w:spacing w:after="0" w:line="62"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Borrowings, also known as leverage, magnify the potential for gain or loss on amounts invested and, therefore, increase the risks associated with investing in us. The Funds borrow from and issue debt securities to the SBA, and we may borrow from banks and other lenders in the future. The SBA has fixed dollar claims on the Funds’ assets that are superior to the claims of our stockholders. We may also borrow from banks and other lenders or issue additional senior securities including preferred stock and debt securities in the future. If the value of our assets increases, then leveraging would</w:t>
      </w:r>
    </w:p>
    <w:p>
      <w:pPr>
        <w:sectPr>
          <w:pgSz w:w="11900" w:h="16838" w:orient="portrait"/>
          <w:cols w:equalWidth="0" w:num="1">
            <w:col w:w="11180"/>
          </w:cols>
          <w:pgMar w:left="240" w:top="459" w:right="479" w:bottom="1440" w:gutter="0" w:footer="0" w:header="0"/>
        </w:sectPr>
      </w:pP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80"/>
          </w:cols>
          <w:pgMar w:left="240" w:top="459" w:right="47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cause the net asset value attributable to our common stock to increase more sharply than it would have had we not used leverage.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Such a decline could negatively affect our ability to make distributions to our stockholders. Leverage is generally considered a speculative investment technique.</w:t>
      </w:r>
    </w:p>
    <w:p>
      <w:pPr>
        <w:spacing w:after="0" w:line="193"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Our ability to achieve our investment objectives may depend in part on our ability to achieve additional leverage on favorable terms by borrowing from the SBA, banks or other lenders, and there can be no assurance that such additional leverage can in fact be achieved.</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a BDC, we are generally required to meet a coverage ratio at least equal to 200.0% (or 150.0% on and after April 29, 2020) of total assets to total borrowings and other senior securities, which include all of our borrowings (other than the Funds’ SBA leverage under the terms of SEC exemptive relief) and any preferred stock we may issue in the future. If this ratio declines below 200.0% (or 150% on and after April 29, 2020), we may not be able to incur additional debt and may need to sell a portion of our investments to repay some debt when it is disadvantageous to do so, and we may not be able to make distributions to our stockholders.</w:t>
      </w:r>
    </w:p>
    <w:p>
      <w:pPr>
        <w:spacing w:after="0" w:line="188"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The following table illustrates the effect of leverage on returns from an investment in our common stock assuming various annual returns, net of expenses. The calculations in the table below are hypothetical and actual returns may be higher or lower than those appearing in the table below.</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98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94"/>
              </w:rPr>
              <w:t>Assumed Return on Our Portfolio</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98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9"/>
              </w:rPr>
              <w:t>(Net of Expenses)</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w:t>
            </w:r>
            <w:r>
              <w:rPr>
                <w:rFonts w:ascii="Arial" w:cs="Arial" w:eastAsia="Arial" w:hAnsi="Arial"/>
                <w:sz w:val="14"/>
                <w:szCs w:val="14"/>
                <w:b w:val="1"/>
                <w:bCs w:val="1"/>
                <w:u w:val="single" w:color="auto"/>
                <w:color w:val="auto"/>
              </w:rPr>
              <w:t>0)%</w:t>
            </w:r>
          </w:p>
        </w:tc>
        <w:tc>
          <w:tcPr>
            <w:tcW w:w="4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0.</w:t>
            </w:r>
            <w:r>
              <w:rPr>
                <w:rFonts w:ascii="Arial" w:cs="Arial" w:eastAsia="Arial" w:hAnsi="Arial"/>
                <w:sz w:val="14"/>
                <w:szCs w:val="14"/>
                <w:b w:val="1"/>
                <w:bCs w:val="1"/>
                <w:u w:val="single" w:color="auto"/>
                <w:color w:val="auto"/>
                <w:w w:val="93"/>
              </w:rPr>
              <w:t>0%</w:t>
            </w:r>
          </w:p>
        </w:tc>
        <w:tc>
          <w:tcPr>
            <w:tcW w:w="32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w:t>
            </w:r>
            <w:r>
              <w:rPr>
                <w:rFonts w:ascii="Arial" w:cs="Arial" w:eastAsia="Arial" w:hAnsi="Arial"/>
                <w:sz w:val="14"/>
                <w:szCs w:val="14"/>
                <w:b w:val="1"/>
                <w:bCs w:val="1"/>
                <w:u w:val="single" w:color="auto"/>
                <w:color w:val="auto"/>
              </w:rPr>
              <w:t>0%</w:t>
            </w:r>
          </w:p>
        </w:tc>
        <w:tc>
          <w:tcPr>
            <w:tcW w:w="26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10.</w:t>
            </w:r>
            <w:r>
              <w:rPr>
                <w:rFonts w:ascii="Arial" w:cs="Arial" w:eastAsia="Arial" w:hAnsi="Arial"/>
                <w:sz w:val="14"/>
                <w:szCs w:val="14"/>
                <w:b w:val="1"/>
                <w:bCs w:val="1"/>
                <w:u w:val="single" w:color="auto"/>
                <w:color w:val="auto"/>
              </w:rPr>
              <w:t>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7"/>
              </w:rPr>
              <w:t>(10.</w:t>
            </w:r>
            <w:r>
              <w:rPr>
                <w:rFonts w:ascii="Arial" w:cs="Arial" w:eastAsia="Arial" w:hAnsi="Arial"/>
                <w:sz w:val="14"/>
                <w:szCs w:val="14"/>
                <w:b w:val="1"/>
                <w:bCs w:val="1"/>
                <w:u w:val="single" w:color="auto"/>
                <w:color w:val="auto"/>
                <w:w w:val="97"/>
              </w:rPr>
              <w:t>0)%</w:t>
            </w:r>
          </w:p>
        </w:tc>
        <w:tc>
          <w:tcPr>
            <w:tcW w:w="3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xml:space="preserve">Corresponding return to common stockholder </w:t>
            </w:r>
            <w:r>
              <w:rPr>
                <w:rFonts w:ascii="Arial" w:cs="Arial" w:eastAsia="Arial" w:hAnsi="Arial"/>
                <w:sz w:val="15"/>
                <w:szCs w:val="15"/>
                <w:color w:val="auto"/>
              </w:rPr>
              <w:t>(1)</w:t>
            </w:r>
          </w:p>
        </w:tc>
        <w:tc>
          <w:tcPr>
            <w:tcW w:w="3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vMerge w:val="continue"/>
            <w:shd w:val="clear" w:color="auto" w:fill="CCEEFF"/>
          </w:tcPr>
          <w:p>
            <w:pPr>
              <w:spacing w:after="0"/>
              <w:rPr>
                <w:sz w:val="18"/>
                <w:szCs w:val="18"/>
                <w:color w:val="auto"/>
              </w:rPr>
            </w:pPr>
          </w:p>
        </w:tc>
        <w:tc>
          <w:tcPr>
            <w:tcW w:w="314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(13.7)%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(4.1)%</w:t>
            </w:r>
          </w:p>
        </w:tc>
        <w:tc>
          <w:tcPr>
            <w:tcW w:w="12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vMerge w:val="continue"/>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20" w:hanging="436"/>
        <w:spacing w:after="0" w:line="264"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Assumes $789.4 million in total assets, $157.5 million in outstanding SBA debentures, $25.0 million in borrowings under the Credit Facility (as defined below), $182.3 million oustanding of our Public Notes, $412.3 million in net assets as of December 31, 2019, and an average cost of funds of 4.665%.</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Legislation that took effect in 2018 would allow us to incur additional leverage.</w:t>
      </w:r>
    </w:p>
    <w:p>
      <w:pPr>
        <w:spacing w:after="0" w:line="11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1940 Act generally prohibits the Company from incurring indebtedness unless immediately after such borrowing we have an asset coverage for total borrowings of at least 200.0% (i.e., the amount of debt may not exceed 50.0% of the value of our assets). However, in March 2018, the Small Business Credit Availability Act (“the “SBCA”) modified the 1940 Act by allowing a BDC to increase the maximum amount of leverage it may incur from an asset coverage ratio of 200.0% to an asset coverage ratio of 150.0%, if certain requirements are met. Under the SBCA,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SBCA allows the “required majority” of our independent directors, as defined in Section 57(o) of the 1940 Act, to approve an increase in our leverage capacity, and such approval would become effective after the one-year anniversary of such proposal. In either case, we would be required to make certain disclosures on our website and in SEC filings regarding, among other things, the receipt of approval to increase our leverage, our leverage capacity and usage, and risks related to leverage.</w:t>
      </w:r>
    </w:p>
    <w:p>
      <w:pPr>
        <w:spacing w:after="0" w:line="17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On April 29, 2019, our Board, including a majority of the non-interested directors, approved a minimum asset coverage ratio of 150% under Sections 18(a)(1) and 18(a)(2) of the 1940 Act. As a result, we will become subject to the 150% asset coverage ratio effective as of April 29, 2020. At present time, we do not intend to seek stockholder approval to reduce our asset coverage requirement.</w:t>
      </w:r>
    </w:p>
    <w:p>
      <w:pPr>
        <w:spacing w:after="0" w:line="181"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Leverage magnifies the potential for loss on investments in our indebtedness and on invested equity capital. As we use leverage to partially finance our investments, our stockholders will experience increased risks of investing in our securities. If the value of our assets increases, then leveraging would cause the NAV attributable to our common stock to increase more sharply than it would have had we not leveraged. Conversely, if the value of our assets decreases, leveraging would cause NAV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Increased leverage may also cause a downgrade of our credit rating. Leverage is generally considered a speculative investment technique.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75" w:lineRule="auto"/>
        <w:rPr>
          <w:sz w:val="20"/>
          <w:szCs w:val="20"/>
          <w:color w:val="auto"/>
        </w:rPr>
      </w:pPr>
      <w:r>
        <w:rPr>
          <w:rFonts w:ascii="Arial" w:cs="Arial" w:eastAsia="Arial" w:hAnsi="Arial"/>
          <w:sz w:val="15"/>
          <w:szCs w:val="15"/>
          <w:b w:val="1"/>
          <w:bCs w:val="1"/>
          <w:i w:val="1"/>
          <w:iCs w:val="1"/>
          <w:color w:val="auto"/>
        </w:rPr>
        <w:t>All of our portfolio investments are recorded at fair value as determined in good faith by our board of directors, and, as a result, there is uncertainty as to the value of our portfolio investments and the valuation process for certain of our portfolio holdings creates a conflict of interest.</w:t>
      </w:r>
    </w:p>
    <w:p>
      <w:pPr>
        <w:spacing w:after="0" w:line="1"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All of our portfolio investments take the form of debt and equity securities that are not publicly-traded. The debt and equity securities in which we invest for which market quotations are not readily available are valued at fair value as determined in good faith by our board of directors. As part of the valuation process, we may take into account the following types of factors, if relevant, in determining the fair value of our investments:</w:t>
      </w:r>
    </w:p>
    <w:p>
      <w:pPr>
        <w:spacing w:after="0" w:line="52"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comparable publicly-traded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enterprise value of a portfolio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portfolio company’s ability to make payments and its earnings and discounted cash flow;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 and</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interest rate environment and the credit markets generally that may affect the price at which similar investments may be made in the future and other relevant factors.</w:t>
      </w:r>
    </w:p>
    <w:p>
      <w:pPr>
        <w:spacing w:after="0" w:line="170"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The fair value of each investment in our portfolio is determined quarterly by our board of directors. Any changes in fair value of portfolio securities from the prior period are recorded in our consolidated statement of operations as net change in unrealized appreciation or depreciation.</w:t>
      </w:r>
    </w:p>
    <w:p>
      <w:pPr>
        <w:spacing w:after="0" w:line="12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connection with that determination, investment professionals from our investment advisor prepare portfolio company valuations based upon the most recent portfolio company financial statements available and projected financial results of each portfolio company. In addition, certain members of our board of directors have a pecuniary interest in our investment advisor. The participation of our investment advisor’s investment professionals in our valuation process, and the pecuniary interest in our investment advisor by certain members of our board of directors, may result in a conflict of interest as the management fees that we pay our investment advisor are based on our total assets (other than cash and cash equivalents but including assets purchased with borrowed amounts).</w:t>
      </w:r>
    </w:p>
    <w:p>
      <w:pPr>
        <w:spacing w:after="0" w:line="193"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13 and 16 of our portfolio company investments representing 30.9% and 36.0% of the total portfolio investments at fair value (exclusive of new portfolio company investments made during the three months ended December 31, 2019 and 2018, respectively) as of December 31, 2019 and 2018, respectively.</w:t>
      </w:r>
    </w:p>
    <w:p>
      <w:pPr>
        <w:spacing w:after="0" w:line="18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Declines in prices and liquidity in the corporate debt markets may also result in significant net unrealized depreciation in our debt portfolio. Our net asset value could be adversely affected if our determinations regarding the fair value of our investments were materially higher than the values that we ultimately realize upon the disposal of such investments.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 which could reduce returns and result in losses.</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A number of entities compete with us to make the types of investments that we make. We compete with public and private funds, other BDCs,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of our competitors may have access to funding sources that are not available to us. In addition, some of our competitors may have higher risk tolerances or different risk assessments. These characteristics could allow our competitors to consider a wider variety of investments, establish more relationships and offer better pricing and more flexible structuring than we offer. We may lose investment opportunities if we do not match our competitors’ pricing, terms and structure. If we match our competitors’ pricing, terms and structure, we may experience a decrease in net investment income or an increase in risk of capital loss. A significant part of our competitive advantage stems from the fact that the lower middle-market is underserved by traditional commercial and investment banks, and generally has less access to capital. A significant increase in the number and/or the size of our competitors in this target market could force us to accept less attractive investment terms.</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Furthermore, many of our competitors are not subject to the regulatory restrictions that the 1940 Act imposes on us as a BDC or the source of income, asset diversification and distribution requirements we must satisfy to maintain our RIC status. The competitive pressures we face may have a material adverse effect on our business, financial condition and results of operations. As a result of this existing and potentially increasing competition, we may not be able to take advantage of attractive investment opportunities from time to time, and we may not be able to identify and make investments that are consistent with our investment objective.</w:t>
      </w:r>
    </w:p>
    <w:p>
      <w:pPr>
        <w:spacing w:after="0" w:line="29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Our management and incentive fee structure may create incentives for our investment advisor that are not fully aligned with the interests of our stockholders and may encourage our investment advisor to make speculative investments.</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management and incentive fees paid to our investment advisor are based on our total assets (other than cash or cash equivalents but including assets purchased with borrowed amounts), and our investor advisor may therefore benefit when we incur debt or use leverage. This fee structure may encourage our investment advisor to cause us to borrow money to finance additional investments. Under certain circumstances, the use of borrowed money may increase the likelihood of default, which would disfavor our stockholders. Our board of directors is charged with protecting our interests by monitoring how our investment advisor addresses these and other conflicts of interests.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and must approve renewal of our Advisory Agreement.</w:t>
      </w:r>
    </w:p>
    <w:p>
      <w:pPr>
        <w:spacing w:after="0" w:line="17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part of the incentive fee payable to our investment advisor that relates to our net investment income is computed and paid on income that includes interest income that has been accrued but not yet received in cash. This fee structure may encourage our investment advisor to favor debt financings that provide for deferred interest (PIK interest), rather than current cash payments of interest. Our investment advisor may have an incentive to invest in deferred interest securities in circumstances where it would not have done so but for the opportunity to continue to earn the incentive fee even when the issuers of the deferred interest securities would not be able to make actual cash payments to us on such securities. This risk could be increased because our investment advisor is not obligated to reimburse us for any incentive fees received even if we subsequently incur losses or never receive in cash the deferred interest that was previously accrued.</w:t>
      </w:r>
    </w:p>
    <w:p>
      <w:pPr>
        <w:spacing w:after="0" w:line="17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incentive fee is based, in part, upon net capital gains realized on our investments. Unlike the portion of the incentive fee based on income, there is no hurdle rate applicable to the portion of the incentive fee based on net capital gains. As a result, our investment advisor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29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may be obligated to pay our investment advisor incentive compensation even if we incur a loss and may pay more than 20.0% of our net capital gains because we cannot recover payments made in previous years.</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Our investment advisor will be entitled to incentive compensation for each fiscal quarter in an amount equal to a percentage of the excess of our pre-incentive fee net investment income for that quarter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advisor incentive compensation for a fiscal quarter even if there is a decline in the value of our portfolio or we incur a net loss for that quarter. Further, if we pay an incentive fee of 20.0% of our realized capital gains (net of all realized capital losses and unrealized capital depreciation on a cumulative basis) and thereafter experience additional realized capital losses or unrealized capital depreciation, we will not be able to recover any portion of the incentive fee previously paid.</w:t>
      </w:r>
    </w:p>
    <w:p>
      <w:pPr>
        <w:spacing w:after="0" w:line="300"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b w:val="1"/>
          <w:bCs w:val="1"/>
          <w:i w:val="1"/>
          <w:iCs w:val="1"/>
          <w:color w:val="auto"/>
        </w:rPr>
        <w:t>A general increase in interest rates will likely have the effect of making it easier for the investment advisor to receive incentive fees, without necessarily resulting in an increase in our net earnings.</w:t>
      </w:r>
    </w:p>
    <w:p>
      <w:pPr>
        <w:spacing w:after="0" w:line="62"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Given the structure of the Investment Advisory Agreement, any general increase in interest rates can be expected to lead to higher interest rates applicable to our debt investments and will likely have the effect of making it easier for the investment advisor to meet the quarterly hurdle rate for payment of income incentive fees under the Investment Advisory Agreement without any additional increase in relative performance on the part of the investment advisor. This may occur without a corresponding increase in distributions to our stockholders. In addition, in view of the catch-up provision applicable to income incentive fees under the Investment Advisory Agreement, the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the Adviser’s income incentive fee resulting from such a general increase in interest rates.</w:t>
      </w:r>
    </w:p>
    <w:p>
      <w:pPr>
        <w:sectPr>
          <w:pgSz w:w="11900" w:h="16838" w:orient="portrait"/>
          <w:cols w:equalWidth="0" w:num="1">
            <w:col w:w="11180"/>
          </w:cols>
          <w:pgMar w:left="240" w:top="459" w:right="479" w:bottom="1440" w:gutter="0" w:footer="0" w:header="0"/>
        </w:sectPr>
      </w:pP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80"/>
          </w:cols>
          <w:pgMar w:left="240" w:top="459" w:right="4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have potential conflicts of interest related to obligations that our investment advisor may have to other clients.</w:t>
      </w:r>
    </w:p>
    <w:p>
      <w:pPr>
        <w:spacing w:after="0" w:line="11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Currently, the Company, the Funds, Fidus Credit Opportunities, L.P. and Fidus Equity Opportunities Fund, L.P. are the only investment vehicles managed by our investment advisor. The Investment Advisory Agreement does not limit our investment advisor’s ability to act as an investment advisor to other funds, including other BDCs, or other investment advisory clients. To the extent our investment advisor acts as an investment advisor to other funds or clients, including Fidus Credit Opportunities, L.P. and Fidus Equity Opportunities Fund, L.P., we may have conflicts of interest with our investment advisor or its other clients that elect to invest in similar types of securities as those in which we invest. Members of our investment advisor’s investment committee serve or may serve as officers, directors or principals of entities that operate in the same or a related line of business as we do, or of investment funds or other investment vehicles managed by our investment advisor. In serving in these multiple capacities, they may have obligations to other clients or investors in those entities, the fulfillment of which may not be in the best interests of us or our stockholders. Our investment advisor will seek to allocate investment opportunities among eligible accounts in a manner that is fair and equitable over time and consistent with an allocation policy approved by our board of directors.</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To the extent our investment advisor forms affiliates, including Fidus Credit Opportunities, L.P. and Fidus Equity Opportunities Fund, L.P., we may co-invest on a concurrent basis with such affiliates, subject to compliance with applicable regulations and regulatory guidance and our allocation procedures. While we may co-invest with investment entities managed by our investment advisor or its affiliates, to the extent permitted by the 1940 Act and the rules and regulations thereunder, the 1940 Act imposes significant limits on co-investment. On January 4, 2017, the SEC granted us relief sought in an exemptive application that expands our ability to co-invest in portfolio companies with certain of our affiliates managed by our investment advisor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We intend to co-invest, subject to the conditions included in the Order.</w:t>
      </w:r>
    </w:p>
    <w:p>
      <w:pPr>
        <w:spacing w:after="0" w:line="288"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Our investment advisor or its investment committee may, from time to time, possess material non-public information, limiting our investment discretion.</w:t>
      </w:r>
    </w:p>
    <w:p>
      <w:pPr>
        <w:spacing w:after="0" w:line="62"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The investment professionals of our investment advisor may serve as directors of, or in a similar capacity with, companies in which we invest, the securities of which are purchased or sold on our behalf.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have conflicts related to other arrangements with our investment advisor.</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entered into a license agreement with Fidus Partners, LLC under which Fidus Partners, LLC granted us a non-exclusive (provided that there is not a change in control of Fidus Partners, LLC), royalty-free license to use the name “Fidus.” Some of the members of our investment advisor’s investment committee and the senior origination professionals of our investment advisor are members of Fidus Partners, LLC. See “Management and Other Agreements — License Agreement.” In addition, we rent office space from our investment advisor and pay to our investment advisor our allocable portion of overhead and other expenses incurred in performing its obligations under the Administration Agreement, such as our allocable portion of the cost of our chief financial officer and chief compliance officer. This creates conflicts of interest that our board of directors must monitor.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Funds are licensed by the SBA, and, therefore, are subject to SBA regulations.</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The Funds are licensed to operate as SBICs and are regulated by the SBA. Under current SBA regulations, a licensed SBIC can provide capital to those entities that have a tangible net worth not exceeding $19.5 million and an average annual net income after U.S. federal income taxes not exceeding $6.5 million for the two most recent fiscal years. In addition, a licensed SBIC must devote 25.0% of its investment activity to those entities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either the number of employees or the gross sales of the business.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certain prohibited industries. Further, the SBA regulations require that a licensed SBIC be periodically examined and audited by the SBA staff to determine its compliance with the relevant SBA regulations. Compliance with these SBA requirements may cause the Funds to forego attractive investment opportunities that are not permitted under the SBA regulations, and may cause the Funds to make investments they otherwise would not make in order to remain in compliance with these regulations.</w:t>
      </w:r>
    </w:p>
    <w:p>
      <w:pPr>
        <w:sectPr>
          <w:pgSz w:w="11900" w:h="16838" w:orient="portrait"/>
          <w:cols w:equalWidth="0" w:num="1">
            <w:col w:w="11220"/>
          </w:cols>
          <w:pgMar w:left="240" w:top="459" w:right="439" w:bottom="1440" w:gutter="0" w:footer="0" w:header="0"/>
        </w:sectPr>
      </w:pP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20"/>
          </w:cols>
          <w:pgMar w:left="24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Failure to comply with the SBA regulations could result in the loss of the SBIC licenses and the resulting inability to participate in the SBA debenture program. The SBA prohibits, without prior SBA approval, a “change of control” of an SBIC or transfers that would result in any person (or a group of persons acting in concert) owning 10.0% or more of a class of capital stock of a licensed SBIC. Current SBA regulations provide the SBA with certain rights and remedies if an SBIC violates their terms. A key regulatory metric for SBA is the extent of “Capital Impairment,” which is the extent of realized (and, in certain circumstances, net unrealized) losses compared with the SBIC’s private capital commitments. Interest payments, management fees, organization and other expenses are included in determining “realized losses.” SBA regulations preclude the full amount of “unrealized appreciation” from portfolio companies from being considered when calculating Capital Impairment in certain circumstances. Remedies for regulatory violations are graduated in severity depending on the seriousness of Capital Impairment or other regulatory violations. For minor regulatory infractions, the SBA issues a warning. For more serious infractions, the use of SBA debentures may be limited or prohibited, outstanding debentures can be declared to be immediately due and payable, restrictions on distributions and making new investments may be imposed and management fees may be required to be reduced. In severe cases, the SBA may require the removal of a general partner of an SBIC or its officers, directors, managers or partners, or the SBA may obtain appointment of a receiver for the SBIC.</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SBA regulations limit the amount of SBA-guaranteed debt that may be borrowed by an SBIC.</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SBA regulations currently limit the amount that is available to be borrowed by any SBIC and guaranteed by the SBA to 300.0% of an SBIC’s regulatory capital or $175.0 million, whichever is less. For three or more SBICs under common control, the maximum amount of outstanding SBA debentures cannot exceed $350.0 million. If the Funds borrow the maximum amount from the SBA and thereafter require additional capital, our cost of capital may increase, and there is no assurance that we will be able to obtain additional financing on acceptable terms.</w:t>
      </w:r>
    </w:p>
    <w:p>
      <w:pPr>
        <w:spacing w:after="0" w:line="154"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Moreover, the Funds’ current status as SBICs does not automatically assure that they will continue to receive funding through the SBA debenture program. Receipt of SBA debenture funding is dependent upon the Funds’ continuing compliance with SBA regulations and policies and there being funding available. The amount of SBA debenture funding available to SBICs is dependent upon annual Congressional authorizations and in the future may be subject to annual Congressional appropriations. There can be no assurance that there will be sufficient SBA debenture funding available at the times desired by the Funds.</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debentures issued by the Funds and guaranteed by the SBA have a maturity of ten years and bear interest semi-annually at fixed rates. Certain of the Funds’ SBA debentures begin to mature in 2024 and will require repayment on or before the respective maturity dates. The Funds will need to generate sufficient cash flow to make required debt payments on such debentures. If the Funds are unable to generate such cash flow, the SBA, as guarantor of the debentures, will have a superior claim to our assets over our stockholders in the event the Funds liquidate or the SBA exercises its remedies under such debentures as the result of a default by the Funds.</w:t>
      </w:r>
    </w:p>
    <w:p>
      <w:pPr>
        <w:spacing w:after="0" w:line="296"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The Funds, as SBICs, are limited in their ability to make distributions to us, which could result in us being unable to meet the minimum distribution requirements to maintain our status as a RIC.</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In order to maintain our tax treatment as a RIC, we are required to timely distribute to our stockholders on an annual basis 90.0% of our net ordinary income and net short-term capital gains in excess of net long-term capital losses. For this purpose, our taxable income will include the income of the Funds (and any other entities that are disregarded as separate from us for U.S. federal income tax purposes). The Funds’ ability to make distributions to us may be limited by the Small Business Investment Act of 1958. As a result, in order to maintain our tax treatment as a RIC, we may be required to make distributions attributable to the Funds’ income without receiving any corresponding cash distributions with respect to such income. We can make no assurances that the Funds will be able to make, or not be limited in making, distributions to us. If we are unable to satisfy the annual distribution requirements, we may fail to maintain our tax treatment as a RIC, which would result in the imposition of corporate-level U.S. federal income tax on our entire taxable income without regard to any distributions made by us. See “We will be subject to corporate-level U.S. federal income tax if we are unable to maintain our tax treatment as a RIC under Subchapter M of the Code.”</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interest rates will affect our cost of capital and net investment income.</w:t>
      </w:r>
    </w:p>
    <w:p>
      <w:pPr>
        <w:spacing w:after="0" w:line="11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Most of our debt investments bear interest at fixed rates and the value of these investments could be negatively affected by increases in market interest rates. In addition, to the extent that we borrow additional funds to make investments, an increase in interest rates would make it more expensive for us to use debt to finance our investments. As a result, a significant increase in market interest rates could both reduce the value of our portfolio investments and increase our cost of capital, which would reduce our net investment income. Conversely, a decrease in interest rates may have an adverse impact on our returns by requiring us to seek lower yields on our debt investments and by increasing the risk that our portfolio companies will prepay the debt investments, resulting in the need to redeploy capital at potentially lower rates.</w:t>
      </w: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Changes relating to the LIBOR calculation process may adversely affect the value of our portfolio of LIBOR-indexed, floating-rate debt securities.</w:t>
      </w:r>
    </w:p>
    <w:p>
      <w:pPr>
        <w:spacing w:after="0" w:line="152"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 the recent past, concerns have been publicized that some of the member banks surveyed by the British Bankers’ Association (“BBA”) in connection with the calculation of The London Inter-bank Offered Rate (“LIBOR”) across a range of maturities and currencies may have been under-reporting or otherwise manipulating the inter-bank lending rate applicable to them in order to profit on their derivative positions or to avoid an appearance of capital insufficiency or adverse reputational or other consequences that may have resulted from reporting inter-bank lending rates higher than those they actually submitted. A number of BBA member banks entered into settlements with their regulators and law enforcement agencies with respect to alleged manipulation of LIBOR, and investigations by regulators and governmental authorities in various jurisdictions are ongoing.</w:t>
      </w:r>
    </w:p>
    <w:p>
      <w:pPr>
        <w:spacing w:after="0" w:line="16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Actions by ICE Benchmark Administration, regulators or law enforcement agencies as a result of these or future events, may result in changes to the manner in which LIBOR is determined. Potential changes, or uncertainty related to such potential changes may adversely affect the market for LIBOR-based securities, including our portfolio of LIBOR-indexed, floating-rate debt securities. In addition, any further changes or reforms to the determination or supervision of LIBOR may result in a sudden or prolonged increase or decrease in reported LIBOR, which could have an adverse impact on the market for LIBOR-based securities or the value of our portfolio of LIBOR-indexed, floating-rate debt securities, loans, and other financial obligations or extensions of credit held by or due to us.</w:t>
      </w:r>
    </w:p>
    <w:p>
      <w:pPr>
        <w:spacing w:after="0" w:line="193" w:lineRule="exact"/>
        <w:rPr>
          <w:sz w:val="20"/>
          <w:szCs w:val="20"/>
          <w:color w:val="auto"/>
        </w:rPr>
      </w:pPr>
    </w:p>
    <w:p>
      <w:pPr>
        <w:ind w:left="200" w:right="380" w:firstLine="441"/>
        <w:spacing w:after="0" w:line="279" w:lineRule="auto"/>
        <w:rPr>
          <w:sz w:val="20"/>
          <w:szCs w:val="20"/>
          <w:color w:val="auto"/>
        </w:rPr>
      </w:pPr>
      <w:r>
        <w:rPr>
          <w:rFonts w:ascii="Arial" w:cs="Arial" w:eastAsia="Arial" w:hAnsi="Arial"/>
          <w:sz w:val="17"/>
          <w:szCs w:val="17"/>
          <w:color w:val="auto"/>
        </w:rPr>
        <w:t>On July 27, 2017, the U.K. Financial Conduct Authority, which regulates LIBOR, announced that it intends to stop persuading or compelling banks to submit LIBOR rates after 2021. It is unclear if at that time LIBOR will cease to exist or if new methods of calculating LIBOR will be established such that it continues to exist after 2021. We have exposure to LIBOR, including in financial instruments that mature after 2021. Our exposure arises from the value of our portfolio of LIBOR-indexed, floating-rate debt securities.</w:t>
      </w:r>
    </w:p>
    <w:p>
      <w:pPr>
        <w:spacing w:after="0" w:line="171" w:lineRule="exact"/>
        <w:rPr>
          <w:sz w:val="20"/>
          <w:szCs w:val="20"/>
          <w:color w:val="auto"/>
        </w:rPr>
      </w:pPr>
    </w:p>
    <w:p>
      <w:pPr>
        <w:jc w:val="both"/>
        <w:ind w:left="200" w:right="40" w:firstLine="441"/>
        <w:spacing w:after="0" w:line="257" w:lineRule="auto"/>
        <w:rPr>
          <w:sz w:val="20"/>
          <w:szCs w:val="20"/>
          <w:color w:val="auto"/>
        </w:rPr>
      </w:pPr>
      <w:r>
        <w:rPr>
          <w:rFonts w:ascii="Arial" w:cs="Arial" w:eastAsia="Arial" w:hAnsi="Arial"/>
          <w:sz w:val="18"/>
          <w:szCs w:val="18"/>
          <w:color w:val="auto"/>
        </w:rPr>
        <w:t>In the United States, the Federal Reserve Board and the Federal Reserve Bank of New York, in conjunction with the Alternative Reference Rates Committee, a steering committee comprised of large U.S. financial institutions, is considering replacing U.S. dollar LIBOR with a new index calculated by short-term repurchase agreements, backed by Treasury securities called the Secured Overnight Financing Rate (“SOFR”). The Federal Reserve Bank of New York began publishing SOFR in 2018. Whether or not SOFR attains market traction as a LIBOR replacement remains a question and the future of LIBOR at this time is uncertain.</w:t>
      </w:r>
    </w:p>
    <w:p>
      <w:pPr>
        <w:spacing w:after="0" w:line="18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elimination of LIBOR or any other changes or reforms to the determination or supervision of LIBOR could have an adverse impact on the market for or value of any LIBOR-indexed, floating-rate debt securities, loans, and other financial obligations or extensions of credit held by or due to us or on our overall financial condition or results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enter into transactions involving derivatives and financial commitment transactions may be limited.</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SEC has proposed a new rule under the 1940 Act that would govern the use of derivatives (defined to include any swap, security-based swap, futures contract, forward contract, option or any similar instrument) as well as financial commitment transactions (defined to include reverse repurchase agreements, short sale borrowings and any firm or standby commitment agreement or similar agreement) by BDCs. Under the proposed rule, a BDC would be required to comply with one of two alternative portfolio limitations and manage the risks associated with derivatives transactions and financial commitment transactions by segregating certain assets. Furthermore, a BDC that engages in more than a limited amount of derivatives transactions or that uses complex derivatives would be required to establish a formalized derivatives risk management program. If the SEC adopts this rule in the form proposed, our ability to enter into transactions involving such instruments may be hindered, which could have an adverse effect on our business, financial condition and results of operations.</w:t>
      </w:r>
    </w:p>
    <w:p>
      <w:pPr>
        <w:spacing w:after="0" w:line="28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Global economic, political and market conditions may adversely affect our business, results of operations and financial condition, including our revenue growth and profitability.</w:t>
      </w:r>
    </w:p>
    <w:p>
      <w:pPr>
        <w:spacing w:after="0" w:line="62"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The current worldwide financial market situation, as well as various social and political tensions in the United States and around the world, may contribute to increased market volatility, may have long-term effects on the U.S. and worldwide financial markets, and may cause economic uncertainties or deterioration in the United States and worldwide. The U.S. and global capital markets experienced extreme volatility and disruption during the economic downturn that began in mid-2007, and the U.S. economy was in a recession for several consecutive calendar quarters during the same period. In 2010, a financial crisis emerged in Europe, triggered by high budget deficits and rising direct and contingent sovereign debt, which created concerns about the ability of certain nations to continue to service their sovereign debt obligations. Risks resulting from such debt crisis, including any austerity measures taken in exchange for bailout of certain nations, and any future debt crisis in Europe or any similar crisis elsewhere could have a detrimental impact on the global economic recovery, sovereign and non-sovereign debt in certain countries and the financial condition of</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financial institutions generally. In June 2016, the United Kingdom held a referendum in which voters approved an exit from the European Union (“Brexit”), and, subsequently, on March 29, 2017, the U.K. government began the formal process of leaving the European Union. The United Kingdom formally left the European Union on January 31, 2020 and immediately entered a transition period set to expire on December 31, 2020. Brexit has created political and economic uncertainty and instability in the global markets (including currency and credit markets) and especially in the United Kingdom and European Union, and this uncertainty and instability may last indefinitely. The implications of the United Kingdom’s withdrawal from the European Union are unclear at present. There is also continued concern about national-level support for the Euro and the accompanying coordination of fiscal and wage policy among European Economic and Monetary Union member countries. In addition, the fiscal and monetary policies of foreign nations, such as Russia and China, may have a severe impact on the worldwide and U.S. financial markets.</w:t>
      </w:r>
    </w:p>
    <w:p>
      <w:pPr>
        <w:spacing w:after="0" w:line="287"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The current state of the economy and financial markets of the U.S., United Kingdom, China and other several countries in the European Union increases the likelihood of adverse effects on our financial position and results of operations.</w:t>
      </w:r>
    </w:p>
    <w:p>
      <w:pPr>
        <w:spacing w:after="0" w:line="62"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Due to federal budget deficit concerns, S&amp;P downgraded the federal government’s credit rating from AAA to AA+ for the first time in history on August 5, 2011. Further downgrades or warnings by S&amp;P or other rating agencies, and the U.S.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2010, a financial crisis emerged in Europe, triggered by high budget deficits and rising direct and contingent sovereign debt, which created concerns about the ability of certain nations to continue to service their sovereign debt obligations. Risks resulting from such debt crisis and any future debt crisis in Europe or any similar crisis elsewhere could have a detrimental impact on the global economic recovery, sovereign and non-sovereign debt in certain countries and the financial condition of financial institutions generally.</w:t>
      </w:r>
    </w:p>
    <w:p>
      <w:pPr>
        <w:spacing w:after="0" w:line="18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In the second quarter of 2015, stock prices in China experienced a significant drop, resulting primarily from continued selloff of shares trading in Chinese markets. In addition, in August 2015, Chinese authorities sharply devalued China’s currency. Since then, the Chinese capital markets have continued to experience periods of instability. In June 2016, British voters passed a referendum to exit the European Union leading to heightened volatility in global markets and foreign currencies. These market and economic disruptions have affected, and may in the future affect, the U.S. capital markets, which could adversely affect our business, financial condition or results of operations.</w:t>
      </w:r>
    </w:p>
    <w:p>
      <w:pPr>
        <w:spacing w:after="0" w:line="173"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Additionally, since December 2015, the Federal Reserve has continued to raise the Federal Funds Rate and has announced its intention to continue to raise the federal funds rate over time. These developments, along with the U.S. government’s credit and deficit concerns, the European sovereign debt crisis and the economic slowdown in China, could cause interest rates and borrowing costs to rise, which may negatively impact our ability to access the debt markets on favorable terms.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experience fluctuations in our quarterly operating results.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our ability or inability to make investments in companies that meet our investment criteria,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9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tax treatment as a RIC under Subchapter M of the Code.</w:t>
      </w:r>
    </w:p>
    <w:p>
      <w:pPr>
        <w:spacing w:after="0" w:line="6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have elected to be treated as a RIC under Subchapter M of the Code; however, no assurance can be given that we will be able to maintain our RIC tax treatment. To maintain our tax treatment as a RIC under Subchapter M of the Code and to avoid the imposition of U.S. federal income taxes on income and gains distributed to our stockholders, we must meet certain requirements, including source-of-income, asset diversification and annual distribution requirements. The source-of-income requirement will be satisfied if we derive at least 90.0% of our gross income for each year from dividends, interest, gains from sale of securities or similar sources. To maintain our tax treatment as a RIC, we must also meet certain asset diversification requirements at the end of each calendar quarter. Failure to meet these requirements may result in our losing our RIC tax treatment or our having to dispose of certain investments quickly in order to prevent the loss of RIC tax treatment. Because most of our investments will be in private or</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thinly traded public companies, any such dispositions could be made at disadvantageous prices and may result in substantial losses. The annual distribution requirement applicable to RICs will be satisfied if we timely distribute at least 90.0% of our net ordinary income and net short-term capital gains in excess of net long-term capital losses, if any, to our stockholders on an annual basis. In addition, we will be subject to a 4.0% nondeductible U.S. federal excise tax to the extent that we do not satisfy certain additional minimum distribution requirements on a calendar-year basis. We will be subject, to the extent we use debt financing, to certain asset coverage ratio requirements under the 1940 Act and financial covenants under loan and credit agreements that could, under certain circumstances, restrict us from making annual distributions necessary to maintain our tax treatment as a RIC. If we are unable to obtain cash from other sources, we may fail to maintain our tax treatment as a RIC and, thus, may be subject to U.S. federal corporate income tax on our entire taxable income without regard to any distributions made by us. If we fail to maintain our tax treatment as a RIC for any reason and become subject to U.S. corporate income tax, the resulting tax liability could substantially reduce our net assets, the amount of income available for distributions to stockholders and the amount of our distributions and the amount of funds available for new investments. Such a failure could have a material adverse effect on us and our stockholders.</w:t>
      </w:r>
    </w:p>
    <w:p>
      <w:pPr>
        <w:spacing w:after="0" w:line="291" w:lineRule="exact"/>
        <w:rPr>
          <w:sz w:val="20"/>
          <w:szCs w:val="20"/>
          <w:color w:val="auto"/>
        </w:rPr>
      </w:pPr>
    </w:p>
    <w:p>
      <w:pPr>
        <w:ind w:left="200" w:right="480"/>
        <w:spacing w:after="0" w:line="308" w:lineRule="auto"/>
        <w:rPr>
          <w:sz w:val="20"/>
          <w:szCs w:val="20"/>
          <w:color w:val="auto"/>
        </w:rPr>
      </w:pPr>
      <w:r>
        <w:rPr>
          <w:rFonts w:ascii="Arial" w:cs="Arial" w:eastAsia="Arial" w:hAnsi="Arial"/>
          <w:sz w:val="17"/>
          <w:szCs w:val="17"/>
          <w:b w:val="1"/>
          <w:bCs w:val="1"/>
          <w:i w:val="1"/>
          <w:iCs w:val="1"/>
          <w:color w:val="auto"/>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spacing w:after="0" w:line="38"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the impact of one or more of the risk factors described in this annual report on Form 10-K. In addition, due to the asset coverage test applicable to us as a BDC, in the future, we may be limited in our ability to make distributions. All distributions will be made at the discretion of our board of directors and will depend on our earnings, our financial condition, maintenance of RIC tax treatment, compliance with applicable BDC regulations, SBA regulations, state corporate laws affecting the distribution of corporate assets and such other factors as our board of directors may deem relevant from time to time. We cannot assure you that we will make distributions to our stockholders in the future.</w:t>
      </w:r>
    </w:p>
    <w:p>
      <w:pPr>
        <w:spacing w:after="0" w:line="167"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If we issue debt securities in the future, the above-referenced restrictions on distributions may also inhibit our ability to make required interest payments to holders of any such debt securities, which may cause a default under the terms of our then-existing debt agreements. Such a default could materially increase our cost of raising capital, as well as cause us to incur penalties under the terms of our then-existing debt agreements.</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When we make quarterly distributions, we will be required to determine the extent to which such distributions are paid out of current and accumulated earnings and profits, recognized capital gain or capital. To the extent there is a return of capital, an investor gets his or her own invested capital returned to him or her, but reduced by the amount of the Company’s expenses and any sales load he or she may have paid. In addition, investors will be required to reduce their basis in our stock for U.S. federal income tax purposes.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4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For U.S. federal income tax purposes, we are required to include in our income certain amounts that we have not yet received in cash, such as OID, which may arise if we receive warrants in connection with the making of a loan or in other circumstances, and contractual PIK interest, which represents contractual interest added to the loan balance and due at the end of the loan term. Such OID, or increases in loan balances as a result of contracted PIK arrangements, will be included in our income before we receive any corresponding cash payments. We also may be required to include in our income certain other amounts that we will not receive in cash.</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Since in certain cases we may be required to recognize income before or without receiving cash representing such income, we may have difficulty meeting the requirement to distribute on an annual basis at least 90.0% of our net ordinary income and net short-term capital gains in excess of net long-term capital losses, if any, to maintain our tax treatment as a RIC. In such a case, we may have to sell some of our investments at times and/or at prices we would not consider advantageous, raise additional debt or equity capital or forgo new investment opportunities to satisfy the annual distribution requirements. In such circumstances, if we are unable to obtain such cash from other sources, we may fail to maintain our tax treatment as a RIC and thus be subject to corporate-level U.S. federal income tax. See “We will be subject to corporate-level U.S. federal income tax if we are unable to maintain our tax treatment as a RIC under Subchapter M of the Code.”</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 it received that was based on accrued income that we never receive as a result of a default by an entity on the obligation that resulted in the accrual of such income. That part of the incentive fee payable by us that relates to our net investment income will be computed and paid on income that may include interest that has been accrued but not yet received in cash, such as market discount, debt instruments with PIK interest, preferred stock with PIK dividends and zero coupon securities.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To the extent the we invest in OID instruments, including PIK loans, zero coupon bonds, and debt securities with attached warrants, investors will be exposed to the risks associated with the inclusion of such non-cash income in taxable and accounting income prior to receipt of cash, including the following risks:</w:t>
      </w:r>
    </w:p>
    <w:p>
      <w:pPr>
        <w:spacing w:after="0" w:line="87" w:lineRule="exact"/>
        <w:rPr>
          <w:sz w:val="20"/>
          <w:szCs w:val="20"/>
          <w:color w:val="auto"/>
        </w:rPr>
      </w:pPr>
    </w:p>
    <w:p>
      <w:pPr>
        <w:ind w:left="1180" w:right="22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interest payments deferred on a PIK loan are subject to the risk that the borrower may default when the deferred payments are due in cash at the maturity of the loan;</w:t>
      </w:r>
    </w:p>
    <w:p>
      <w:pPr>
        <w:spacing w:after="0" w:line="75"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interest rates on PIK loans are higher to reflect the time-value of money on deferred interest payments and the higher credit risk of borrowers who may need to defer interest payments;</w:t>
      </w:r>
    </w:p>
    <w:p>
      <w:pPr>
        <w:spacing w:after="0" w:line="75" w:lineRule="exact"/>
        <w:rPr>
          <w:rFonts w:ascii="Arial" w:cs="Arial" w:eastAsia="Arial" w:hAnsi="Arial"/>
          <w:sz w:val="18"/>
          <w:szCs w:val="18"/>
          <w:color w:val="auto"/>
        </w:rPr>
      </w:pPr>
    </w:p>
    <w:p>
      <w:pPr>
        <w:ind w:left="1180" w:right="54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PIK instruments may have unreliable valuations because the accruals require judgments about ultimate collectability of the deferred payments and the value of the associated collateral;</w:t>
      </w:r>
    </w:p>
    <w:p>
      <w:pPr>
        <w:spacing w:after="0" w:line="75" w:lineRule="exact"/>
        <w:rPr>
          <w:rFonts w:ascii="Arial" w:cs="Arial" w:eastAsia="Arial" w:hAnsi="Arial"/>
          <w:sz w:val="18"/>
          <w:szCs w:val="18"/>
          <w:color w:val="auto"/>
        </w:rPr>
      </w:pPr>
    </w:p>
    <w:p>
      <w:pPr>
        <w:ind w:left="1180" w:right="280" w:hanging="436"/>
        <w:spacing w:after="0" w:line="264"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election to defer PIK interest payments by adding them to principal increases our gross assets and, thus, increases future base management fees to the Adviser and, because interest payments will then be payable on a larger principal amount, the PIK election also increases the Adviser’s future income incentive fees at a compounding rate;</w:t>
      </w:r>
    </w:p>
    <w:p>
      <w:pPr>
        <w:spacing w:after="0" w:line="86"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prices of OID instruments are more volatile because they are affected to a greater extent by interest rate changes than instruments that pay interest periodically in cash;</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deferral of interest on a PIK loan increases its loan-to-value ratio, which is a measure of the riskiness of a loan;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OID creates the risk of non-refundable cash payments to the Adviser based on non-cash accruals that may never be realized;</w:t>
      </w:r>
    </w:p>
    <w:p>
      <w:pPr>
        <w:spacing w:after="0" w:line="130" w:lineRule="exact"/>
        <w:rPr>
          <w:rFonts w:ascii="Arial" w:cs="Arial" w:eastAsia="Arial" w:hAnsi="Arial"/>
          <w:sz w:val="18"/>
          <w:szCs w:val="18"/>
          <w:color w:val="auto"/>
        </w:rPr>
      </w:pPr>
    </w:p>
    <w:p>
      <w:pPr>
        <w:jc w:val="both"/>
        <w:ind w:left="1180" w:right="40" w:hanging="436"/>
        <w:spacing w:after="0" w:line="342"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U.S. federal income tax purposes, we will be required to make distributions of OID income to shareholders without receiving any cash and such distributions have to be paid from offering proceeds or the sale of assets without investors being given any notice of this fact; and</w:t>
      </w:r>
    </w:p>
    <w:p>
      <w:pPr>
        <w:spacing w:after="0" w:line="29" w:lineRule="exact"/>
        <w:rPr>
          <w:rFonts w:ascii="Arial" w:cs="Arial" w:eastAsia="Arial" w:hAnsi="Arial"/>
          <w:sz w:val="16"/>
          <w:szCs w:val="16"/>
          <w:color w:val="auto"/>
        </w:rPr>
      </w:pPr>
    </w:p>
    <w:p>
      <w:pPr>
        <w:ind w:left="1180" w:right="40" w:hanging="436"/>
        <w:spacing w:after="0" w:line="264"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required recognition of OID, including PIK, interest for U.S. federal income tax purposes may have a negative impact on liquidity, because it represents a non-cash component of the our taxable income that must, nevertheless, be distributed in cash to investors to avoid it being subject to corporate level taxation.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You may have a current tax liability on distributions you elect to reinvest in our common stock but would not receive cash to pay such tax liability.</w:t>
      </w:r>
    </w:p>
    <w:p>
      <w:pPr>
        <w:spacing w:after="0" w:line="15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you participate in our dividend reinvestment plan, you will be deemed to have received, and for U.S. federal income tax purposes will be taxed on, the amount reinvested in our common stock to the extent the amount reinvested was not a tax-free return of capital. As a result, unless you are a tax-exempt entity, you may have to use funds from other sources to pay your tax liability on the value of our common stock received as a result of the distribution.</w:t>
      </w:r>
    </w:p>
    <w:p>
      <w:pPr>
        <w:spacing w:after="0" w:line="295" w:lineRule="exact"/>
        <w:rPr>
          <w:sz w:val="20"/>
          <w:szCs w:val="20"/>
          <w:color w:val="auto"/>
        </w:rPr>
      </w:pPr>
    </w:p>
    <w:p>
      <w:pPr>
        <w:ind w:left="200" w:right="600"/>
        <w:spacing w:after="0" w:line="342" w:lineRule="auto"/>
        <w:rPr>
          <w:sz w:val="20"/>
          <w:szCs w:val="20"/>
          <w:color w:val="auto"/>
        </w:rPr>
      </w:pPr>
      <w:r>
        <w:rPr>
          <w:rFonts w:ascii="Arial" w:cs="Arial" w:eastAsia="Arial" w:hAnsi="Arial"/>
          <w:sz w:val="16"/>
          <w:szCs w:val="16"/>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6"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have elected to be taxed for U.S. federal income tax purposes as a RIC under Subchapter M of the Code. If we continue to meet certain requirements, including source-of-income, asset diversification and distribution requirements, and if we continue to be regulated as a BDC, we will continue to qualify to be taxed as a RIC and therefore will not have to pay U.S. federal corporate income tax on income that we timely distribute to our stockholders, allowing us to substantially reduce or eliminate our corporate-level income tax liability. As a BDC, we are generally required to meet a coverage ratio of total assets to total senior securities, which includes all of our borrowings (other than SBA leverage) and any preferred stock we may issue in the future, of at least 200.0% (or 150% on and after April 29, 2020) at the time we issue any debt or preferred stock. This requirement limits the amount of our leverage. Because we will continue to need capital to grow our investment portfolio, this limitation may prevent us from incurring debt or issuing preferred stock and require us to raise additional equity at a time when it may be disadvantageous to do so.</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While we expect to be able to borrow and to issue additional debt and equity securities, we cannot assure you that debt and equity financing will be available to us on favorable terms, or at all. If additional funds are not available to us, we could be forced to curtail or cease new investment activities, and our net asset value could decline. In addition, as a BDC, we generally are not permitted to issue equity securities priced below net asset value without stockholder approval. At our Annual Stockholders Meeting on June 19, 2019, our stockholders voted to allow us to issue common stock at a price below net asset value per share for a period of one year ending on the earlier of June 19, 2020 or the date of our 2020 Annual Meeting of Stockholders. We expect to present to our stockholders a similar proposal at our 2020 Annual Meeting of Stockholders. The maximum number of shares issuable below net asset value pursuant to the authority granted by our stockholders that could result in such dilution is limited to 25.0% of FIC’s then outstanding common stock immediately prior to each such sale. We do not intend to issue shares of our common stock below net asset value unless our board of directors determines that it would be in our stockholders’ best interests to do so. The level of net asset value dilution that could result from such an offering is not limited.</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Our board of directors has the authority, except as otherwise provided by the 1940 Act, to modify or waive certain of our operating policies and strategies without prior notice and without stockholder approval. Under Maryland law, we also cannot be dissolved without prior stockholder approval except by judicial action. In addition, upon approval of a majority of our stockholders, we may elect to withdraw our status as a BDC. If we, or Fund I, decide to withdraw our election, or if we otherwise fail to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 We cannot predict the effect any changes to our current operating policies and strategies would have on our business, operating results or the value of our common stock. Nevertheless, any such changes could adversely affect our business and impair our ability to make distributions.</w:t>
      </w:r>
    </w:p>
    <w:p>
      <w:pPr>
        <w:spacing w:after="0" w:line="300"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Regulations governing our operation as a BDC affect our ability to raise, and the way in which we raise, additional capital which may have a negative effect on our growth.</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will require capital to operate and grow. We may acquire such additional capital from the following sources:</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 xml:space="preserve">Senior Securities. </w:t>
      </w:r>
      <w:r>
        <w:rPr>
          <w:rFonts w:ascii="Arial" w:cs="Arial" w:eastAsia="Arial" w:hAnsi="Arial"/>
          <w:sz w:val="18"/>
          <w:szCs w:val="18"/>
          <w:color w:val="auto"/>
        </w:rPr>
        <w:t>Currently we, through the Funds, issue debt securities guaranteed by the SBA and have access to funds under a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 the future, we may issue debt securities or preferred stock and/or borrow money from banks or other financial institutions, which we refer to collectively as senior securities. As a result of issuing senior securities, we will be exposed to additional risks, including, but not limited to, the following:</w:t>
      </w:r>
    </w:p>
    <w:p>
      <w:pPr>
        <w:spacing w:after="0" w:line="92" w:lineRule="exact"/>
        <w:rPr>
          <w:sz w:val="20"/>
          <w:szCs w:val="20"/>
          <w:color w:val="auto"/>
        </w:rPr>
      </w:pPr>
    </w:p>
    <w:p>
      <w:pPr>
        <w:ind w:left="1180" w:right="60" w:hanging="436"/>
        <w:spacing w:after="0" w:line="255"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the provisions of the 1940 Act, we are permitted, as a BDC, to issue senior securities only in amounts such that our asset coverage, as defined in the 1940 Act, equals at least 200.0% after each issuance of senior securities (or 150.0%, if certain requirements are met). If the value of our assets declines, we may be unable to satisfy this test. If that happens, we may sell a portion of our investments and, depending on the nature of our leverage, repay a portion of our debt at a time when such sales and/or repayments may be disadvantageous. Further, we will not be permitted to declare or make any distribution to stockholders or repurchase shares until such time as we satisfy this test.</w:t>
      </w:r>
    </w:p>
    <w:p>
      <w:pPr>
        <w:spacing w:after="0" w:line="98"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amounts that we use to service our debt or make payments on preferred stock will not be available for distributions to our common stockholders.</w:t>
      </w:r>
    </w:p>
    <w:p>
      <w:pPr>
        <w:spacing w:after="0" w:line="75" w:lineRule="exact"/>
        <w:rPr>
          <w:rFonts w:ascii="Arial" w:cs="Arial" w:eastAsia="Arial" w:hAnsi="Arial"/>
          <w:sz w:val="18"/>
          <w:szCs w:val="18"/>
          <w:color w:val="auto"/>
        </w:rPr>
      </w:pPr>
    </w:p>
    <w:p>
      <w:pPr>
        <w:ind w:left="1180" w:right="40" w:hanging="436"/>
        <w:spacing w:after="0" w:line="259"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likely that any senior securities or other indebtedness we issue will be governed by an indenture or other instrument containing covenants restricting our operating flexibility. Additionally, some of these securities or other indebtedness may be rated by rating agencies, and in obtaining a rating for such securities and other indebtedness, we may be required to abide by operating and investment guidelines that further restrict operating and financial flexibility.</w:t>
      </w:r>
    </w:p>
    <w:p>
      <w:pPr>
        <w:spacing w:after="0" w:line="92"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and, indirectly, our stockholders will bear the cost of issuing and servicing such securities and other indebtedness.</w:t>
      </w:r>
    </w:p>
    <w:p>
      <w:pPr>
        <w:spacing w:after="0" w:line="130" w:lineRule="exact"/>
        <w:rPr>
          <w:rFonts w:ascii="Arial" w:cs="Arial" w:eastAsia="Arial" w:hAnsi="Arial"/>
          <w:sz w:val="18"/>
          <w:szCs w:val="18"/>
          <w:color w:val="auto"/>
        </w:rPr>
      </w:pPr>
    </w:p>
    <w:p>
      <w:pPr>
        <w:jc w:val="both"/>
        <w:ind w:left="1180" w:right="100" w:hanging="436"/>
        <w:spacing w:after="0" w:line="264"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Preferred stock or any convertible or exchangeable securities that we issue in the future may have rights, preferences and privileges more favorable than those of our common stock, including separate voting rights and could delay or prevent a transaction or a change in control to the detriment of the holders of our common stock.</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Under the provisions of the 1940 Act, we are not generally able to issue and sell our common stock at a price below</w:t>
      </w:r>
      <w:r>
        <w:rPr>
          <w:rFonts w:ascii="Arial" w:cs="Arial" w:eastAsia="Arial" w:hAnsi="Arial"/>
          <w:sz w:val="16"/>
          <w:szCs w:val="16"/>
          <w:i w:val="1"/>
          <w:iCs w:val="1"/>
          <w:color w:val="auto"/>
        </w:rPr>
        <w:t xml:space="preserve"> </w:t>
      </w:r>
      <w:r>
        <w:rPr>
          <w:rFonts w:ascii="Arial" w:cs="Arial" w:eastAsia="Arial" w:hAnsi="Arial"/>
          <w:sz w:val="16"/>
          <w:szCs w:val="16"/>
          <w:color w:val="auto"/>
        </w:rPr>
        <w:t>net asset value per share. We may, however, sell our common stock, warrants, options or rights to acquire our common stock, at a price below the current net asset value of the common stock if our board of directors determines that such sale is in the best interests of our stockholders, and our stockholders approve such sale. At our Annual Stockholders Meeting on June 19, 2019, our stockholders voted to allow us to issue common stock at a price below net asset value per share for a period of one year ending on the earlier of June 19, 2020 or the date of our 2020 Annual Meeting of Stockholders. We expect to present to our stockholders a similar proposal at our 2020 Annual Meeting of Stockholders. The maximum number of shares issuable below net asset value pursuant to the authority granted by our stockholders that could result in such dilution is limited to 25.0%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 In any such case, however, the price at which our common stock is to be issued and sold may not be less than a price which,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 and the regulations and staff interpretations thereunder.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The U.S. Presidential Administration may make substantial changes to financial regulation, as well as fiscal and tax policies that may adversely affect our business.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Republican Party currently controls the executive branch and the Senate portion of the legislative branch of government, which we believe increases the likelihood that legislation may be adopted that could significantly affect the regulation of U.S. financial markets. Areas subject to potential change, amendment or repeal include the Wall Street Reform and Consumer protection Act of 2010 (“Dodd-Frank Act”) and the authority of the Federal Reserve and the Financial Stability Oversight Council. 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 We cannot predict the duration of the effects related to these or similar events in the future on the U.S. economy and securities markets or on our investments. We monitor developments and seek to manage our investments in a manner consistent with achieving our investment objective, but there can be no assurance that we will be successful in doing so.</w:t>
      </w:r>
    </w:p>
    <w:p>
      <w:pPr>
        <w:spacing w:after="0" w:line="16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current U.S. presidential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business, they could adversely affect our business, financial condition, operating results and cash flows. Until we know what policy changes are made and how those changes impact business and the business of our competitors over the long term, we will not know if, overall, we will benefit from them or be negatively affected by them.</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Uncertainty about U.S. Presidential Administration initiatives could negatively impact our business, financial condition and results of operations.</w:t>
      </w:r>
    </w:p>
    <w:p>
      <w:pPr>
        <w:spacing w:after="0" w:line="14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reform could have a negative effect on the Company.</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On December 22, 2017, tax reform legislation commonly referred to as the Tax Cuts and Jobs Act was signed into law. This legislation makes significant changes to the U.S. federal income tax rules applicable to both individuals and entities, including permanently reducing the U.S. federal corporate income tax rate, reducing the maximum U.S. federal individual income tax rate (effective for taxable years 2018 through 2025), restricting the deductibility of interest expense, and changing the rules regarding the calculation of net operating loss deductions that may be used to offset taxable income. There is uncertainty as to the impact of this legislation on us, the entities in which we invest, or an investment in our securities. New legislation and any U.S. Treasury regulations, administrative interpretations or court decisions interpreting such legislation could significantly and negatively affect the Company’s ability to qualify for tax treatment as a RIC or the U.S. federal income tax consequences to the Company and its investors of such qualification, or could have other adverse consequences. You are urged to consult with your tax advisor with respect to the impact of this legislation and the status of any other regulatory or administrative developments and proposals and their potential effect on your investment in our securities.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Changes in laws or regulations governing our operations may adversely affect our business or cause us to alter our business strategy.</w:t>
      </w:r>
    </w:p>
    <w:p>
      <w:pPr>
        <w:spacing w:after="0" w:line="129" w:lineRule="exact"/>
        <w:rPr>
          <w:sz w:val="20"/>
          <w:szCs w:val="20"/>
          <w:color w:val="auto"/>
        </w:rPr>
      </w:pPr>
    </w:p>
    <w:p>
      <w:pPr>
        <w:jc w:val="both"/>
        <w:ind w:left="200" w:right="400" w:firstLine="441"/>
        <w:spacing w:after="0" w:line="259" w:lineRule="auto"/>
        <w:rPr>
          <w:sz w:val="20"/>
          <w:szCs w:val="20"/>
          <w:color w:val="auto"/>
        </w:rPr>
      </w:pPr>
      <w:r>
        <w:rPr>
          <w:rFonts w:ascii="Arial" w:cs="Arial" w:eastAsia="Arial" w:hAnsi="Arial"/>
          <w:sz w:val="18"/>
          <w:szCs w:val="18"/>
          <w:color w:val="auto"/>
        </w:rPr>
        <w:t>We are subject to regulation at the local, state and federal level. New legislation may be enacted or new interpretations, rulings or regulations could be adopted, including those governing the types of investments we are permitted to make, any of which could harm us and our stockholders, potentially with retroactive effect. In addition, any change to the SBA’s current debenture program could have a significant impact on our ability to obtain low-cost leverage and, therefore, our competitive advantage over other funds.</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Legal, tax and regulatory changes could occur that may adversely affect us. For example, from time to time the market for private equity transactions has been (and is currently being) adversely affected by a decrease in the availability of senior and subordinated financings for transactions, in part in response to credit market disruptions and/or regulatory pressures on providers of financing to reduce or eliminate their exposure to the risks involved in such transactions.</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Additionally, any changes to the laws and regulations governing our operations related to permitted investments may cause us to alter our investment strategy in order to meet our investment objectives. Such changes could result in material differences to the strategies and plans set forth in this Annual Report and may shift our investment focus from the areas of expertise of our investment advisor to other types of investments in which our investment advisor may have little or no expertise or experience. Any such changes, if they occur, could have a material adverse effect on our results of operations and the value of your investment.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Changes to U.S. tariff and import/export regulations may have a negative effect on our portfolio companies and, in turn, harm us.</w:t>
      </w:r>
    </w:p>
    <w:p>
      <w:pPr>
        <w:spacing w:after="0" w:line="1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There has been ongoing discussion and commentary regarding potential significant changes to U.S. trade policies, treaties and tariffs. The current U.S. presidential administration, along with the U.S. Congress, has created significant uncertainty about the future relationship between the United States and other countries with respect to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portfolio companies’ access to suppliers or customers and have a material adverse effect on their business, financial condition and results of operations, which in turn would negatively impact us.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enter into and exit investment transactions with our affiliates will be restricted.</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Except in those instances where we have received prior exemptive relief from the SEC, we will be prohibited under the 1940 Act from knowingly participating in certain transactions with our affiliates without the prior approval of our Independent Directors. We, our investment advisor, the Funds, and Fidus Credit Opportunities, L.P. received exemptive relief from the SEC under the 1940 Act, which permits us to co-invest with other funds managed by our investment advisor or its affiliates in a manner consistent with our investment objective, positions, policies, strategies and restrictions as well as regulatory requirements and other pertinent factors. In addition, any person that owns, directly or indirectly, 5.0% or more of our outstanding voting securities is deemed our affiliate for purposes of the 1940 Act and we are generally prohibited from buying or selling any security from or to such affiliate, absent the prior approval of our Independent Directors. The 1940 Act also prohibits “joint” transactions with an affiliate, which could include investments in the same portfolio company (whether at the same or different times), without prior approval of our Independent Directors. If a person acquires more than 25.0% of our voting securities, we will be prohibited from buying or selling any security from or to such person, or entering into joint transactions with such person, absent the prior approval of the SEC. These restrictions could limit or prohibit us from making certain attractive investments that we might otherwise make absent such restrictions.</w:t>
      </w:r>
    </w:p>
    <w:p>
      <w:pPr>
        <w:spacing w:after="0" w:line="291" w:lineRule="exact"/>
        <w:rPr>
          <w:sz w:val="20"/>
          <w:szCs w:val="20"/>
          <w:color w:val="auto"/>
        </w:rPr>
      </w:pPr>
    </w:p>
    <w:p>
      <w:pPr>
        <w:ind w:left="200" w:right="700"/>
        <w:spacing w:after="0" w:line="342" w:lineRule="auto"/>
        <w:rPr>
          <w:sz w:val="20"/>
          <w:szCs w:val="20"/>
          <w:color w:val="auto"/>
        </w:rPr>
      </w:pPr>
      <w:r>
        <w:rPr>
          <w:rFonts w:ascii="Arial" w:cs="Arial" w:eastAsia="Arial" w:hAnsi="Arial"/>
          <w:sz w:val="16"/>
          <w:szCs w:val="16"/>
          <w:b w:val="1"/>
          <w:bCs w:val="1"/>
          <w:i w:val="1"/>
          <w:iCs w:val="1"/>
          <w:color w:val="auto"/>
        </w:rPr>
        <w:t>Our investment advisor can resign on 60 days’ notice, and we may not be able to find a suitable replacement within that time, resulting in a disruption in our operations that could adversely affect our financial condition, business and results of operations.</w:t>
      </w:r>
    </w:p>
    <w:p>
      <w:pPr>
        <w:spacing w:after="0" w:line="1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investment advisor has the right, under the Investment Advisory Agreement, to resign at any time upon not less than 60 days’ written notice, whether we have found a replacement or not. If our investment advisor resigns, we may not be able to find a new investment advisor and administrator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investment activities are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75" w:lineRule="auto"/>
        <w:rPr>
          <w:sz w:val="20"/>
          <w:szCs w:val="20"/>
          <w:color w:val="auto"/>
        </w:rPr>
      </w:pPr>
      <w:r>
        <w:rPr>
          <w:rFonts w:ascii="Arial" w:cs="Arial" w:eastAsia="Arial" w:hAnsi="Arial"/>
          <w:sz w:val="15"/>
          <w:szCs w:val="15"/>
          <w:b w:val="1"/>
          <w:bCs w:val="1"/>
          <w:i w:val="1"/>
          <w:iCs w:val="1"/>
          <w:color w:val="auto"/>
        </w:rPr>
        <w:t>Our investment advisor can resign from its role as our administrator under the Administration Agreement, and we may not be able to find a suitable replacement, resulting in a disruption in our operations that could adversely affect our financial condition, business and results of operations.</w:t>
      </w:r>
    </w:p>
    <w:p>
      <w:pPr>
        <w:spacing w:after="0" w:line="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Our investment advisor also has the right to resign under the Administration Agreement, whether we have found a replacement or not. If our investment advisor resigns as our administrator, we may not be able to find a new administrator or hire internal management with similar expertise and ability to provide the same or equivalent services on acceptable terms,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administrative activities are likely to suffer if we are unable to identify and reach an agreement with a service provider or individuals with the expertise possessed by our investment advisor. Even if we are able to retain a comparable service provider or individuals to perform such services, whether internal or external, their integration into our business and lack of familiarity with our investment objective may result in additional costs and time delays that may adversely affect our financial condition, business and results of operations.</w:t>
      </w:r>
    </w:p>
    <w:p>
      <w:pPr>
        <w:spacing w:after="0" w:line="274"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b w:val="1"/>
          <w:bCs w:val="1"/>
          <w:i w:val="1"/>
          <w:iCs w:val="1"/>
          <w:color w:val="auto"/>
        </w:rPr>
        <w:t>Efforts to comply with the Sarbanes-Oxley Act will involve significant expenditures, and non-compliance with the Sarbanes-Oxley Act may adversely affect us and the market price of our common stock.</w:t>
      </w:r>
    </w:p>
    <w:p>
      <w:pPr>
        <w:spacing w:after="0" w:line="6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 a publicly-traded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w:t>
      </w:r>
    </w:p>
    <w:p>
      <w:pPr>
        <w:spacing w:after="0" w:line="181"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Section 404 of the Sarbanes-Oxley Act requires that public companies evaluate and report on their systems of internal control over financial reporting. In addition, our independent registered public accounting firm must report on management’s evaluation of those controls. In future periods, we may identify deficiencies in our system of internal controls over financial reporting that may require remediation. There can be no assurances that any such future deficiencies identified may not be material weaknesses that would be required to be reported in future periods.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Internal and external cyber threats, as well as other disasters, could impair our ability to conduct business effectively.</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malware and computer virus attacks, or system failures and disruptions.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189"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Investments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Many of our portfolio companies are susceptible to economic slowdowns or recessions (including industry specific downturns) and may be unable to repay our debt investments during these periods. Therefore, our non-performing assets are likely to increase and the value of our portfolio is likely to decrease during these periods. Adverse economic conditions may decrease the value of collateral securing some of our debt investments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our investments and harm our operating results.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termination of its loans and foreclosure on its assets, which could trigger cross-defaults under other agreements and jeopardize our portfolio company’s ability to meet its obligations under the loans and debt securities that we hold. We may incur expenses to the extent necessary to seek recovery upon default or to negotiate new terms with a defaulting portfolio company.</w:t>
      </w:r>
    </w:p>
    <w:p>
      <w:pPr>
        <w:spacing w:after="0" w:line="29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Terrorist attacks, acts of war, or natural disasters may affect any market for our common stock, impact the businesses in which we invest and harm our business, operating results and financial condition.</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Portfolio investments may be affected by force majeure events </w:t>
      </w:r>
      <w:r>
        <w:rPr>
          <w:rFonts w:ascii="Arial" w:cs="Arial" w:eastAsia="Arial" w:hAnsi="Arial"/>
          <w:sz w:val="17"/>
          <w:szCs w:val="17"/>
          <w:i w:val="1"/>
          <w:iCs w:val="1"/>
          <w:color w:val="auto"/>
        </w:rPr>
        <w:t>(i.e.,</w:t>
      </w:r>
      <w:r>
        <w:rPr>
          <w:rFonts w:ascii="Arial" w:cs="Arial" w:eastAsia="Arial" w:hAnsi="Arial"/>
          <w:sz w:val="17"/>
          <w:szCs w:val="17"/>
          <w:color w:val="auto"/>
        </w:rPr>
        <w:t xml:space="preserve"> events beyond the control of the party claiming that the event has occurred, including, without limitation, acts of God, fire, flood, earthquakes, war, terrorism and labor strikes). Some force majeure events may adversely affect the ability of a party (including a portfolio company or a counterparty to us or a portfolio company) to perform its obligations until it is able to remedy the force majeure event. In addition, the cost to a portfolio company of repairing or replacing damaged assets resulting from such force majeure event could be considerable. Additionally, a major governmental intervention into industry, including the nationalization of an industry or the assertion of control over one or more companies or its assets, could result in a loss to us, including if its investment in such issuer is cancelled, unwound or acquired (which could be without what we consider to be adequate compensation). To the extent we are exposed to investments in portfolio companies that as a group are exposed to such force majeure events, the risks and potential losses to us are enhanced.</w:t>
      </w:r>
    </w:p>
    <w:p>
      <w:pPr>
        <w:spacing w:after="0" w:line="2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Our investments in certain industry sectors, such as the energy sector, may be subject to significant political, economic and capacity risks that may increase the possibility that we lose all or a part of our investment.</w:t>
      </w:r>
    </w:p>
    <w:p>
      <w:pPr>
        <w:spacing w:after="0" w:line="62"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The revenues and profitability of certain portfolio companies may be significantly affected by the future prices of and the demand for oil, natural gas liquids and natural gas, which are inherently uncertain. Investments in energy companies may have significant shortfalls in projected cash flow if prices decline from levels projected at the time the investment is made. Various factors beyond our control could affect energy prices, including worldwide supplies, political instability or armed conflicts in oil, natural gas liquids and natural gas producing regions, the price of foreign imports, the level of consumer demand, the price and availability of alternative fuels, capacity constraints and changes in existing government regulation, taxation and price controls. Energy prices have fluctuated greatly during the past, and energy markets continue to be volatile.</w:t>
      </w:r>
    </w:p>
    <w:p>
      <w:pPr>
        <w:spacing w:after="0" w:line="273"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Changes in healthcare laws and other regulations applicable to some of our portfolio companies’ businesses may constrain their ability to offer their products and services.</w:t>
      </w:r>
    </w:p>
    <w:p>
      <w:pPr>
        <w:spacing w:after="0" w:line="62"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Changes in healthcare or other laws and regulations applicable to the businesses of some of our portfolio companies may occur that could increase their compliance and other costs of doing business, require significant systems enhancements, or render their products or services less profitable or obsolete, any of which could have a material adverse effect on their results of operations. There has also been an increased political and regulatory focus on healthcare laws in recent years, and new legislation could have a material effect on the business and operations of some of our portfolio companies.</w:t>
      </w:r>
    </w:p>
    <w:p>
      <w:pPr>
        <w:spacing w:after="0" w:line="262" w:lineRule="exact"/>
        <w:rPr>
          <w:sz w:val="20"/>
          <w:szCs w:val="20"/>
          <w:color w:val="auto"/>
        </w:rPr>
      </w:pPr>
    </w:p>
    <w:p>
      <w:pPr>
        <w:ind w:left="200" w:right="120"/>
        <w:spacing w:after="0" w:line="375" w:lineRule="auto"/>
        <w:rPr>
          <w:sz w:val="20"/>
          <w:szCs w:val="20"/>
          <w:color w:val="auto"/>
        </w:rPr>
      </w:pPr>
      <w:r>
        <w:rPr>
          <w:rFonts w:ascii="Arial" w:cs="Arial" w:eastAsia="Arial" w:hAnsi="Arial"/>
          <w:sz w:val="15"/>
          <w:szCs w:val="15"/>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 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b w:val="1"/>
          <w:bCs w:val="1"/>
          <w:i w:val="1"/>
          <w:iCs w:val="1"/>
          <w:color w:val="auto"/>
        </w:rPr>
        <w:t>Cybersecurity risks and cyber incidents may adversely affect our business or the business of our portfolio companies by causing a disruption to our operations or the operations of our portfolio companies, a compromise or corruption of our confidential information or the confidential information of our portfolio companies and/or damage to our business relationships or the business relationships of our portfolio companies, all of which could negatively impact the business, financial condition and operating results of us or our portfolio companies.</w:t>
      </w:r>
    </w:p>
    <w:p>
      <w:pPr>
        <w:spacing w:after="0" w:line="46"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A cyber incident is considered to be any adverse event that threatens the confidentiality, integrity or availability of the information resources of us or our portfolio companies. These incidents may be an intentional attack or an unintentional event and could involve gaining unauthorized access to our information systems or those of our portfolio companies for purposes of misappropriating assets, stealing confidential information, corrupting data or causing operational disruption. The result of these incidents may include disrupted operations, misstated or unreliable financial data, liability for stolen assets or information, increased cybersecurity protection and insurance costs, litigation and damage to business relationships. As our and our portfolio companies’ reliance on technology has increased, so have the risks posed to our information systems, both internal and those provided by third-party service providers, and the information systems of our portfolio companies. We have implemented processes, procedures and internal controls to help mitigate cybersecurity risks and cyber intrusions, but these measures, as well as our increased awareness of the nature and extent of a risk of a cyber-incident, do not guarantee that a cyber-incident will not occur and/or that our financial results, operations or confidential information will not be negatively impacted by such an incident.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investments in portfolio companies may be risky, and we could lose all or part of our investment.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Investing in lower middle-market companies involves a number of significant risks. Among other things, these companies:</w:t>
      </w:r>
    </w:p>
    <w:p>
      <w:pPr>
        <w:spacing w:after="0" w:line="131" w:lineRule="exact"/>
        <w:rPr>
          <w:sz w:val="20"/>
          <w:szCs w:val="20"/>
          <w:color w:val="auto"/>
        </w:rPr>
      </w:pPr>
    </w:p>
    <w:p>
      <w:pPr>
        <w:ind w:left="1180" w:right="80" w:hanging="436"/>
        <w:spacing w:after="0" w:line="286" w:lineRule="auto"/>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may have limited financial resources and may be unable to meet their obligations under their debt instruments that we hold, which may be accompanied by a deterioration in the value of any collateral and a reduction in the likelihood of us realizing any guarantees from subsidiaries or affiliates of portfolio companies that we may have obtained in connection with our investment;</w:t>
      </w:r>
    </w:p>
    <w:p>
      <w:pPr>
        <w:spacing w:after="0" w:line="70" w:lineRule="exact"/>
        <w:rPr>
          <w:rFonts w:ascii="Arial" w:cs="Arial" w:eastAsia="Arial" w:hAnsi="Arial"/>
          <w:sz w:val="17"/>
          <w:szCs w:val="17"/>
          <w:color w:val="auto"/>
        </w:rPr>
      </w:pPr>
    </w:p>
    <w:p>
      <w:pPr>
        <w:ind w:left="1180" w:right="380" w:hanging="436"/>
        <w:spacing w:after="0" w:line="308" w:lineRule="auto"/>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may have shorter operating histories, narrower product lines and smaller market shares, which tend to render them more vulnerable to competitors’ actions and market conditions, as well as general economic downturns, than larger businesses;</w:t>
      </w:r>
    </w:p>
    <w:p>
      <w:pPr>
        <w:spacing w:after="0" w:line="51" w:lineRule="exact"/>
        <w:rPr>
          <w:rFonts w:ascii="Arial" w:cs="Arial" w:eastAsia="Arial" w:hAnsi="Arial"/>
          <w:sz w:val="17"/>
          <w:szCs w:val="17"/>
          <w:color w:val="auto"/>
        </w:rPr>
      </w:pPr>
    </w:p>
    <w:p>
      <w:pPr>
        <w:ind w:left="1180" w:right="60" w:hanging="436"/>
        <w:spacing w:after="0" w:line="342" w:lineRule="auto"/>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9" w:lineRule="exact"/>
        <w:rPr>
          <w:rFonts w:ascii="Arial" w:cs="Arial" w:eastAsia="Arial" w:hAnsi="Arial"/>
          <w:sz w:val="16"/>
          <w:szCs w:val="16"/>
          <w:color w:val="auto"/>
        </w:rPr>
      </w:pPr>
    </w:p>
    <w:p>
      <w:pPr>
        <w:jc w:val="both"/>
        <w:ind w:left="1180" w:right="540" w:hanging="436"/>
        <w:spacing w:after="0" w:line="264"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and</w:t>
      </w:r>
    </w:p>
    <w:p>
      <w:pPr>
        <w:spacing w:after="0" w:line="86" w:lineRule="exact"/>
        <w:rPr>
          <w:rFonts w:ascii="Arial" w:cs="Arial" w:eastAsia="Arial" w:hAnsi="Arial"/>
          <w:sz w:val="18"/>
          <w:szCs w:val="18"/>
          <w:color w:val="auto"/>
        </w:rPr>
      </w:pPr>
    </w:p>
    <w:p>
      <w:pPr>
        <w:ind w:left="1180" w:right="200" w:hanging="436"/>
        <w:spacing w:after="0" w:line="264"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generally have less publicly available information about their businesses, operations and financial condition. If we are unable to uncover all material information about these companies, we may not make a fully informed investment decision, and may lose all or part of our investment.</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in the course of providing significant managerial assistance to certain portfolio companies, certain of our management and directors may serve as directors on the boards of such companies. To the extent that litigation arises out of investments in these portfolio companies, our management and directors may be named as defendants in such litigation, which could result in an expenditure of funds (through our indemnification of such officers and directors) and the diversion of management time and resources.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All of our assets may be invested in illiquid securities, and a substantial portion of our investments in leveraged companies will be subject to legal and other restrictions on resale or will otherwise be less liquid than more broadly traded public securities. The illiquidity of these investments may make it difficult for us to sell such investments when desired. In addition, if we are required to liquidate all or a portion of our portfolio quickly, we may realize significantly less than the value at which we have previously recorded these investments. As a result, we do not expect to achieve liquidity in our investments in the near-term. However, to maintain the elections to be regulated as a BDC and as a RIC, we may have to dispose of investments if they do not satisfy one or more of the applicable criteria under the respective regulatory frameworks. We may also face other restrictions on our ability to liquidate an investment in a portfolio company to the extent that we or our investment advisor have material nonpublic information regarding such portfolio company.</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not have the funds to make additional investments in our portfolio companies which could impair the value of our portfolio.</w:t>
      </w:r>
    </w:p>
    <w:p>
      <w:pPr>
        <w:spacing w:after="0" w:line="1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After our initial investment in a portfolio company, we may be called upon from time to time to provide additional funds to such company or have the opportunity to increase our investment through the exercise of a warrant to purchase common stock.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or may reduce the expected yield on the investment. Even if we have sufficient capital to make a desired follow-on investment, we may elect not to make a follow-on investment because we may not want to increase our level of risk, because we prefer other opportunities or because we are inhibited by compliance with BDC requirements, SBA regulations or the desire to maintain our RIC tax treatment. Our ability to make follow-on investments may also be limited by our investment advisor’s allocation policy.</w:t>
      </w:r>
    </w:p>
    <w:p>
      <w:pPr>
        <w:sectPr>
          <w:pgSz w:w="11900" w:h="16838" w:orient="portrait"/>
          <w:cols w:equalWidth="0" w:num="1">
            <w:col w:w="11200"/>
          </w:cols>
          <w:pgMar w:left="240" w:top="459" w:right="459" w:bottom="1440" w:gutter="0" w:footer="0" w:header="0"/>
        </w:sectPr>
      </w:pP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00"/>
          </w:cols>
          <w:pgMar w:left="240" w:top="459" w:right="4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Portfolio companies may incur debt that ranks equally with, or senior to, our investments in such companies.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will invest primarily in second lien and subordinated debt as well as equity issued by lower middle-market companies. The portfolio companies generally have, or may be permitted to incur, other debt that ranks equally with, or senior to, the debt in which we invest. By their terms, such senior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29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could be subject to lender liability claims.</w:t>
      </w:r>
    </w:p>
    <w:p>
      <w:pPr>
        <w:spacing w:after="0" w:line="62"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Even though we may have structured certain of our investments as senior loans, if one of our portfolio companies were to go bankrupt, depending on the facts and circumstances, including the extent to which we actually provided managerial assistance to that portfolio company, a bankruptcy court might recharacterize our debt investment and subordinate all or a portion of our claim to that of other creditors.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w:t>
      </w:r>
    </w:p>
    <w:p>
      <w:pPr>
        <w:spacing w:after="0" w:line="266" w:lineRule="exact"/>
        <w:rPr>
          <w:sz w:val="20"/>
          <w:szCs w:val="20"/>
          <w:color w:val="auto"/>
        </w:rPr>
      </w:pPr>
    </w:p>
    <w:p>
      <w:pPr>
        <w:ind w:left="200" w:right="300"/>
        <w:spacing w:after="0" w:line="342" w:lineRule="auto"/>
        <w:rPr>
          <w:sz w:val="20"/>
          <w:szCs w:val="20"/>
          <w:color w:val="auto"/>
        </w:rPr>
      </w:pPr>
      <w:r>
        <w:rPr>
          <w:rFonts w:ascii="Arial" w:cs="Arial" w:eastAsia="Arial" w:hAnsi="Arial"/>
          <w:sz w:val="16"/>
          <w:szCs w:val="16"/>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Certain loans we make to portfolio companies are and will be secured on a second priority basis by the same collateral securing senior secured debt of such companies. The first priority liens on the collateral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7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rights we may have with respect to the collateral securing the loans we make to portfolio companies with senior debt outstanding may also be limited pursuant to the terms of one or more intercreditor agreements entered into with the holders of senior debt. Under an intercreditor agreement, at any time that obligations having the benefit of the first priority liens are outstanding, any of the following actions that may be taken in respect to the collateral will be at the direction of the holders of the obligations secured by the first priority liens:</w:t>
      </w:r>
    </w:p>
    <w:p>
      <w:pPr>
        <w:spacing w:after="0" w:line="77" w:lineRule="exact"/>
        <w:rPr>
          <w:sz w:val="20"/>
          <w:szCs w:val="20"/>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cause the commencement of enforcement proceedings against the collateral;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control the conduct of such proceedings;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of amendments to collateral documents;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releases of liens on the collateral;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waivers of past defaults under collateral documents.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not have the ability to control or direct such actions, even if our rights are adversely affected.</w:t>
      </w:r>
    </w:p>
    <w:p>
      <w:pPr>
        <w:spacing w:after="0" w:line="333"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b w:val="1"/>
          <w:bCs w:val="1"/>
          <w:i w:val="1"/>
          <w:iCs w:val="1"/>
          <w:color w:val="auto"/>
        </w:rPr>
        <w:t>We may hold the debt securities of leveraged companies that may, due to the significant volatility of such companies, enter into bankruptcy proceedings.</w:t>
      </w:r>
    </w:p>
    <w:p>
      <w:pPr>
        <w:spacing w:after="0" w:line="6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Leveraged companies may experience bankruptcy or similar financial distress. The bankruptcy process has a number of significant inherent risks. Many events in a bankruptcy proceeding are the product of contested matters and adversary proceedings and are beyond the control of the creditors. A bankruptcy filing by an issuer may adversely and permanently affect the issuer. If the proceeding is converted to a liquidation, the value of the issuer may not equal the liquidation value that was believed to exist at the time of the investment. The duration of a bankruptcy proceeding is also difficult to</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predict, and a creditor’s return on investment can be adversely affected by delays until the plan of reorganization or liquidation ultimately becomes effective. The administrative costs in connection with a bankruptcy proceeding are frequently high and would be paid out of the debtor’s estate prior to any return to creditors. Because the standards for classification of claims under bankruptcy law are vague, our influence with respect to the class of securities or other obligations we own may be lost by increases in the number and amount of claims in the same class or by different classification and treatment. In the early stages of the bankruptcy process, it is often difficult to estimate the extent of, or even to identify, any contingent claims that might be made. In addition, certain claims that have priority by law (for example, claims for taxes) may be substantial.</w:t>
      </w:r>
    </w:p>
    <w:p>
      <w:pPr>
        <w:spacing w:after="0" w:line="287"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Any unrealized depreciation we experience on our investment portfolio may be an indication of future realized losses, which could reduce our income available for distribution.</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a BDC, we are required to carry our investments at fair value as determined in good faith by our board of directors. Decreases in the fair values of our investments will be recorded as unrealized depreciation. Any unrealized depreciation in our investment portfolio could be an indication of a portfolio company’s inability to meet its repayment obligations to us with respect to the affected investments. This could result in realized losses in the future and ultimately in reductions of our income available for distribution in future periods.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11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termination of its loans and foreclosure on its assets. This could trigger cross-defaults under other agreements and jeopardize the portfolio company’s ability to meet its obligations under the debt or equity securities that we hold. We may incur expenses to the extent necessary to seek recovery upon default or to negotiate new terms, which may include the waiver of certain financial covenants, reduced interest and/or loss of principal, with a defaulting portfolio company.</w:t>
      </w:r>
    </w:p>
    <w:p>
      <w:pPr>
        <w:spacing w:after="0" w:line="296" w:lineRule="exact"/>
        <w:rPr>
          <w:sz w:val="20"/>
          <w:szCs w:val="20"/>
          <w:color w:val="auto"/>
        </w:rPr>
      </w:pPr>
    </w:p>
    <w:p>
      <w:pPr>
        <w:ind w:left="200" w:right="640"/>
        <w:spacing w:after="0" w:line="308" w:lineRule="auto"/>
        <w:rPr>
          <w:sz w:val="20"/>
          <w:szCs w:val="20"/>
          <w:color w:val="auto"/>
        </w:rPr>
      </w:pPr>
      <w:r>
        <w:rPr>
          <w:rFonts w:ascii="Arial" w:cs="Arial" w:eastAsia="Arial" w:hAnsi="Arial"/>
          <w:sz w:val="17"/>
          <w:szCs w:val="17"/>
          <w:b w:val="1"/>
          <w:bCs w:val="1"/>
          <w:i w:val="1"/>
          <w:iCs w:val="1"/>
          <w:color w:val="auto"/>
        </w:rPr>
        <w:t>To the extent OID and PIK-interest constitute a portion of our income, we will be exposed to typical risks associated with such income being required to be included in taxable and accounting income prior to receipt of cash representing such income.</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investments may include original-issue-discount instruments and contractual PIK-interest arrangements. To the extent OID</w:t>
      </w:r>
    </w:p>
    <w:p>
      <w:pPr>
        <w:spacing w:after="0" w:line="23"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color w:val="auto"/>
        </w:rPr>
        <w:t>or PIK-interest constitutes a portion of our income, we are exposed to typical risks associated with such income being required to be included in taxable and accounting income prior to receipt of cash, including the following:</w:t>
      </w:r>
    </w:p>
    <w:p>
      <w:pPr>
        <w:spacing w:after="0" w:line="89" w:lineRule="exact"/>
        <w:rPr>
          <w:sz w:val="20"/>
          <w:szCs w:val="20"/>
          <w:color w:val="auto"/>
        </w:rPr>
      </w:pPr>
    </w:p>
    <w:p>
      <w:pPr>
        <w:ind w:left="1180" w:right="180" w:hanging="436"/>
        <w:spacing w:after="0" w:line="286" w:lineRule="auto"/>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higher interest rates of OID and PIK instruments reflect the payment deferral, which results in a higher principal amount at the maturity of the instrument as compared to the original principal amount of the instrument, and increased credit risk associated with these instruments, and OID and PIK instruments generally represent a significantly higher credit risk than coupon loans.</w:t>
      </w:r>
    </w:p>
    <w:p>
      <w:pPr>
        <w:spacing w:after="0" w:line="70" w:lineRule="exact"/>
        <w:rPr>
          <w:rFonts w:ascii="Arial" w:cs="Arial" w:eastAsia="Arial" w:hAnsi="Arial"/>
          <w:sz w:val="17"/>
          <w:szCs w:val="17"/>
          <w:color w:val="auto"/>
        </w:rPr>
      </w:pPr>
    </w:p>
    <w:p>
      <w:pPr>
        <w:ind w:left="1180" w:right="300" w:hanging="436"/>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Even if the accounting conditions for income accrual are met, the borrower could still default when our actual collection is supposed to occur at the maturity of the obligation.</w:t>
      </w:r>
    </w:p>
    <w:p>
      <w:pPr>
        <w:spacing w:after="0" w:line="75"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OID and PIK instruments may have unreliable valuations because their continuing accruals require continuing judgments about the collectability of the deferred payments and the value of any associated collateral. OID and PIK-income may also create uncertainty about the source of our cash distributions.</w:t>
      </w:r>
    </w:p>
    <w:p>
      <w:pPr>
        <w:spacing w:after="0" w:line="86" w:lineRule="exact"/>
        <w:rPr>
          <w:rFonts w:ascii="Arial" w:cs="Arial" w:eastAsia="Arial" w:hAnsi="Arial"/>
          <w:sz w:val="18"/>
          <w:szCs w:val="18"/>
          <w:color w:val="auto"/>
        </w:rPr>
      </w:pPr>
    </w:p>
    <w:p>
      <w:pPr>
        <w:ind w:left="1180" w:right="180" w:hanging="436"/>
        <w:spacing w:after="0" w:line="259"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92" w:lineRule="exact"/>
        <w:rPr>
          <w:rFonts w:ascii="Arial" w:cs="Arial" w:eastAsia="Arial" w:hAnsi="Arial"/>
          <w:sz w:val="18"/>
          <w:szCs w:val="18"/>
          <w:color w:val="auto"/>
        </w:rPr>
      </w:pPr>
    </w:p>
    <w:p>
      <w:pPr>
        <w:ind w:left="1180" w:right="80" w:hanging="436"/>
        <w:spacing w:after="0" w:line="259"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accounting purposes, any cash distributions to stockholders representing OID and PIK-income are not treated as coming from paid-in capital, even though the cash to pay them comes from the offering proceeds. As a result, despite the fact that a distribution representing OID and PIK-income could be paid out of amounts invested by our stockholders, the 1940 Act does not require that stockholders be given notice of this fact by reporting it as a return of capital.</w:t>
      </w:r>
    </w:p>
    <w:p>
      <w:pPr>
        <w:spacing w:after="0" w:line="92"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certain cases, we may recognize taxable income before or without receiving corresponding cash payments and, as a result, we may have difficulty meeting the annual distribution requirement necessary to maintain our tax treatment as a RIC.</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expect to control many of our portfolio companies.</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do not expect to control many of our portfolio companies, even though we may have board representation or board observation rights, and the debt agreements may contain certain restrictive covenants. As a result, we are subject to the risk that a portfolio company in which we invest may make business decisions with which we disagree and the management of such company, as representatives of the holders of the company’s common equity, may take risks or otherwise act in ways that do not serve our interests as debt investors. Due to the lack of liquidity for our investments in private companies in the lower middle-market, we may not be able to dispose of our interests in our portfolio companies as readily as we would like or at an appropriate valuation. As a result, a portfolio company may make decisions that could decrease the value of our portfolio holdings.</w:t>
      </w:r>
    </w:p>
    <w:p>
      <w:pPr>
        <w:spacing w:after="0" w:line="273"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therefore we are not limited with respect to the proportion of our assets that may be invested in securities of a single issuer.</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and the aggregate returns we realize may be significantly adversely affected if a small number of investments perform poorly or if we need to write down the value of any one investment. Additionally, while we are not targeting any specific industries, our investments may be concentrated in relatively few industries. As a result, a downturn in any particular industry in which we are invested could also significantly impact the aggregate returns we realize. We may also be more susceptible to any single economic or regulatory occurrence than a diversified investment company. Beyond the asset diversification requirements applicable to RICs, we do not have fixed guidelines for diversification, and our investments could be concentrated in relatively few portfolio companies.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Prepayments of our debt investments by our portfolio companies could adversely impact our results of operations and reduce our return on equity.</w:t>
      </w:r>
    </w:p>
    <w:p>
      <w:pPr>
        <w:spacing w:after="0" w:line="15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subject to the risk that the investments we make in our portfolio companies may be repaid prior to maturity. When this occurs, we will generally reinvest these proceeds in temporary investments (cash equivalents), pending future investments in new portfolio companies. These temporary investments will typically have substantially lower yields than the debt being repaid, and we could experience significant delays in reinvesting these amounts. In addition, any future investment of such amounts in a new portfolio company may also be at lower yields than the investment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Certain investments that we have made in the past and may make in the future include warrants or other equity or equity-related securities. Typically we make non-control equity investments in portfolio companies. Our goal is to realize gains upon our disposition of such equity interests. However, the equity interests we receive may not appreciate in value and, in fact, may decline in value. We also may be unable to realize any value if a portfolio company does not have a liquidity event, such as a sale of the business, recapitalization or public offering, which would allow us to sell the underlying equity interests. We often seek puts or similar rights to give us the right to sell our equity securities back to the portfolio company issuer. We may be unable to exercise these put rights for the consideration provided in our investment documents if the issuer is in financial distress. Accordingly, we may not be able to realize gains from our equity interests, and any gains that we do realize on the disposition of any equity interests may not be sufficient to offset any other losses we experience.</w:t>
      </w:r>
    </w:p>
    <w:p>
      <w:pPr>
        <w:spacing w:after="0" w:line="287"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If our primary investments are deemed not to be qualifying assets, we could be precluded from investing in our desired manner or deemed to be in violation of the 1940 Act.</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order to maintain our status as a BDC, we may not acquire any assets other than “qualifying assets” unless, at the time of and after giving effect to such acquisition, at least 70.0% of our total assets are qualifying assets. We believe that most of the investments that we may acquire in the future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violate the 1940 Act provisions applicable to BDCs and be precluded from making follow-on investments in existing portfolio companies (which could result in the dilution of our position) or required to dispose of investments at inappropriate times in order to come into compliance with the 1940 Act. If we need to dispose of such investments quickly, it could be difficult to dispose of such investments on favorable terms. We may not be able to find a buyer for such investments and, even if we do find a buyer, we may have to sell the investments at a substantial loss. Any such outcomes would have a material adverse effect on our business, financial condition, results of operations and cash flows. Furthermore, any failure to comply with the requirements imposed on BDCs by the 1940 Act could cause the SEC to bring an enforcement action against us and/or expose us to claims of private litigants. If we do not maintain our status as a BDC, we would be subject to regulation as a registered closed-end investment company under the 1940 Act. As a registered closed-end investment company, we would be subject to substantially more regulatory restrictions under the 1940 Act, which would significantly decrease our operating flexibility.</w:t>
      </w:r>
    </w:p>
    <w:p>
      <w:pPr>
        <w:sectPr>
          <w:pgSz w:w="11900" w:h="16838" w:orient="portrait"/>
          <w:cols w:equalWidth="0" w:num="1">
            <w:col w:w="11220"/>
          </w:cols>
          <w:pgMar w:left="240" w:top="459" w:right="439" w:bottom="1440" w:gutter="0" w:footer="0" w:header="0"/>
        </w:sectPr>
      </w:pP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20"/>
          </w:cols>
          <w:pgMar w:left="240" w:top="459" w:right="4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disposition of our investments may result in contingent liabilities.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 significant portion of our investments involve private securities and we expect that a significant portion of our investments will continue to involve private securities. In connection with the disposition of an investment in private securities, we may be required to make representations about the business and financial affairs of the portfolio company typical of those made in connection with the sale of a business. Additionally, customary terms of such sales agreements generally provide adjustments to the initial purchase price determined on the closing date if the portfolio company’s net working capital varies from preliminary amounts utilized in determining the initial purchase price; such adjustments could subsequently result in upward or downward revisions to the initial purchase price and impact our amount of realized gain or loss on sale.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its return of distributions previously made to it.</w:t>
      </w:r>
    </w:p>
    <w:p>
      <w:pPr>
        <w:spacing w:after="0" w:line="305"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may be unable to invest a significant portion of any net proceeds from an offering or from exiting an investment or other capital on acceptable terms, which could harm our financial condition and operating results.</w:t>
      </w:r>
    </w:p>
    <w:p>
      <w:pPr>
        <w:spacing w:after="0" w:line="62"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We may be unable to invest the net proceeds of any offering or from exiting an investment or other sources of capital on acceptable terms within the time period that we anticipate or at all. Delays in investing such capital may cause our performance to be worse than that of fully invested BDCs or other lenders or investors pursuing comparable investment strategies.</w:t>
      </w:r>
    </w:p>
    <w:p>
      <w:pPr>
        <w:spacing w:after="0" w:line="18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Depending on market conditions and the amount of the capital involved, it may take us a substantial period of time to invest substantially all the capital in securities meeting our investment objective. During this period, we will invest such capital primarily in short-term securities consistent with our BDC election and our election to be taxed as a RIC, which may produce returns that are significantly lower than the returns which we expect to achieve when our portfolio is fully invested in longer-term investments in pursuit of our investment objective. Any distributions that we pay during such period may be substantially lower than the distributions that we may be able to pay when our portfolio is fully invested. In addition, until such time as the net proceeds of any offering or from exiting an investment or other sources capital are invested in new investments meeting our investment objective, the market price for our common stock may decline.</w:t>
      </w:r>
    </w:p>
    <w:p>
      <w:pPr>
        <w:spacing w:after="0" w:line="286" w:lineRule="exact"/>
        <w:rPr>
          <w:sz w:val="20"/>
          <w:szCs w:val="20"/>
          <w:color w:val="auto"/>
        </w:rPr>
      </w:pPr>
    </w:p>
    <w:p>
      <w:pPr>
        <w:jc w:val="both"/>
        <w:ind w:left="200" w:right="400"/>
        <w:spacing w:after="0" w:line="264" w:lineRule="auto"/>
        <w:rPr>
          <w:sz w:val="20"/>
          <w:szCs w:val="20"/>
          <w:color w:val="auto"/>
        </w:rPr>
      </w:pPr>
      <w:r>
        <w:rPr>
          <w:rFonts w:ascii="Arial" w:cs="Arial" w:eastAsia="Arial" w:hAnsi="Arial"/>
          <w:sz w:val="18"/>
          <w:szCs w:val="18"/>
          <w:b w:val="1"/>
          <w:bCs w:val="1"/>
          <w:i w:val="1"/>
          <w:iCs w:val="1"/>
          <w:color w:val="auto"/>
        </w:rPr>
        <w:t>Our investment advisor’s liability is limited under the Investment Advisory Agreement, and we have agreed to indemnify our investment advisor against certain liabilities, which may lead our investment advisor to act in a riskier manner on our behalf than it would when acting for its own account.</w:t>
      </w:r>
    </w:p>
    <w:p>
      <w:pPr>
        <w:spacing w:after="0" w:line="73"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Under the Investment Advisory Agreement, our investment advisor does not assume any responsibility to us other than to render the services called for under that agreement, and it is not responsible for any action of our board of directors in following or declining to follow our investment advisor’s advice or recommendations. Under the terms of the Investment Advisory Agreement, our investment advisor and its officers, directors, members, managers, partners, stockholders and employees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misconduct, bad faith or reckless disregard of our investment advisor’s duties under the Investment Advisory Agreement. In addition, we have agreed to indemnify our investment advisor and its officers, directors, members, managers, partners, stockholders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misconduct, bad faith or reckless disregard of such person’s duties under the Investment Advisory Agreement. These protections may lead our investment advisor to act in a riskier manner when acting on our behalf than it would when acting for its own account.</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Shares of closed-end investment companies, including business development companies, frequently trade at a discount to their net asset value.</w:t>
      </w:r>
    </w:p>
    <w:p>
      <w:pPr>
        <w:spacing w:after="0" w:line="140"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Shares of closed-end investment companies, including BDCs, frequently trade at a discount from net asset value. This characteristic of closed-end investment companies and BDCs is separate and distinct from the risk that our net asset value per share may decline. We cannot predict whether our common stock will trade at, above or below net asset value. In addition, if our common stock trades below net asset value, we will generally not be able to issue additional common stock at the market price without first obtaining the approval of our stockholders and our Independent Directors. On</w:t>
      </w:r>
    </w:p>
    <w:p>
      <w:pPr>
        <w:spacing w:after="0" w:line="2" w:lineRule="exact"/>
        <w:rPr>
          <w:sz w:val="20"/>
          <w:szCs w:val="20"/>
          <w:color w:val="auto"/>
        </w:rPr>
      </w:pPr>
    </w:p>
    <w:p>
      <w:pPr>
        <w:ind w:left="200" w:right="60"/>
        <w:spacing w:after="0" w:line="252" w:lineRule="auto"/>
        <w:rPr>
          <w:sz w:val="20"/>
          <w:szCs w:val="20"/>
          <w:color w:val="auto"/>
        </w:rPr>
      </w:pPr>
      <w:r>
        <w:rPr>
          <w:rFonts w:ascii="Arial" w:cs="Arial" w:eastAsia="Arial" w:hAnsi="Arial"/>
          <w:sz w:val="18"/>
          <w:szCs w:val="18"/>
          <w:color w:val="auto"/>
        </w:rPr>
        <w:t>June 19, 2019 our stockholders voted to allow us to sell or otherwise issue common stock at a price below net asset value per share for a period of one year ending on the earlier of June 19, 2020 or the date of our 2020 Annual Meeting of Stockholders. We expect to present to our stockholders a similar proposal at our 2020 Annual Meeting of Stockholders. Selling or otherwise issuing shares of FIC’s common stock below its then current net asset value per share would result in a dilution of FIC’s existing common stockholders. The maximum number of shares issuable below net asset value pursuant to the authority granted by our stockholders that could result in such dilution is limited to 25.0%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w:t>
      </w:r>
    </w:p>
    <w:p>
      <w:pPr>
        <w:sectPr>
          <w:pgSz w:w="11900" w:h="16838" w:orient="portrait"/>
          <w:cols w:equalWidth="0" w:num="1">
            <w:col w:w="11220"/>
          </w:cols>
          <w:pgMar w:left="240" w:top="459" w:right="439" w:bottom="1440" w:gutter="0" w:footer="0" w:header="0"/>
        </w:sectPr>
      </w:pP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20"/>
          </w:cols>
          <w:pgMar w:left="240" w:top="459" w:right="4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 conditions may increase the risks associated with our business and an investment in us.</w:t>
      </w:r>
    </w:p>
    <w:p>
      <w:pPr>
        <w:spacing w:after="0" w:line="117"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The current worldwide financial market situation may contribute to increased market volatility, may have long-term effects on the U.S. and worldwide financial markets and may cause economic uncertainties or deterioration in the U.S. and worldwide. These conditions raised the level of many of the risks described herein and, if repeated or continued, could have an adverse effect on our portfolio companies and on their results of operations, financial conditions, access to credit and capital. The stress in the credit market and upon banks has led other creditors to tighten credit and the terms of credit. In certain cases, senior lenders to our portfolio companies can block payments by our portfolio companies in respect of our loans to such portfolio companies. In turn, these could have adverse effects on our business, financial condition, results of operations, distributions to our stockholders, access to capital, valuation of our assets and our stock price. Notwithstanding any recent gains across either the equity or debt markets, these conditions may continue for a prolonged period of time or worsen in the future.</w:t>
      </w:r>
    </w:p>
    <w:p>
      <w:pPr>
        <w:spacing w:after="0" w:line="28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If, in the future, we sell common stock at a discount to our net asset value per share, stockholders who do not participate in such sale will experience immediate dilution in an amount that may be material.</w:t>
      </w:r>
    </w:p>
    <w:p>
      <w:pPr>
        <w:spacing w:after="0" w:line="62"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On June 19, 2019, our stockholders approved our ability to sell or otherwise issue shares of our common stock at a discount from net asset value per share, as long as the cumulative number of shares sold pursuant to such authority does not exceed 25.0% of our then outstanding common stock immediately prior to each such sale, for a period of one year ending on the earlier of June 19, 2020 or the date of our 2020 Annual Meeting of Stockholders. Our stockholders will be asked to vote on a similar proposal at our 2020 Annual Meeting of Stockholders. If we sell or otherwise issue shares of our common stock at a discount to net asset value, it will pose a risk of dilution to our stockholders. In particular, stockholders who do not purchase additional shares at or below the discounted price in proportion to their current ownership will experience an immediate decrease in net asset value per share (as well as in the aggregate net asset value of their shares if they do not participate at all). These stockholders will also experience a disproportionately greater decrease in their participation in our earnings and assets and their voting power than the increase we experience in our assets, potential earning power and voting interests from such issuances or sale. In addition, such issuances or sales may adversely affect the price at which our common stock trades. For additional information and hypothetical examples of these risks, see “Sales of Common Stock Below Net Asset Value,” and for actual dilution illustrations specific to an offering, see the prospectus supplement pursuant to which such sale is made.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net asset value may have changed significantly since our last valuation.</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board of directors determines the fair value of our portfolio investments on a quarterly basis based on input from our investment advisor, our audit committee and, as to certain of our investments, a third party independent valuation firm. While the board of directors will review our net asset value per share in connection with any offering, it will not always have the benefit of input from the independent valuation firm when it does so. The fair value of various individual investments in our portfolio and/or the aggregate fair value of our investments may change significantly over time. If the fair value of our investment portfolio at December 31, 2019 is less than the fair value was at the time of an offering during 2019, then we may record an unrealized loss on our investment portfolio and may report a lower net asset value per share than was reflected in the Selected Consolidated Financial Data and the financial statements included in the prospectus supplement of that offering. If the fair value of our investment portfolio at December 31, 2019 is greater than the fair value at the time of an offering during 2019, we may record an unrealized gain on our investment portfolio and may report a greater net asset value per share than so reflected in the prospectus supplement of that offering. Upon publication of this information in connection with our announcement of operating results for our fiscal year ended December 31, 2019, the market price of our common stock may fluctuate materially, and may be substantially less than the price per share you pay for our common stock in an offering.</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our securities may fluctuate significantly.</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180" w:right="820" w:hanging="436"/>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exclusion of our common stock from certain market indices, such as the Russell 2000 Financial Services Index, could reduce the ability of certain institutional investors to own our common stock and could put short term pressure on our common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status as an SBIC for the Funds, or any other SBIC subsidiary we may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departure of our investment advisor’s key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in our securities may involve an above average degree of risk.</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therefore, an investment in our securities may not be suitable for someone with lower risk tolerance.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substantial amounts of our common stock may have an adverse effect on the market price of our common stock.</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As of February 25, 2020, we had 24,463,119 shares of common stock outstanding. Sales of substantial amounts of our common stock, or the availability of shares for sale, could adversely affect the prevailing market price of our common stock. If this occurs and continues, it could impair our ability to raise additional capital through the sale of equity securities should we desire to do so.</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we issue preferred stock and/or debt securities, the net asset value and market value of our common stock may become more volatile.</w:t>
      </w:r>
    </w:p>
    <w:p>
      <w:pPr>
        <w:spacing w:after="0" w:line="129"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distribution rate on the preferred stock, or the interest rate on the debt securities, were to approach the net rate of return on our investment portfolio, the benefit of leverage to the holders of our common stock would be reduced. If the distribution rate on the preferred stock, or the interest rate on the debt securities, were to exceed the net rate of return on our portfolio, the use of leverage would result in a lower rate of return to the holders of common stock than if we had not issued the preferred stock and/or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and/or debt securities. This decline in net asset value would also tend to cause a greater decline in the market price for our common stock.</w:t>
      </w:r>
    </w:p>
    <w:p>
      <w:pPr>
        <w:spacing w:after="0" w:line="16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distribution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286"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our charter and bylaws could deter takeover attempts and have an adverse effect on the price of our common stock.</w:t>
      </w:r>
    </w:p>
    <w:p>
      <w:pPr>
        <w:spacing w:after="0" w:line="62"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The Maryland General Corporation Law contains provisions that may discourage, delay or make more difficult a change in control of us or the removal of our directors. In addition, our board of directors may, without stockholder action, authorize the issuance of shares of stock in one or more classes or series, including preferred stock. Our charter and bylaws contain provisions that limit liability and provide for indemnification of our directors and officers. These provisions and others also may have the effect of deterring hostile takeovers or delaying changes in control or management. We are generally prohibited from engaging in mergers and other business combinations with stockholders that beneficially own 10.0% or more of the voting power of our outstanding voting stock, or with their affiliates, for five years after the most recent date on which such stockholders became the beneficial owners of 10.0% or more of the voting power of our outstanding voting stock and thereafter unless our directors and stockholders approve the business combination in the prescribed manner. See “Description of Our Capital Stock—Business Combinations.” Maryland law may discourage third parties from trying to acquire control of us and increase the difficulty of consummating such an offer.</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have also adopted measures that may make it difficult for a third party to obtain control of us, including provisions of our charter authorizing our board of directors to classify or reclassify shares of our stock in one or more classes or series and to cause the issuance of additional shares of our stock, including preferred stock. In addition, we have adopted a classified board of directors. A classified board may render a change in control of us or removal of our incumbent management more difficult. These provisions, as well as other provisions of our charter and bylaws, may delay, defer or prevent a transaction or a change in control that might otherwise be in the best interests of our stockholders.</w:t>
      </w:r>
    </w:p>
    <w:p>
      <w:pPr>
        <w:spacing w:after="0" w:line="266"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3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in the BDC space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do not own any real estate or other physical properties materially important to our operation. Our headquarters are located at 1603 Orrington Avenue, Suite 1005, Evanston, Illinois 60201, and are provided by our investment advisor pursuant to the Administration Agreement. Our investment advisor also maintains additional office space at 227 West Trade Street, Suite 1910, Charlotte, North Carolina 28202, and 1140 Avenue of the Americas, Suite 1500, New York, New York 10036. We believe that our office facilities are suitable and adequate to our business as we contemplate conducting it.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and our investment advisor is not, currently subject to any material legal proceedings.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Our common stock began trading on June 21, 2011 on the NASDAQ Global Market under the symbol “FDUS.” Effective January 3, 2012, our common stock was included in the NASDAQ Global Select Market. The last reported price for our common stock on February 25, 2020 was $14.23 per share. As of February 25, 2020, we had 18 stockholders of record.</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intend to continue to pay quarterly distributions to our stockholders. Our distributions may include returns of paid-in capital, as well as declared dividends from earnings and profits. Our quarterly distributions, if any, are determined by our board of directors. We have elected to be taxed as a RIC under Subchapter M of the Code. As long as we qualify for tax treatment as a RIC, we will not be taxed on our investment company taxable income or net capital gain, to the extent that such income or gain is distributed, or deemed to be distributed, to stockholders on a timely basis.</w:t>
      </w:r>
    </w:p>
    <w:p>
      <w:pPr>
        <w:spacing w:after="0" w:line="154"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On February 12, 2020, our board of directors declared a regular quarterly dividend of $0.39 per share payable on March 27, 2020 to holders of record as of March 13, 2020.</w:t>
      </w:r>
    </w:p>
    <w:p>
      <w:pPr>
        <w:spacing w:after="0" w:line="170"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If we do not distribute a certain percentage of our income annually, we will suffer adverse tax consequences, including possible loss of our status as a RIC. We cannot assure stockholders that they will receive any distributions at a particular level.</w:t>
      </w:r>
    </w:p>
    <w:p>
      <w:pPr>
        <w:spacing w:after="0" w:line="14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have adopted a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Under the terms of our dividend reinvestment plan, dividends will primarily be paid in newly issued shares of common stock. However, we reserve the right to purchase shares in the open market in connection with the implementation of the plan. This feature of the plan means that, under certain circumstances, we may issue shares of our common stock at a price below net asset value per share, which could cause our stockholders to experience dilution.</w:t>
      </w:r>
    </w:p>
    <w:p>
      <w:pPr>
        <w:spacing w:after="0" w:line="18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To maintain our tax treatment as a RIC, we must, among other things, distribute at least 90.0% of our net ordinary income and our net short-term capital gains in excess of our net long-term capital losses, if any. In order to avoid certain excise taxes imposed on RICs, we currently intend to distribute during each calendar year an amount at least equal to the sum of (1) 98.0% of our net ordinary income for the calendar year, (2) 98.2% of our capital gain net income for the calendar year and (3) any net ordinary income and capital gain net income that we recognized for the preceding calendar year but were not distributed during such year and on which we paid no U.S. federal income tax. We may retain for investment some or all of our net capital gain (i.e., net long-term capital gains in excess of net short-term capital losses) and treat such amounts as deemed distributions to our stockholders. If we do this, you will be treated as if you received an actual distribution of the capital gain we retain and then reinvested the net after-tax proceeds in our common stock. You also may be eligible to claim a tax credit (or, in certain circumstances, a tax refund) equal to your allocable share of the tax we paid on the capital gain deemed distributed to you. Please refer to “Material U.S. Federal Income Tax Considerations” for further information regarding the consequences of our retention of net capital gain.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 See “Regulation” and “Material U.S. Federal Income Tax Considerations.”</w:t>
      </w:r>
    </w:p>
    <w:p>
      <w:pPr>
        <w:spacing w:after="0" w:line="18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We may make distributions that are payable in cash or shares of our common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This published guidance applies even if the aggregate amount of cash available to be distributed to all stockholders is no more than 20% of the aggregate declared distribution. Under the published guidance, if too many stockholders elect to receive their distributions in cash, the cash available for distribution must be allocated among the shareholders electing to receive cash (with the balance of the distribution paid in stock). If we decide to make any distributions that are payable in part in shares of our stock, U.S. stockholders receiving such distributions generally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ectPr>
          <w:pgSz w:w="11900" w:h="16838" w:orient="portrait"/>
          <w:cols w:equalWidth="0" w:num="1">
            <w:col w:w="11220"/>
          </w:cols>
          <w:pgMar w:left="240" w:top="459" w:right="439" w:bottom="1440" w:gutter="0" w:footer="0" w:header="0"/>
        </w:sectPr>
      </w:pP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20"/>
          </w:cols>
          <w:pgMar w:left="240" w:top="459" w:right="4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Distributions in excess of our current and accumulated profits and earnings would be treated first as a return of capital to the extent of the stockholder’s tax basis, and any remaining distributions would be treated as a capital gain. The determination of the tax attributes of our distributions will be made annually as of the end of our fiscal year based upon our taxable income for the full year and distributions paid for the full year. Therefore, a determination made on a quarterly basis may not be representative of the actual tax attributes of our distributions for a full year. Each year, a statement on Form 1099-DIV identifying the source of the distribution will be sent to our U.S. stockholders of record. Our board of directors presently intends to declare and pay quarterly dividends. Our ability to pay dividends could be affected by future business performance, liquidity, capital needs, alternative investment opportunities and loan covenants.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tax character of distributions declared and paid in 2019 is described in Note 12 to our consolidated financial statements.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This graph compares the stockholder return on our common stock from December 31, 2014 to December 31, 2019 with that of the Russell 2000 Financial Services Index and the Standard &amp; Poor’s 500 Total Return Stock Index. This graph assumes that on December 31, 2014, $100 was invested in our common stock, the Russell 2000 Financial Services Index, and the Standard &amp; Poor’s 500 Total Return Stock Index. The graph also assumes the reinvestment of all cash dividends prior to any tax effect. The graph and other information furnished under this Part II Item 5 of this Annual Report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130810</wp:posOffset>
            </wp:positionV>
            <wp:extent cx="6011545" cy="3207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11545"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our outstanding classes of securities as of December 31, 2019:</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1"/>
              </w:rPr>
              <w:t>(c) Amount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d) Amount</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6"/>
              </w:rPr>
              <w:t>(b) Amount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Held by us</w:t>
            </w:r>
          </w:p>
        </w:tc>
        <w:tc>
          <w:tcPr>
            <w:tcW w:w="54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Outstanding Exclusive</w:t>
            </w:r>
          </w:p>
        </w:tc>
        <w:tc>
          <w:tcPr>
            <w:tcW w:w="0" w:type="dxa"/>
            <w:vAlign w:val="bottom"/>
          </w:tcPr>
          <w:p>
            <w:pPr>
              <w:spacing w:after="0"/>
              <w:rPr>
                <w:sz w:val="1"/>
                <w:szCs w:val="1"/>
                <w:color w:val="auto"/>
              </w:rPr>
            </w:pPr>
          </w:p>
        </w:tc>
      </w:tr>
      <w:tr>
        <w:trPr>
          <w:trHeight w:val="149"/>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92"/>
              </w:rPr>
              <w:t>(a) Title of Class</w:t>
            </w:r>
          </w:p>
        </w:tc>
        <w:tc>
          <w:tcPr>
            <w:tcW w:w="2000" w:type="dxa"/>
            <w:vAlign w:val="bottom"/>
            <w:vMerge w:val="restart"/>
          </w:tcPr>
          <w:p>
            <w:pPr>
              <w:spacing w:after="0"/>
              <w:rPr>
                <w:sz w:val="12"/>
                <w:szCs w:val="12"/>
                <w:color w:val="auto"/>
              </w:rPr>
            </w:pPr>
          </w:p>
        </w:tc>
        <w:tc>
          <w:tcPr>
            <w:tcW w:w="17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or for Our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of Amounts Shown</w:t>
            </w:r>
          </w:p>
        </w:tc>
        <w:tc>
          <w:tcPr>
            <w:tcW w:w="0" w:type="dxa"/>
            <w:vAlign w:val="bottom"/>
          </w:tcPr>
          <w:p>
            <w:pPr>
              <w:spacing w:after="0"/>
              <w:rPr>
                <w:sz w:val="1"/>
                <w:szCs w:val="1"/>
                <w:color w:val="auto"/>
              </w:rPr>
            </w:pPr>
          </w:p>
        </w:tc>
      </w:tr>
      <w:tr>
        <w:trPr>
          <w:trHeight w:val="178"/>
        </w:trPr>
        <w:tc>
          <w:tcPr>
            <w:tcW w:w="1020" w:type="dxa"/>
            <w:vAlign w:val="bottom"/>
            <w:tcBorders>
              <w:bottom w:val="single" w:sz="8" w:color="auto"/>
            </w:tcBorders>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78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5"/>
              </w:rPr>
              <w:t>Authorized</w:t>
            </w:r>
          </w:p>
        </w:tc>
        <w:tc>
          <w:tcPr>
            <w:tcW w:w="7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Account</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Under (c)</w:t>
            </w:r>
          </w:p>
        </w:tc>
        <w:tc>
          <w:tcPr>
            <w:tcW w:w="0" w:type="dxa"/>
            <w:vAlign w:val="bottom"/>
          </w:tcPr>
          <w:p>
            <w:pPr>
              <w:spacing w:after="0"/>
              <w:rPr>
                <w:sz w:val="1"/>
                <w:szCs w:val="1"/>
                <w:color w:val="auto"/>
              </w:rPr>
            </w:pPr>
          </w:p>
        </w:tc>
      </w:tr>
      <w:tr>
        <w:trPr>
          <w:trHeight w:val="203"/>
        </w:trPr>
        <w:tc>
          <w:tcPr>
            <w:tcW w:w="3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w:t>
            </w:r>
          </w:p>
        </w:tc>
        <w:tc>
          <w:tcPr>
            <w:tcW w:w="17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100,000,000</w:t>
            </w: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38"/>
              <w:spacing w:after="0" w:line="203" w:lineRule="exact"/>
              <w:rPr>
                <w:sz w:val="20"/>
                <w:szCs w:val="20"/>
                <w:color w:val="auto"/>
              </w:rPr>
            </w:pPr>
            <w:r>
              <w:rPr>
                <w:rFonts w:ascii="Arial" w:cs="Arial" w:eastAsia="Arial" w:hAnsi="Arial"/>
                <w:sz w:val="18"/>
                <w:szCs w:val="18"/>
                <w:color w:val="auto"/>
              </w:rPr>
              <w:t>24,463,119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3560" w:type="dxa"/>
            <w:vAlign w:val="bottom"/>
            <w:gridSpan w:val="3"/>
          </w:tcPr>
          <w:p>
            <w:pPr>
              <w:jc w:val="center"/>
              <w:ind w:left="1210"/>
              <w:spacing w:after="0"/>
              <w:rPr>
                <w:sz w:val="20"/>
                <w:szCs w:val="20"/>
                <w:color w:val="auto"/>
              </w:rPr>
            </w:pPr>
            <w:r>
              <w:rPr>
                <w:rFonts w:ascii="Arial" w:cs="Arial" w:eastAsia="Arial" w:hAnsi="Arial"/>
                <w:sz w:val="18"/>
                <w:szCs w:val="18"/>
                <w:color w:val="auto"/>
                <w:w w:val="96"/>
              </w:rPr>
              <w:t xml:space="preserve">$325.0 million </w:t>
            </w:r>
            <w:r>
              <w:rPr>
                <w:rFonts w:ascii="Arial" w:cs="Arial" w:eastAsia="Arial" w:hAnsi="Arial"/>
                <w:sz w:val="15"/>
                <w:szCs w:val="15"/>
                <w:color w:val="auto"/>
                <w:w w:val="96"/>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157.5 million</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3560" w:type="dxa"/>
            <w:vAlign w:val="bottom"/>
            <w:gridSpan w:val="3"/>
            <w:shd w:val="clear" w:color="auto" w:fill="CCEEFF"/>
          </w:tcPr>
          <w:p>
            <w:pPr>
              <w:jc w:val="center"/>
              <w:ind w:left="1030"/>
              <w:spacing w:after="0"/>
              <w:rPr>
                <w:sz w:val="20"/>
                <w:szCs w:val="20"/>
                <w:color w:val="auto"/>
              </w:rPr>
            </w:pPr>
            <w:r>
              <w:rPr>
                <w:rFonts w:ascii="Arial" w:cs="Arial" w:eastAsia="Arial" w:hAnsi="Arial"/>
                <w:sz w:val="18"/>
                <w:szCs w:val="18"/>
                <w:color w:val="auto"/>
                <w:w w:val="96"/>
              </w:rPr>
              <w:t>$ 100.0 million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 million</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Public Notes</w:t>
            </w:r>
          </w:p>
        </w:tc>
        <w:tc>
          <w:tcPr>
            <w:tcW w:w="3560" w:type="dxa"/>
            <w:vAlign w:val="bottom"/>
            <w:gridSpan w:val="3"/>
          </w:tcPr>
          <w:p>
            <w:pPr>
              <w:jc w:val="center"/>
              <w:ind w:left="1030"/>
              <w:spacing w:after="0"/>
              <w:rPr>
                <w:sz w:val="20"/>
                <w:szCs w:val="20"/>
                <w:color w:val="auto"/>
              </w:rPr>
            </w:pPr>
            <w:r>
              <w:rPr>
                <w:rFonts w:ascii="Arial" w:cs="Arial" w:eastAsia="Arial" w:hAnsi="Arial"/>
                <w:sz w:val="18"/>
                <w:szCs w:val="18"/>
                <w:color w:val="auto"/>
                <w:w w:val="96"/>
              </w:rPr>
              <w:t>$ 182.3 million</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182.3 million</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40" w:hanging="436"/>
        <w:spacing w:after="0"/>
        <w:tabs>
          <w:tab w:leader="none" w:pos="640" w:val="left"/>
        </w:tabs>
        <w:numPr>
          <w:ilvl w:val="0"/>
          <w:numId w:val="36"/>
        </w:numPr>
        <w:rPr>
          <w:rFonts w:ascii="Arial" w:cs="Arial" w:eastAsia="Arial" w:hAnsi="Arial"/>
          <w:sz w:val="14"/>
          <w:szCs w:val="14"/>
          <w:color w:val="auto"/>
        </w:rPr>
      </w:pPr>
      <w:r>
        <w:rPr>
          <w:rFonts w:ascii="Arial" w:cs="Arial" w:eastAsia="Arial" w:hAnsi="Arial"/>
          <w:sz w:val="16"/>
          <w:szCs w:val="16"/>
          <w:color w:val="auto"/>
        </w:rPr>
        <w:t>For more information regarding our limitations as to SBA debenture issuances, see “Regulation —  Small Business Administration Regulations.”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200" w:right="360" w:firstLine="441"/>
        <w:spacing w:after="0" w:line="259" w:lineRule="auto"/>
        <w:rPr>
          <w:sz w:val="20"/>
          <w:szCs w:val="20"/>
          <w:color w:val="auto"/>
        </w:rPr>
      </w:pPr>
      <w:r>
        <w:rPr>
          <w:rFonts w:ascii="Arial" w:cs="Arial" w:eastAsia="Arial" w:hAnsi="Arial"/>
          <w:sz w:val="18"/>
          <w:szCs w:val="18"/>
          <w:color w:val="auto"/>
        </w:rPr>
        <w:t>The following table is intended to assist you in understanding the costs and expenses that an investor in this offering will bear directly or indirectly. We caution you that some of the percentages indicated in the table below are estimates and may vary. Except where the context suggests otherwise, whenever there is a reference to fees or expenses paid by “you,” “us,” “the Company” or “Fidus,” or that “we” will pay fees or expenses, stockholders will indirectly bear such fees or expenses as investors in us.</w:t>
      </w:r>
    </w:p>
    <w:p>
      <w:pPr>
        <w:spacing w:after="0" w:line="216"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 transaction expenses:</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Sales load (as a percentage of offering price)</w:t>
            </w: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Offering Expenses born by us (as a percentage of offering price)</w:t>
            </w: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Dividend reinvestment plan expenses</w:t>
            </w: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 transaction expenses paid by us (as a percentage of offering price)</w:t>
            </w: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Annual expenses (as a percentage of net assets attributable to common stock)</w:t>
            </w:r>
            <w:r>
              <w:rPr>
                <w:rFonts w:ascii="Arial" w:cs="Arial" w:eastAsia="Arial" w:hAnsi="Arial"/>
                <w:sz w:val="12"/>
                <w:szCs w:val="12"/>
                <w:b w:val="1"/>
                <w:bCs w:val="1"/>
                <w:color w:val="auto"/>
              </w:rPr>
              <w:t>(5)</w:t>
            </w: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Base Management Fee</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3.07%</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Incentive fees payable under Investment Advisory Agreement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1.84%</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payments on borrowed funds</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4.36%</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annual expenses</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10.37%</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6"/>
          <w:szCs w:val="16"/>
          <w:color w:val="auto"/>
        </w:rPr>
        <w:t>In the event that securities are sold to or through underwriters, a corresponding prospectus supplement will disclose the applicable sales load.</w:t>
      </w:r>
    </w:p>
    <w:p>
      <w:pPr>
        <w:spacing w:after="0" w:line="46" w:lineRule="exact"/>
        <w:rPr>
          <w:rFonts w:ascii="Arial" w:cs="Arial" w:eastAsia="Arial" w:hAnsi="Arial"/>
          <w:sz w:val="14"/>
          <w:szCs w:val="14"/>
          <w:color w:val="auto"/>
        </w:rPr>
      </w:pPr>
    </w:p>
    <w:p>
      <w:pPr>
        <w:ind w:left="640" w:right="500" w:hanging="436"/>
        <w:spacing w:after="0" w:line="250" w:lineRule="auto"/>
        <w:tabs>
          <w:tab w:leader="none" w:pos="640" w:val="left"/>
        </w:tabs>
        <w:numPr>
          <w:ilvl w:val="0"/>
          <w:numId w:val="37"/>
        </w:numPr>
        <w:rPr>
          <w:rFonts w:ascii="Arial" w:cs="Arial" w:eastAsia="Arial" w:hAnsi="Arial"/>
          <w:sz w:val="15"/>
          <w:szCs w:val="15"/>
          <w:color w:val="auto"/>
        </w:rPr>
      </w:pPr>
      <w:r>
        <w:rPr>
          <w:rFonts w:ascii="Arial" w:cs="Arial" w:eastAsia="Arial" w:hAnsi="Arial"/>
          <w:sz w:val="18"/>
          <w:szCs w:val="18"/>
          <w:color w:val="auto"/>
        </w:rPr>
        <w:t>In the event that we conduct an offering of any of our securities, a corresponding prospectus supplement will disclose the estimated offering expenses because they will be ultimately borne by the Company (and indirectly by our stockholders).</w:t>
      </w:r>
    </w:p>
    <w:p>
      <w:pPr>
        <w:ind w:left="640" w:hanging="436"/>
        <w:spacing w:after="0"/>
        <w:tabs>
          <w:tab w:leader="none" w:pos="640" w:val="left"/>
        </w:tabs>
        <w:numPr>
          <w:ilvl w:val="0"/>
          <w:numId w:val="37"/>
        </w:numPr>
        <w:rPr>
          <w:rFonts w:ascii="Arial" w:cs="Arial" w:eastAsia="Arial" w:hAnsi="Arial"/>
          <w:sz w:val="15"/>
          <w:szCs w:val="15"/>
          <w:color w:val="auto"/>
        </w:rPr>
      </w:pPr>
      <w:r>
        <w:rPr>
          <w:rFonts w:ascii="Arial" w:cs="Arial" w:eastAsia="Arial" w:hAnsi="Arial"/>
          <w:sz w:val="18"/>
          <w:szCs w:val="18"/>
          <w:color w:val="auto"/>
        </w:rPr>
        <w:t>The expenses of administering our dividend reinvestment plan are included in other expenses.</w:t>
      </w:r>
    </w:p>
    <w:p>
      <w:pPr>
        <w:spacing w:after="0" w:line="9" w:lineRule="exact"/>
        <w:rPr>
          <w:rFonts w:ascii="Arial" w:cs="Arial" w:eastAsia="Arial" w:hAnsi="Arial"/>
          <w:sz w:val="15"/>
          <w:szCs w:val="15"/>
          <w:color w:val="auto"/>
        </w:rPr>
      </w:pPr>
    </w:p>
    <w:p>
      <w:pPr>
        <w:ind w:left="640" w:hanging="436"/>
        <w:spacing w:after="0"/>
        <w:tabs>
          <w:tab w:leader="none" w:pos="640" w:val="left"/>
        </w:tabs>
        <w:numPr>
          <w:ilvl w:val="0"/>
          <w:numId w:val="37"/>
        </w:numPr>
        <w:rPr>
          <w:rFonts w:ascii="Arial" w:cs="Arial" w:eastAsia="Arial" w:hAnsi="Arial"/>
          <w:sz w:val="15"/>
          <w:szCs w:val="15"/>
          <w:color w:val="auto"/>
        </w:rPr>
      </w:pPr>
      <w:r>
        <w:rPr>
          <w:rFonts w:ascii="Arial" w:cs="Arial" w:eastAsia="Arial" w:hAnsi="Arial"/>
          <w:sz w:val="18"/>
          <w:szCs w:val="18"/>
          <w:color w:val="auto"/>
        </w:rPr>
        <w:t>Total stockholder transaction expenses may include a sales load and will be disclosed in a future prospectus supplement, if any.</w:t>
      </w:r>
    </w:p>
    <w:p>
      <w:pPr>
        <w:spacing w:after="0" w:line="9" w:lineRule="exact"/>
        <w:rPr>
          <w:rFonts w:ascii="Arial" w:cs="Arial" w:eastAsia="Arial" w:hAnsi="Arial"/>
          <w:sz w:val="15"/>
          <w:szCs w:val="15"/>
          <w:color w:val="auto"/>
        </w:rPr>
      </w:pPr>
    </w:p>
    <w:p>
      <w:pPr>
        <w:ind w:left="640" w:right="160" w:hanging="436"/>
        <w:spacing w:after="0" w:line="250" w:lineRule="auto"/>
        <w:tabs>
          <w:tab w:leader="none" w:pos="640" w:val="left"/>
        </w:tabs>
        <w:numPr>
          <w:ilvl w:val="0"/>
          <w:numId w:val="37"/>
        </w:numPr>
        <w:rPr>
          <w:rFonts w:ascii="Arial" w:cs="Arial" w:eastAsia="Arial" w:hAnsi="Arial"/>
          <w:sz w:val="15"/>
          <w:szCs w:val="15"/>
          <w:color w:val="auto"/>
        </w:rPr>
      </w:pPr>
      <w:r>
        <w:rPr>
          <w:rFonts w:ascii="Arial" w:cs="Arial" w:eastAsia="Arial" w:hAnsi="Arial"/>
          <w:sz w:val="18"/>
          <w:szCs w:val="18"/>
          <w:color w:val="auto"/>
        </w:rPr>
        <w:t>Net assets attributable to common stock equals average net assets, which is calculated as the average of the net assets balances as of each quarter end during the year ended December 31, 2019 and the prior year end.</w:t>
      </w:r>
    </w:p>
    <w:p>
      <w:pPr>
        <w:ind w:left="640" w:right="40" w:hanging="436"/>
        <w:spacing w:after="0" w:line="265" w:lineRule="auto"/>
        <w:tabs>
          <w:tab w:leader="none" w:pos="640" w:val="left"/>
        </w:tabs>
        <w:numPr>
          <w:ilvl w:val="0"/>
          <w:numId w:val="37"/>
        </w:numPr>
        <w:rPr>
          <w:rFonts w:ascii="Arial" w:cs="Arial" w:eastAsia="Arial" w:hAnsi="Arial"/>
          <w:sz w:val="14"/>
          <w:szCs w:val="14"/>
          <w:color w:val="auto"/>
        </w:rPr>
      </w:pPr>
      <w:r>
        <w:rPr>
          <w:rFonts w:ascii="Arial" w:cs="Arial" w:eastAsia="Arial" w:hAnsi="Arial"/>
          <w:sz w:val="17"/>
          <w:szCs w:val="17"/>
          <w:color w:val="auto"/>
        </w:rPr>
        <w:t>Our base management fee is 1.75% of the average value of our total assets (other than cash and cash equivalents but including assets purchased with borrowed amounts). This item represents actual base management fees incurred for the year ended December 31, 2019. We may from time to time decide it is appropriate to change the terms of the Investment Advisory Agreement. Under the 1940 Act, any material change to our Investment Advisory Agreement must be submitted to stockholders for approval. The 3.07% reflected in the table is calculated on our net assets (rather than our total assets). See “Management and Other Agreements—Investment Advisory Agreement.”</w:t>
      </w:r>
    </w:p>
    <w:p>
      <w:pPr>
        <w:spacing w:after="0" w:line="1" w:lineRule="exact"/>
        <w:rPr>
          <w:rFonts w:ascii="Arial" w:cs="Arial" w:eastAsia="Arial" w:hAnsi="Arial"/>
          <w:sz w:val="14"/>
          <w:szCs w:val="14"/>
          <w:color w:val="auto"/>
        </w:rPr>
      </w:pPr>
    </w:p>
    <w:p>
      <w:pPr>
        <w:ind w:left="640" w:hanging="436"/>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6"/>
          <w:szCs w:val="16"/>
          <w:color w:val="auto"/>
        </w:rPr>
        <w:t>This item represents actual fees incurred on pre-incentive fee net investment income (income incentive fee) for the year ended December 31,</w:t>
      </w:r>
    </w:p>
    <w:p>
      <w:pPr>
        <w:spacing w:after="0" w:line="32" w:lineRule="exact"/>
        <w:rPr>
          <w:rFonts w:ascii="Arial" w:cs="Arial" w:eastAsia="Arial" w:hAnsi="Arial"/>
          <w:sz w:val="14"/>
          <w:szCs w:val="14"/>
          <w:color w:val="auto"/>
        </w:rPr>
      </w:pPr>
    </w:p>
    <w:p>
      <w:pPr>
        <w:ind w:left="640"/>
        <w:spacing w:after="0" w:line="254" w:lineRule="auto"/>
        <w:rPr>
          <w:rFonts w:ascii="Arial" w:cs="Arial" w:eastAsia="Arial" w:hAnsi="Arial"/>
          <w:sz w:val="14"/>
          <w:szCs w:val="14"/>
          <w:color w:val="auto"/>
        </w:rPr>
      </w:pPr>
      <w:r>
        <w:rPr>
          <w:rFonts w:ascii="Arial" w:cs="Arial" w:eastAsia="Arial" w:hAnsi="Arial"/>
          <w:sz w:val="18"/>
          <w:szCs w:val="18"/>
          <w:color w:val="auto"/>
        </w:rPr>
        <w:t>2019. As of December 31, 2019, there was no capital gains incentive fee payable (in cash), and accordingly no capital gains incentive fee amount has been included in the estimated expenses figure reflected in the table above. For the year ended December 31, 2019, we accrued capital gains incentive fees of $3.3 million in accordance with U.S. GAAP, which equals 0.82% of net assets attributable to common stock; such amount has not been included in the estimated expenses figure reflected in the table above.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consists of two parts:</w:t>
      </w:r>
    </w:p>
    <w:p>
      <w:pPr>
        <w:spacing w:after="0" w:line="117" w:lineRule="exact"/>
        <w:rPr>
          <w:sz w:val="20"/>
          <w:szCs w:val="20"/>
          <w:color w:val="auto"/>
        </w:rPr>
      </w:pPr>
    </w:p>
    <w:p>
      <w:pPr>
        <w:ind w:left="640" w:right="220"/>
        <w:spacing w:after="0" w:line="291" w:lineRule="auto"/>
        <w:rPr>
          <w:sz w:val="20"/>
          <w:szCs w:val="20"/>
          <w:color w:val="auto"/>
        </w:rPr>
      </w:pPr>
      <w:r>
        <w:rPr>
          <w:rFonts w:ascii="Arial" w:cs="Arial" w:eastAsia="Arial" w:hAnsi="Arial"/>
          <w:sz w:val="16"/>
          <w:szCs w:val="16"/>
          <w:color w:val="auto"/>
        </w:rPr>
        <w:t>The first, payable quarterly in arrears, equals 20.0% of our pre-incentive fee net investment income, expressed as a rate of return on the value of our net assets, (including interest that is accrued but not yet received in cash), subject to a 2.0% quarterly (8.0% annualized) hurdle rate and a “catch-up” provision measured as of the end of each calendar quarter. Under this provision, in any calendar quarter, our investment advisor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our investment advisor will receive 20.0% of our pre-incentive fee net investment income as if a hurdle rate did not apply.</w:t>
      </w:r>
    </w:p>
    <w:p>
      <w:pPr>
        <w:spacing w:after="0" w:line="59" w:lineRule="exact"/>
        <w:rPr>
          <w:sz w:val="20"/>
          <w:szCs w:val="20"/>
          <w:color w:val="auto"/>
        </w:rPr>
      </w:pPr>
    </w:p>
    <w:p>
      <w:pPr>
        <w:ind w:left="640" w:right="220"/>
        <w:spacing w:after="0" w:line="293" w:lineRule="auto"/>
        <w:rPr>
          <w:sz w:val="20"/>
          <w:szCs w:val="20"/>
          <w:color w:val="auto"/>
        </w:rPr>
      </w:pPr>
      <w:r>
        <w:rPr>
          <w:rFonts w:ascii="Arial" w:cs="Arial" w:eastAsia="Arial" w:hAnsi="Arial"/>
          <w:sz w:val="16"/>
          <w:szCs w:val="16"/>
          <w:color w:val="auto"/>
        </w:rPr>
        <w:t>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In accordance with U.S. GAAP, we accrue the capital gains incentive fee in our consolidated financial statements considering the fair value of investments on that date (i.e., the amount of fee which would be payable under a hypothetical liquidation based on the fair value of investments as of that date), which differs from the calculation of the amount payable in cash by the inclusion of unrealized capital appreciation.</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 and Other Agreements—Investment Advisory Agreement.”</w:t>
      </w:r>
    </w:p>
    <w:p>
      <w:pPr>
        <w:spacing w:after="0" w:line="131" w:lineRule="exact"/>
        <w:rPr>
          <w:sz w:val="20"/>
          <w:szCs w:val="20"/>
          <w:color w:val="auto"/>
        </w:rPr>
      </w:pPr>
    </w:p>
    <w:p>
      <w:pPr>
        <w:ind w:left="640" w:right="60" w:hanging="436"/>
        <w:spacing w:after="0" w:line="267" w:lineRule="auto"/>
        <w:tabs>
          <w:tab w:leader="none" w:pos="640" w:val="left"/>
        </w:tabs>
        <w:numPr>
          <w:ilvl w:val="0"/>
          <w:numId w:val="38"/>
        </w:numPr>
        <w:rPr>
          <w:rFonts w:ascii="Arial" w:cs="Arial" w:eastAsia="Arial" w:hAnsi="Arial"/>
          <w:sz w:val="14"/>
          <w:szCs w:val="14"/>
          <w:color w:val="auto"/>
        </w:rPr>
      </w:pPr>
      <w:r>
        <w:rPr>
          <w:rFonts w:ascii="Arial" w:cs="Arial" w:eastAsia="Arial" w:hAnsi="Arial"/>
          <w:sz w:val="17"/>
          <w:szCs w:val="17"/>
          <w:color w:val="auto"/>
        </w:rPr>
        <w:t>As of December 31, 2019, we had outstanding SBA debentures of $157.5 million; we had $182.5 million outstanding of our Public Notes; we had $25.0 million of outstanding borrowings under our senior secured revolving credit agreement with certain lenders party thereto and ING Capital, LLC, as administrative agent (the “Credit Facility”), which has total commitment of $100.0 million. Interest payments on borrowed funds is based on estimated annual interest and fee expenses on outstanding SBA debentures, Public Notes and borrowings under the Credit Facility as of December 31, 2019 with a weighted average stated interest rate of 4.665% as of that date. We also pay a commitment fee between 0.5% and 3.0% per annum based the unutilized commitment under our Credit Facility. We have estimated the annual interest expense on borrowed funds and caution you that our actual interest expense will depend on prevailing interest rates and our rate of borrowing, which may be substantially higher than the estimate provided in this table.</w:t>
      </w:r>
    </w:p>
    <w:p>
      <w:pPr>
        <w:spacing w:after="0" w:line="3" w:lineRule="exact"/>
        <w:rPr>
          <w:rFonts w:ascii="Arial" w:cs="Arial" w:eastAsia="Arial" w:hAnsi="Arial"/>
          <w:sz w:val="14"/>
          <w:szCs w:val="14"/>
          <w:color w:val="auto"/>
        </w:rPr>
      </w:pPr>
    </w:p>
    <w:p>
      <w:pPr>
        <w:ind w:left="640" w:right="140" w:hanging="436"/>
        <w:spacing w:after="0" w:line="265" w:lineRule="auto"/>
        <w:tabs>
          <w:tab w:leader="none" w:pos="640" w:val="left"/>
        </w:tabs>
        <w:numPr>
          <w:ilvl w:val="0"/>
          <w:numId w:val="38"/>
        </w:numPr>
        <w:rPr>
          <w:rFonts w:ascii="Arial" w:cs="Arial" w:eastAsia="Arial" w:hAnsi="Arial"/>
          <w:sz w:val="14"/>
          <w:szCs w:val="14"/>
          <w:color w:val="auto"/>
        </w:rPr>
      </w:pPr>
      <w:r>
        <w:rPr>
          <w:rFonts w:ascii="Arial" w:cs="Arial" w:eastAsia="Arial" w:hAnsi="Arial"/>
          <w:sz w:val="17"/>
          <w:szCs w:val="17"/>
          <w:color w:val="auto"/>
        </w:rPr>
        <w:t>Other expenses represent our estimated annual operating expenses, as a percentage of net assets attributable to common shares estimated for the current year, including professional fees, directors’ fees, insurance costs, expenses of our dividend reinvestment plan and payments under the Administration Agreement based on our allocable portion of overhead and other expenses incurred by our administrator. See “Management and Other Agreements—Administration Agreement.” Other expenses exclude interest payments on borrowed funds, and if we issue debt securities or preferred stock, interest payments on debt securities and distributions with respect to preferred stock. “Other expenses” are based on actual other expenses for the year ended December 31, 2019.</w:t>
      </w:r>
    </w:p>
    <w:p>
      <w:pPr>
        <w:spacing w:after="0" w:line="1" w:lineRule="exact"/>
        <w:rPr>
          <w:rFonts w:ascii="Arial" w:cs="Arial" w:eastAsia="Arial" w:hAnsi="Arial"/>
          <w:sz w:val="14"/>
          <w:szCs w:val="14"/>
          <w:color w:val="auto"/>
        </w:rPr>
      </w:pPr>
    </w:p>
    <w:p>
      <w:pPr>
        <w:ind w:left="640" w:right="140" w:hanging="436"/>
        <w:spacing w:after="0" w:line="292" w:lineRule="auto"/>
        <w:tabs>
          <w:tab w:leader="none" w:pos="640" w:val="left"/>
        </w:tabs>
        <w:numPr>
          <w:ilvl w:val="0"/>
          <w:numId w:val="38"/>
        </w:numPr>
        <w:rPr>
          <w:rFonts w:ascii="Arial" w:cs="Arial" w:eastAsia="Arial" w:hAnsi="Arial"/>
          <w:sz w:val="14"/>
          <w:szCs w:val="14"/>
          <w:color w:val="auto"/>
        </w:rPr>
      </w:pPr>
      <w:r>
        <w:rPr>
          <w:rFonts w:ascii="Arial" w:cs="Arial" w:eastAsia="Arial" w:hAnsi="Arial"/>
          <w:sz w:val="16"/>
          <w:szCs w:val="16"/>
          <w:color w:val="auto"/>
        </w:rPr>
        <w:t>“Total annual expenses” as a percentage of consolidated net assets attributable to common stock are higher than the total annual expenses percentage would be for a company that is not leveraged. We borrow money to leverage our net assets and increase our total assets. The SEC requires that the “total annual expenses” percentage be calculated as a percentage of net assets (defined as total assets less total liabilities), rather than the total assets, including assets that have been purchased with borrowed amounts. If the “total annual expenses” percentage were calculated instead as a percentage of average consolidated total assets, our “total annual expenses” would be 5.71% of average consolidated total assets.</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us. In calculating the following expense amounts, we have assumed we would have no additional leverage, that none of our assets are cash or cash equivalents and that our annual operating expenses would remain at the levels set forth in the table above. Transaction expenses are not included in the following example.</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520" w:type="dxa"/>
            <w:vAlign w:val="bottom"/>
            <w:gridSpan w:val="3"/>
          </w:tcPr>
          <w:p>
            <w:pPr>
              <w:ind w:left="1120"/>
              <w:spacing w:after="0"/>
              <w:rPr>
                <w:sz w:val="20"/>
                <w:szCs w:val="20"/>
                <w:color w:val="auto"/>
              </w:rPr>
            </w:pPr>
            <w:r>
              <w:rPr>
                <w:rFonts w:ascii="Arial" w:cs="Arial" w:eastAsia="Arial" w:hAnsi="Arial"/>
                <w:sz w:val="14"/>
                <w:szCs w:val="14"/>
                <w:b w:val="1"/>
                <w:bCs w:val="1"/>
                <w:color w:val="auto"/>
                <w:w w:val="93"/>
              </w:rPr>
              <w:t>1 year</w:t>
            </w:r>
          </w:p>
        </w:tc>
        <w:tc>
          <w:tcPr>
            <w:tcW w:w="6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3 years</w:t>
            </w:r>
          </w:p>
        </w:tc>
        <w:tc>
          <w:tcPr>
            <w:tcW w:w="580" w:type="dxa"/>
            <w:vAlign w:val="bottom"/>
            <w:gridSpan w:val="3"/>
          </w:tcPr>
          <w:p>
            <w:pPr>
              <w:ind w:left="140"/>
              <w:spacing w:after="0"/>
              <w:rPr>
                <w:sz w:val="20"/>
                <w:szCs w:val="20"/>
                <w:color w:val="auto"/>
              </w:rPr>
            </w:pPr>
            <w:r>
              <w:rPr>
                <w:rFonts w:ascii="Arial" w:cs="Arial" w:eastAsia="Arial" w:hAnsi="Arial"/>
                <w:sz w:val="14"/>
                <w:szCs w:val="14"/>
                <w:b w:val="1"/>
                <w:bCs w:val="1"/>
                <w:color w:val="auto"/>
                <w:w w:val="86"/>
              </w:rPr>
              <w:t>5 years</w:t>
            </w:r>
          </w:p>
        </w:tc>
        <w:tc>
          <w:tcPr>
            <w:tcW w:w="7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10 years</w:t>
            </w:r>
          </w:p>
        </w:tc>
      </w:tr>
      <w:tr>
        <w:trPr>
          <w:trHeight w:val="142"/>
        </w:trPr>
        <w:tc>
          <w:tcPr>
            <w:tcW w:w="20" w:type="dxa"/>
            <w:vAlign w:val="bottom"/>
          </w:tcPr>
          <w:p>
            <w:pPr>
              <w:spacing w:after="0"/>
              <w:rPr>
                <w:sz w:val="12"/>
                <w:szCs w:val="12"/>
                <w:color w:val="auto"/>
              </w:rPr>
            </w:pPr>
          </w:p>
        </w:tc>
        <w:tc>
          <w:tcPr>
            <w:tcW w:w="7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You would pay the following expenses on a $1,000 investment, assuming a 5.0% annual return</w:t>
            </w:r>
          </w:p>
        </w:tc>
        <w:tc>
          <w:tcPr>
            <w:tcW w:w="1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475</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830</w:t>
            </w:r>
          </w:p>
        </w:tc>
        <w:tc>
          <w:tcPr>
            <w:tcW w:w="40" w:type="dxa"/>
            <w:vAlign w:val="bottom"/>
            <w:tcBorders>
              <w:top w:val="single" w:sz="8" w:color="CCEEFF"/>
            </w:tcBorders>
            <w:shd w:val="clear" w:color="auto" w:fill="CCEEFF"/>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7600" w:type="dxa"/>
            <w:vAlign w:val="bottom"/>
          </w:tcPr>
          <w:p>
            <w:pPr>
              <w:spacing w:after="0" w:line="130" w:lineRule="exact"/>
              <w:rPr>
                <w:sz w:val="20"/>
                <w:szCs w:val="20"/>
                <w:color w:val="auto"/>
              </w:rPr>
            </w:pPr>
            <w:r>
              <w:rPr>
                <w:rFonts w:ascii="Arial" w:cs="Arial" w:eastAsia="Arial" w:hAnsi="Arial"/>
                <w:sz w:val="14"/>
                <w:szCs w:val="14"/>
                <w:color w:val="auto"/>
              </w:rPr>
              <w:t>You would pay the following expenses on a $1,000 investment, assuming a 5.0% annual return resulting entirely</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2"/>
        </w:trPr>
        <w:tc>
          <w:tcPr>
            <w:tcW w:w="20" w:type="dxa"/>
            <w:vAlign w:val="bottom"/>
          </w:tcPr>
          <w:p>
            <w:pPr>
              <w:spacing w:after="0"/>
              <w:rPr>
                <w:sz w:val="15"/>
                <w:szCs w:val="15"/>
                <w:color w:val="auto"/>
              </w:rPr>
            </w:pPr>
          </w:p>
        </w:tc>
        <w:tc>
          <w:tcPr>
            <w:tcW w:w="7600" w:type="dxa"/>
            <w:vAlign w:val="bottom"/>
          </w:tcPr>
          <w:p>
            <w:pPr>
              <w:ind w:left="120"/>
              <w:spacing w:after="0"/>
              <w:rPr>
                <w:sz w:val="20"/>
                <w:szCs w:val="20"/>
                <w:color w:val="auto"/>
              </w:rPr>
            </w:pPr>
            <w:r>
              <w:rPr>
                <w:rFonts w:ascii="Arial" w:cs="Arial" w:eastAsia="Arial" w:hAnsi="Arial"/>
                <w:sz w:val="14"/>
                <w:szCs w:val="14"/>
                <w:color w:val="auto"/>
              </w:rPr>
              <w:t>from net realized capital gains (all of which is subject to our incentive fee on capital gains)</w:t>
            </w:r>
          </w:p>
        </w:tc>
        <w:tc>
          <w:tcPr>
            <w:tcW w:w="124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114</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320</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500</w:t>
            </w:r>
          </w:p>
        </w:tc>
        <w:tc>
          <w:tcPr>
            <w:tcW w:w="3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861</w:t>
            </w:r>
          </w:p>
        </w:tc>
        <w:tc>
          <w:tcPr>
            <w:tcW w:w="40" w:type="dxa"/>
            <w:vAlign w:val="bottom"/>
          </w:tcPr>
          <w:p>
            <w:pPr>
              <w:spacing w:after="0"/>
              <w:rPr>
                <w:sz w:val="15"/>
                <w:szCs w:val="15"/>
                <w:color w:val="auto"/>
              </w:rPr>
            </w:pPr>
          </w:p>
        </w:tc>
      </w:tr>
    </w:tbl>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 Advisory 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net asset value, if our board of directors authorizes and we declare a cash 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 See “Part II, Item 5” for additional information regarding our dividend reinvestment plan.</w:t>
      </w:r>
    </w:p>
    <w:p>
      <w:pPr>
        <w:spacing w:after="0" w:line="163" w:lineRule="exact"/>
        <w:rPr>
          <w:sz w:val="20"/>
          <w:szCs w:val="20"/>
          <w:color w:val="auto"/>
        </w:rPr>
      </w:pPr>
    </w:p>
    <w:p>
      <w:pPr>
        <w:ind w:left="200" w:right="200" w:firstLine="441"/>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did not engage in any sales of unregistered securities during the fiscal year ended December 31, 2019.</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29, 2019, the Board extended the Stock Repurchase Program through December 31, 2020, or until the approved dollar amount has been used to repurchase shares. The Stock Repurchase Program does not require us to repurchase any specific number of shares and the Company cannot assure that any shares will be repurchased under the Stock Repurchase Program. The Stock Repurchase Program may be suspended, extended, modified or discontinued at any time. During the year ended December 31, 2018, we repurchased 44,821 shares of common stock on the open market for $0.6 million. We did not make any repurchases of common stock during the years ended December 31, 2019 and 2017. Refer to Note 9 to our consolidated financial statements for additional information concerning stock repurchases.</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The following selected consolidated financial data of FIC and its subsidiaries, including the Funds, as of and for the years ended December 31, 2019, 2018, 2017, 2016 and 2015, is derived from the consolidated financial statements that have been audited by RSM US LLP, an independent registered public accounting firm. This financial data should be read in conjunction with our consolidated financial statements and the notes thereto included elsewhere in this Annual Report and with Management’s Discussion and Analysis of Financial Condition and Results of Operations which follows.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4"/>
                <w:szCs w:val="14"/>
                <w:b w:val="1"/>
                <w:bCs w:val="1"/>
                <w:color w:val="auto"/>
                <w:w w:val="92"/>
              </w:rPr>
              <w:t>Years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0" w:type="dxa"/>
            <w:vAlign w:val="bottom"/>
            <w:gridSpan w:val="11"/>
          </w:tcPr>
          <w:p>
            <w:pPr>
              <w:jc w:val="center"/>
              <w:ind w:right="60"/>
              <w:spacing w:after="0" w:line="142" w:lineRule="exact"/>
              <w:rPr>
                <w:sz w:val="20"/>
                <w:szCs w:val="20"/>
                <w:color w:val="auto"/>
              </w:rPr>
            </w:pPr>
            <w:r>
              <w:rPr>
                <w:rFonts w:ascii="Arial" w:cs="Arial" w:eastAsia="Arial" w:hAnsi="Arial"/>
                <w:sz w:val="14"/>
                <w:szCs w:val="14"/>
                <w:i w:val="1"/>
                <w:iCs w:val="1"/>
                <w:color w:val="auto"/>
                <w:w w:val="93"/>
              </w:rPr>
              <w:t>(Dollars in Thousands, Except Per Share Data)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280"/>
              <w:spacing w:after="0" w:line="149" w:lineRule="exact"/>
              <w:rPr>
                <w:sz w:val="20"/>
                <w:szCs w:val="20"/>
                <w:color w:val="auto"/>
              </w:rPr>
            </w:pPr>
            <w:r>
              <w:rPr>
                <w:rFonts w:ascii="Arial" w:cs="Arial" w:eastAsia="Arial" w:hAnsi="Arial"/>
                <w:sz w:val="14"/>
                <w:szCs w:val="14"/>
                <w:color w:val="auto"/>
              </w:rPr>
              <w:t>Total investment income</w:t>
            </w:r>
          </w:p>
        </w:tc>
        <w:tc>
          <w:tcPr>
            <w:tcW w:w="1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77,106</w:t>
            </w: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76,425</w:t>
            </w:r>
          </w:p>
        </w:tc>
        <w:tc>
          <w:tcPr>
            <w:tcW w:w="2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88"/>
              </w:rPr>
              <w:t>68,615</w:t>
            </w:r>
          </w:p>
        </w:tc>
        <w:tc>
          <w:tcPr>
            <w:tcW w:w="22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60,229</w:t>
            </w:r>
          </w:p>
        </w:tc>
        <w:tc>
          <w:tcPr>
            <w:tcW w:w="280" w:type="dxa"/>
            <w:vAlign w:val="bottom"/>
          </w:tcPr>
          <w:p>
            <w:pPr>
              <w:spacing w:after="0"/>
              <w:rPr>
                <w:sz w:val="12"/>
                <w:szCs w:val="12"/>
                <w:color w:val="auto"/>
              </w:rPr>
            </w:pP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54,269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and financing expenses</w:t>
            </w: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17,072</w:t>
            </w:r>
          </w:p>
        </w:tc>
        <w:tc>
          <w:tcPr>
            <w:tcW w:w="1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12,659</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10,594</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280"/>
              <w:spacing w:after="0" w:line="149" w:lineRule="exact"/>
              <w:rPr>
                <w:sz w:val="20"/>
                <w:szCs w:val="20"/>
                <w:color w:val="auto"/>
              </w:rPr>
            </w:pPr>
            <w:r>
              <w:rPr>
                <w:rFonts w:ascii="Arial" w:cs="Arial" w:eastAsia="Arial" w:hAnsi="Arial"/>
                <w:sz w:val="14"/>
                <w:szCs w:val="14"/>
                <w:color w:val="auto"/>
              </w:rPr>
              <w:t>Base management fee</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12,399</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11,365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9,788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8,254</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7,545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Incentive fee - income</w:t>
            </w: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7,445</w:t>
            </w:r>
          </w:p>
        </w:tc>
        <w:tc>
          <w:tcPr>
            <w:tcW w:w="1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7,375</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280"/>
              <w:spacing w:after="0" w:line="149" w:lineRule="exact"/>
              <w:rPr>
                <w:sz w:val="20"/>
                <w:szCs w:val="20"/>
                <w:color w:val="auto"/>
              </w:rPr>
            </w:pPr>
            <w:r>
              <w:rPr>
                <w:rFonts w:ascii="Arial" w:cs="Arial" w:eastAsia="Arial" w:hAnsi="Arial"/>
                <w:sz w:val="14"/>
                <w:szCs w:val="14"/>
                <w:color w:val="auto"/>
              </w:rPr>
              <w:t>Incentive fee - capital gains</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3,299</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2,938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2,055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2,294</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All other expenses</w:t>
            </w:r>
          </w:p>
        </w:tc>
        <w:tc>
          <w:tcPr>
            <w:tcW w:w="1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4,422</w:t>
            </w:r>
          </w:p>
        </w:tc>
        <w:tc>
          <w:tcPr>
            <w:tcW w:w="1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4,272</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4,069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3,986</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3,932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tcPr>
          <w:p>
            <w:pPr>
              <w:ind w:left="280"/>
              <w:spacing w:after="0" w:line="155" w:lineRule="exact"/>
              <w:rPr>
                <w:sz w:val="20"/>
                <w:szCs w:val="20"/>
                <w:color w:val="auto"/>
              </w:rPr>
            </w:pPr>
            <w:r>
              <w:rPr>
                <w:rFonts w:ascii="Arial" w:cs="Arial" w:eastAsia="Arial" w:hAnsi="Arial"/>
                <w:sz w:val="14"/>
                <w:szCs w:val="14"/>
                <w:color w:val="auto"/>
              </w:rPr>
              <w:t>Net investment income before income taxes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32,469</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35,778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88"/>
              </w:rPr>
              <w:t>33,987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97"/>
              </w:rPr>
              <w:t>27,726</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26,883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 provision (benefit)</w:t>
            </w:r>
          </w:p>
        </w:tc>
        <w:tc>
          <w:tcPr>
            <w:tcW w:w="1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425</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tcPr>
          <w:p>
            <w:pPr>
              <w:ind w:left="280"/>
              <w:spacing w:after="0" w:line="155" w:lineRule="exact"/>
              <w:rPr>
                <w:sz w:val="20"/>
                <w:szCs w:val="20"/>
                <w:color w:val="auto"/>
              </w:rPr>
            </w:pPr>
            <w:r>
              <w:rPr>
                <w:rFonts w:ascii="Arial" w:cs="Arial" w:eastAsia="Arial" w:hAnsi="Arial"/>
                <w:sz w:val="14"/>
                <w:szCs w:val="14"/>
                <w:color w:val="auto"/>
              </w:rPr>
              <w:t>Net investment income</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31,969</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35,058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88"/>
              </w:rPr>
              <w:t>33,767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97"/>
              </w:rPr>
              <w:t>27,301</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26,493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realized gains (losses)</w:t>
            </w: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(1,171)</w:t>
            </w:r>
          </w:p>
        </w:tc>
        <w:tc>
          <w:tcPr>
            <w:tcW w:w="2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(10,269)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17,904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(13,835)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280"/>
              <w:spacing w:after="0" w:line="149" w:lineRule="exact"/>
              <w:rPr>
                <w:sz w:val="20"/>
                <w:szCs w:val="20"/>
                <w:color w:val="auto"/>
              </w:rPr>
            </w:pPr>
            <w:r>
              <w:rPr>
                <w:rFonts w:ascii="Arial" w:cs="Arial" w:eastAsia="Arial" w:hAnsi="Arial"/>
                <w:sz w:val="14"/>
                <w:szCs w:val="14"/>
                <w:color w:val="auto"/>
              </w:rPr>
              <w:t>Net change in unrealized appreciation (depreciation)</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18,188</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25,718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(5,426)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29,009</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(10,086)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 (provision) benefit from realized gains on investments</w:t>
            </w: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w:t>
            </w:r>
          </w:p>
        </w:tc>
        <w:tc>
          <w:tcPr>
            <w:tcW w:w="2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(2,204)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280"/>
              <w:spacing w:after="0" w:line="149" w:lineRule="exact"/>
              <w:rPr>
                <w:sz w:val="20"/>
                <w:szCs w:val="20"/>
                <w:color w:val="auto"/>
              </w:rPr>
            </w:pPr>
            <w:r>
              <w:rPr>
                <w:rFonts w:ascii="Arial" w:cs="Arial" w:eastAsia="Arial" w:hAnsi="Arial"/>
                <w:sz w:val="14"/>
                <w:szCs w:val="14"/>
                <w:color w:val="auto"/>
              </w:rPr>
              <w:t>Realized losses on extinguishment of debt</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(399)</w:t>
            </w:r>
          </w:p>
        </w:tc>
        <w:tc>
          <w:tcPr>
            <w:tcW w:w="2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u w:val="single" w:color="auto"/>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48,466</w:t>
            </w:r>
          </w:p>
        </w:tc>
        <w:tc>
          <w:tcPr>
            <w:tcW w:w="1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49,452</w:t>
            </w:r>
          </w:p>
        </w:tc>
        <w:tc>
          <w:tcPr>
            <w:tcW w:w="2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43,951</w:t>
            </w: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42,270</w:t>
            </w:r>
          </w:p>
        </w:tc>
        <w:tc>
          <w:tcPr>
            <w:tcW w:w="2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25,977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share data:</w:t>
            </w: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8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asset value (at end of period)</w:t>
            </w:r>
          </w:p>
        </w:tc>
        <w:tc>
          <w:tcPr>
            <w:tcW w:w="1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16.85</w:t>
            </w:r>
          </w:p>
        </w:tc>
        <w:tc>
          <w:tcPr>
            <w:tcW w:w="1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16.47</w:t>
            </w:r>
          </w:p>
        </w:tc>
        <w:tc>
          <w:tcPr>
            <w:tcW w:w="2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w:t>
            </w: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15.76</w:t>
            </w:r>
          </w:p>
        </w:tc>
        <w:tc>
          <w:tcPr>
            <w:tcW w:w="2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280"/>
              <w:spacing w:after="0" w:line="149" w:lineRule="exact"/>
              <w:rPr>
                <w:sz w:val="20"/>
                <w:szCs w:val="20"/>
                <w:color w:val="auto"/>
              </w:rPr>
            </w:pPr>
            <w:r>
              <w:rPr>
                <w:rFonts w:ascii="Arial" w:cs="Arial" w:eastAsia="Arial" w:hAnsi="Arial"/>
                <w:sz w:val="14"/>
                <w:szCs w:val="14"/>
                <w:color w:val="auto"/>
              </w:rPr>
              <w:t>Net investment income</w:t>
            </w:r>
          </w:p>
        </w:tc>
        <w:tc>
          <w:tcPr>
            <w:tcW w:w="1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2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2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280" w:type="dxa"/>
            <w:vAlign w:val="bottom"/>
          </w:tcPr>
          <w:p>
            <w:pPr>
              <w:spacing w:after="0"/>
              <w:rPr>
                <w:sz w:val="12"/>
                <w:szCs w:val="12"/>
                <w:color w:val="auto"/>
              </w:rPr>
            </w:pP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gain (loss) on investments</w:t>
            </w:r>
          </w:p>
        </w:tc>
        <w:tc>
          <w:tcPr>
            <w:tcW w:w="1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0.69</w:t>
            </w:r>
          </w:p>
        </w:tc>
        <w:tc>
          <w:tcPr>
            <w:tcW w:w="1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0.60</w:t>
            </w:r>
          </w:p>
        </w:tc>
        <w:tc>
          <w:tcPr>
            <w:tcW w:w="2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0.44</w:t>
            </w: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0.82</w:t>
            </w:r>
          </w:p>
        </w:tc>
        <w:tc>
          <w:tcPr>
            <w:tcW w:w="2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280"/>
              <w:spacing w:after="0" w:line="149" w:lineRule="exact"/>
              <w:rPr>
                <w:sz w:val="20"/>
                <w:szCs w:val="20"/>
                <w:color w:val="auto"/>
              </w:rPr>
            </w:pPr>
            <w:r>
              <w:rPr>
                <w:rFonts w:ascii="Arial" w:cs="Arial" w:eastAsia="Arial" w:hAnsi="Arial"/>
                <w:sz w:val="14"/>
                <w:szCs w:val="14"/>
                <w:color w:val="auto"/>
              </w:rPr>
              <w:t>Realized losses on extinguishment of debt</w:t>
            </w:r>
          </w:p>
        </w:tc>
        <w:tc>
          <w:tcPr>
            <w:tcW w:w="1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(0.02)</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(0.01)</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(0.01)</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1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2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c>
          <w:tcPr>
            <w:tcW w:w="2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280"/>
              <w:spacing w:after="0" w:line="149" w:lineRule="exact"/>
              <w:rPr>
                <w:sz w:val="20"/>
                <w:szCs w:val="20"/>
                <w:color w:val="auto"/>
              </w:rPr>
            </w:pPr>
            <w:r>
              <w:rPr>
                <w:rFonts w:ascii="Arial" w:cs="Arial" w:eastAsia="Arial" w:hAnsi="Arial"/>
                <w:sz w:val="14"/>
                <w:szCs w:val="14"/>
                <w:color w:val="auto"/>
              </w:rPr>
              <w:t>Dividends</w:t>
            </w:r>
          </w:p>
        </w:tc>
        <w:tc>
          <w:tcPr>
            <w:tcW w:w="1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2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22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280" w:type="dxa"/>
            <w:vAlign w:val="bottom"/>
          </w:tcPr>
          <w:p>
            <w:pPr>
              <w:spacing w:after="0"/>
              <w:rPr>
                <w:sz w:val="12"/>
                <w:szCs w:val="12"/>
                <w:color w:val="auto"/>
              </w:rPr>
            </w:pP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280"/>
              <w:spacing w:after="0" w:line="149" w:lineRule="exact"/>
              <w:rPr>
                <w:sz w:val="20"/>
                <w:szCs w:val="20"/>
                <w:color w:val="auto"/>
              </w:rPr>
            </w:pPr>
            <w:r>
              <w:rPr>
                <w:rFonts w:ascii="Arial" w:cs="Arial" w:eastAsia="Arial" w:hAnsi="Arial"/>
                <w:sz w:val="14"/>
                <w:szCs w:val="14"/>
                <w:color w:val="auto"/>
              </w:rPr>
              <w:t xml:space="preserve">Weighted average annual yield on debt investments </w:t>
            </w:r>
            <w:r>
              <w:rPr>
                <w:rFonts w:ascii="Arial" w:cs="Arial" w:eastAsia="Arial" w:hAnsi="Arial"/>
                <w:sz w:val="12"/>
                <w:szCs w:val="12"/>
                <w:color w:val="auto"/>
              </w:rPr>
              <w:t>(1)</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w:t>
            </w:r>
          </w:p>
        </w:tc>
        <w:tc>
          <w:tcPr>
            <w:tcW w:w="2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Number of portfolio companies at year end</w:t>
            </w: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280"/>
              <w:spacing w:after="0" w:line="149" w:lineRule="exact"/>
              <w:rPr>
                <w:sz w:val="20"/>
                <w:szCs w:val="20"/>
                <w:color w:val="auto"/>
              </w:rPr>
            </w:pPr>
            <w:r>
              <w:rPr>
                <w:rFonts w:ascii="Arial" w:cs="Arial" w:eastAsia="Arial" w:hAnsi="Arial"/>
                <w:sz w:val="14"/>
                <w:szCs w:val="14"/>
                <w:color w:val="auto"/>
              </w:rPr>
              <w:t xml:space="preserve">Expense ratios (as percentage of average net assets </w:t>
            </w:r>
            <w:r>
              <w:rPr>
                <w:rFonts w:ascii="Arial" w:cs="Arial" w:eastAsia="Arial" w:hAnsi="Arial"/>
                <w:sz w:val="12"/>
                <w:szCs w:val="12"/>
                <w:color w:val="auto"/>
              </w:rPr>
              <w:t>(2)</w:t>
            </w:r>
            <w:r>
              <w:rPr>
                <w:rFonts w:ascii="Arial" w:cs="Arial" w:eastAsia="Arial" w:hAnsi="Arial"/>
                <w:sz w:val="14"/>
                <w:szCs w:val="14"/>
                <w:color w:val="auto"/>
              </w:rPr>
              <w:t>):</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Operating expenses</w:t>
            </w: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w:t>
            </w:r>
          </w:p>
        </w:tc>
        <w:tc>
          <w:tcPr>
            <w:tcW w:w="2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560"/>
              <w:spacing w:after="0" w:line="149" w:lineRule="exact"/>
              <w:rPr>
                <w:sz w:val="20"/>
                <w:szCs w:val="20"/>
                <w:color w:val="auto"/>
              </w:rPr>
            </w:pPr>
            <w:r>
              <w:rPr>
                <w:rFonts w:ascii="Arial" w:cs="Arial" w:eastAsia="Arial" w:hAnsi="Arial"/>
                <w:sz w:val="14"/>
                <w:szCs w:val="14"/>
                <w:color w:val="auto"/>
              </w:rPr>
              <w:t>Interest expense</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w:t>
            </w:r>
          </w:p>
        </w:tc>
        <w:tc>
          <w:tcPr>
            <w:tcW w:w="2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 xml:space="preserve">Total return based on market value </w:t>
            </w:r>
            <w:r>
              <w:rPr>
                <w:rFonts w:ascii="Arial" w:cs="Arial" w:eastAsia="Arial" w:hAnsi="Arial"/>
                <w:sz w:val="12"/>
                <w:szCs w:val="12"/>
                <w:color w:val="auto"/>
              </w:rPr>
              <w:t>(3)</w:t>
            </w: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37.6%</w:t>
            </w:r>
          </w:p>
        </w:tc>
        <w:tc>
          <w:tcPr>
            <w:tcW w:w="2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tcPr>
          <w:p>
            <w:pPr>
              <w:ind w:left="280"/>
              <w:spacing w:after="0"/>
              <w:rPr>
                <w:sz w:val="20"/>
                <w:szCs w:val="20"/>
                <w:color w:val="auto"/>
              </w:rPr>
            </w:pPr>
            <w:r>
              <w:rPr>
                <w:rFonts w:ascii="Arial" w:cs="Arial" w:eastAsia="Arial" w:hAnsi="Arial"/>
                <w:sz w:val="14"/>
                <w:szCs w:val="14"/>
                <w:color w:val="auto"/>
              </w:rPr>
              <w:t xml:space="preserve">Total return based on net asset value </w:t>
            </w:r>
            <w:r>
              <w:rPr>
                <w:rFonts w:ascii="Arial" w:cs="Arial" w:eastAsia="Arial" w:hAnsi="Arial"/>
                <w:sz w:val="12"/>
                <w:szCs w:val="12"/>
                <w:color w:val="auto"/>
              </w:rPr>
              <w:t>(4)</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12.0%</w:t>
            </w:r>
          </w:p>
        </w:tc>
        <w:tc>
          <w:tcPr>
            <w:tcW w:w="2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40" w:right="260" w:hanging="436"/>
        <w:spacing w:after="0" w:line="244" w:lineRule="auto"/>
        <w:tabs>
          <w:tab w:leader="none" w:pos="6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Weighted average yields are computed using the effective interest rates for debt investments at cost as of the period end date, including accretion of original issue discount and loan origination fees, but excluding investments on non-accrual status, if any. The weighted average yield of our debt investments is not the same as a return on investment for our stockholders but, rather, relates to a portion of our investment portfolio and is calculated before the payment of all of our and our subsidiaries’ fees and expenses.</w:t>
      </w:r>
    </w:p>
    <w:p>
      <w:pPr>
        <w:spacing w:after="0" w:line="1" w:lineRule="exact"/>
        <w:rPr>
          <w:rFonts w:ascii="Arial" w:cs="Arial" w:eastAsia="Arial" w:hAnsi="Arial"/>
          <w:sz w:val="13"/>
          <w:szCs w:val="13"/>
          <w:color w:val="auto"/>
        </w:rPr>
      </w:pPr>
    </w:p>
    <w:p>
      <w:pPr>
        <w:ind w:left="640" w:hanging="436"/>
        <w:spacing w:after="0" w:line="221"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Average net assets is calculated as the average of the net asset balances as of each quarter end during the fiscal year and the prior year end.</w:t>
      </w:r>
    </w:p>
    <w:p>
      <w:pPr>
        <w:jc w:val="both"/>
        <w:ind w:left="640" w:right="20" w:hanging="436"/>
        <w:spacing w:after="0" w:line="221"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Total return based on market value equals the change in the market value of our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ind w:left="640" w:right="40" w:hanging="436"/>
        <w:spacing w:after="0" w:line="232" w:lineRule="auto"/>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2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20" w:type="dxa"/>
            <w:vAlign w:val="bottom"/>
            <w:gridSpan w:val="3"/>
          </w:tcPr>
          <w:p>
            <w:pPr>
              <w:jc w:val="center"/>
              <w:spacing w:after="0" w:line="142" w:lineRule="exact"/>
              <w:rPr>
                <w:sz w:val="20"/>
                <w:szCs w:val="20"/>
                <w:color w:val="auto"/>
              </w:rPr>
            </w:pPr>
            <w:r>
              <w:rPr>
                <w:rFonts w:ascii="Arial" w:cs="Arial" w:eastAsia="Arial" w:hAnsi="Arial"/>
                <w:sz w:val="14"/>
                <w:szCs w:val="14"/>
                <w:i w:val="1"/>
                <w:iCs w:val="1"/>
                <w:color w:val="auto"/>
                <w:w w:val="95"/>
              </w:rPr>
              <w:t>(Dollars in Thousands)</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assets and liabilities data:</w:t>
            </w:r>
          </w:p>
        </w:tc>
        <w:tc>
          <w:tcPr>
            <w:tcW w:w="2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80"/>
              <w:spacing w:after="0" w:line="149" w:lineRule="exact"/>
              <w:rPr>
                <w:sz w:val="20"/>
                <w:szCs w:val="20"/>
                <w:color w:val="auto"/>
              </w:rPr>
            </w:pPr>
            <w:r>
              <w:rPr>
                <w:rFonts w:ascii="Arial" w:cs="Arial" w:eastAsia="Arial" w:hAnsi="Arial"/>
                <w:sz w:val="14"/>
                <w:szCs w:val="14"/>
                <w:color w:val="auto"/>
              </w:rPr>
              <w:t>Total investments, fair value</w:t>
            </w:r>
          </w:p>
        </w:tc>
        <w:tc>
          <w:tcPr>
            <w:tcW w:w="3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$766,919</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$642,982</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$596,308</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$524,454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$443,269</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 xml:space="preserve">Total assets </w:t>
            </w:r>
            <w:r>
              <w:rPr>
                <w:rFonts w:ascii="Arial" w:cs="Arial" w:eastAsia="Arial" w:hAnsi="Arial"/>
                <w:sz w:val="12"/>
                <w:szCs w:val="12"/>
                <w:color w:val="auto"/>
              </w:rPr>
              <w:t>(5)</w:t>
            </w:r>
          </w:p>
        </w:tc>
        <w:tc>
          <w:tcPr>
            <w:tcW w:w="3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789,439</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693,876</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646,263</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586,742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480,668</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8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(6)</w:t>
            </w:r>
          </w:p>
        </w:tc>
        <w:tc>
          <w:tcPr>
            <w:tcW w:w="3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364,750</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277,500</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242,800</w:t>
            </w: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224,000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229,000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net assets</w:t>
            </w:r>
          </w:p>
        </w:tc>
        <w:tc>
          <w:tcPr>
            <w:tcW w:w="3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412,310</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402,985</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393,273</w:t>
            </w: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353,785</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247,362</w:t>
            </w:r>
          </w:p>
        </w:tc>
        <w:tc>
          <w:tcPr>
            <w:tcW w:w="40" w:type="dxa"/>
            <w:vAlign w:val="bottom"/>
            <w:shd w:val="clear" w:color="auto" w:fill="CCEEFF"/>
          </w:tcPr>
          <w:p>
            <w:pPr>
              <w:spacing w:after="0"/>
              <w:rPr>
                <w:sz w:val="12"/>
                <w:szCs w:val="12"/>
                <w:color w:val="auto"/>
              </w:rPr>
            </w:pPr>
          </w:p>
        </w:tc>
      </w:tr>
    </w:tbl>
    <w:p>
      <w:pPr>
        <w:spacing w:after="0" w:line="102" w:lineRule="exact"/>
        <w:rPr>
          <w:sz w:val="20"/>
          <w:szCs w:val="20"/>
          <w:color w:val="auto"/>
        </w:rPr>
      </w:pPr>
    </w:p>
    <w:p>
      <w:pPr>
        <w:ind w:left="640" w:hanging="436"/>
        <w:spacing w:after="0"/>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In April 2015, the Financial Accounting Standards Board (“FASB”) issued Accounting Standards Update (“ASU”) 2015-03, </w:t>
      </w:r>
      <w:r>
        <w:rPr>
          <w:rFonts w:ascii="Arial" w:cs="Arial" w:eastAsia="Arial" w:hAnsi="Arial"/>
          <w:sz w:val="14"/>
          <w:szCs w:val="14"/>
          <w:i w:val="1"/>
          <w:iCs w:val="1"/>
          <w:color w:val="auto"/>
        </w:rPr>
        <w:t>Interest—Imputation of interest</w:t>
      </w:r>
    </w:p>
    <w:p>
      <w:pPr>
        <w:ind w:left="640" w:right="120"/>
        <w:spacing w:after="0" w:line="258" w:lineRule="auto"/>
        <w:rPr>
          <w:rFonts w:ascii="Arial" w:cs="Arial" w:eastAsia="Arial" w:hAnsi="Arial"/>
          <w:sz w:val="14"/>
          <w:szCs w:val="14"/>
          <w:color w:val="auto"/>
        </w:rPr>
      </w:pPr>
      <w:r>
        <w:rPr>
          <w:rFonts w:ascii="Arial" w:cs="Arial" w:eastAsia="Arial" w:hAnsi="Arial"/>
          <w:sz w:val="12"/>
          <w:szCs w:val="12"/>
          <w:i w:val="1"/>
          <w:iCs w:val="1"/>
          <w:color w:val="auto"/>
        </w:rPr>
        <w:t>(Subtopic 835-30): Simplifying the Presentation of Debt Issuance Costs</w:t>
      </w:r>
      <w:r>
        <w:rPr>
          <w:rFonts w:ascii="Arial" w:cs="Arial" w:eastAsia="Arial" w:hAnsi="Arial"/>
          <w:sz w:val="12"/>
          <w:szCs w:val="12"/>
          <w:color w:val="auto"/>
        </w:rPr>
        <w:t>, which requires that debt issuance costs related to a recognized debt liability be presented in the balance sheet</w:t>
      </w:r>
      <w:r>
        <w:rPr>
          <w:rFonts w:ascii="Arial" w:cs="Arial" w:eastAsia="Arial" w:hAnsi="Arial"/>
          <w:sz w:val="12"/>
          <w:szCs w:val="12"/>
          <w:i w:val="1"/>
          <w:iCs w:val="1"/>
          <w:color w:val="auto"/>
        </w:rPr>
        <w:t xml:space="preserve"> </w:t>
      </w:r>
      <w:r>
        <w:rPr>
          <w:rFonts w:ascii="Arial" w:cs="Arial" w:eastAsia="Arial" w:hAnsi="Arial"/>
          <w:sz w:val="12"/>
          <w:szCs w:val="12"/>
          <w:color w:val="auto"/>
        </w:rPr>
        <w:t>as a direct deduction from the carrying amount of that debt liability rather than as an asset. We adopted ASU 2015-03 as of January 1, 2016. Prior to adoption, we recorded deferred financing costs as an asset on the consolidated statements of assets and liabilities. Upon adoption of ASU 2015-03, we reclassified these deferred costs to a direct offset of the related debt liability on the consolidated statements of assets and liabilities. In the table above, the new guidance has been applied retrospectively to fiscal year 2015 to conform presentation.</w:t>
      </w:r>
    </w:p>
    <w:p>
      <w:pPr>
        <w:ind w:left="640" w:hanging="436"/>
        <w:spacing w:after="0"/>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principal balance outstanding.</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Consolidated Financial Data,” FIC’s consolidated financial statements and related notes appearing elsewhere in this annual report on Form 10-K (“Annual Report”). The information contained in this section contains forward-looking statements that involve risk and uncertainties. Please see “Risk Factors” and “Special Note Regarding Forward-Looking Statements” for a discussion of the uncertainties, risks and assumptions associated with these statements.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Corporate Structure</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FIC was formed as a Maryland corporation on February 14, 2011. We completed our initial public offering, or IPO, in June 2011.</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 Fund I, Fund II and Fund III are collectively referred to as the “Funds.”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Fund I, Fund II and Fund III received their SBIC licenses on October 22, 2007, May 28, 2013, and March 21, 2019, respectively. We plan to continue to operate the Funds as SBICs, subject to SBA approval, and to utilize the proceeds of the sale of SBA-guaranteed debentures to enhance returns to our stockholders. As of September 9, 2019, Fund I completed a wind-down plan, relinquished its SBIC license, and can no longer issue additional SBA debentures. We have also made, and continue to make, investments directly through FIC. We believe that utilizing FIC and the Funds as investment vehicles provides us with access to a broader array of investment opportunities.</w:t>
      </w:r>
    </w:p>
    <w:p>
      <w:pPr>
        <w:spacing w:after="0" w:line="173"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17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generate revenue in the form of interest and fee income on debt investments and dividends, if any, on equity investments. Our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whether in the form of second lien, subordinated or first lien loans, typically have terms of five to seven years and most bear interest at a fixed rate, but some bear interest at a floating rate.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8" w:lineRule="auto"/>
        <w:rPr>
          <w:sz w:val="20"/>
          <w:szCs w:val="20"/>
          <w:color w:val="auto"/>
        </w:rPr>
      </w:pPr>
      <w:r>
        <w:rPr>
          <w:rFonts w:ascii="Arial" w:cs="Arial" w:eastAsia="Arial" w:hAnsi="Arial"/>
          <w:sz w:val="16"/>
          <w:szCs w:val="16"/>
          <w:color w:val="auto"/>
        </w:rPr>
        <w:t>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69" w:lineRule="exact"/>
        <w:rPr>
          <w:sz w:val="20"/>
          <w:szCs w:val="20"/>
          <w:color w:val="auto"/>
        </w:rPr>
      </w:pPr>
    </w:p>
    <w:p>
      <w:pPr>
        <w:jc w:val="both"/>
        <w:ind w:left="200" w:right="180" w:firstLine="441"/>
        <w:spacing w:after="0" w:line="259" w:lineRule="auto"/>
        <w:rPr>
          <w:sz w:val="20"/>
          <w:szCs w:val="20"/>
          <w:color w:val="auto"/>
        </w:rPr>
      </w:pPr>
      <w:r>
        <w:rPr>
          <w:rFonts w:ascii="Arial" w:cs="Arial" w:eastAsia="Arial" w:hAnsi="Arial"/>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All investment professionals of our investment advisor and/or its affiliates, when and to the extent engaged in providing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and management services to us, and the compensation and routine overhead expenses allocable to personnel who provide these services to us, are provided and paid for by our investment advisor and not by us. We bear all other out-of-pocket costs and expenses of our operations and transactions, including, without limitation, those relating to:</w:t>
      </w:r>
    </w:p>
    <w:p>
      <w:pPr>
        <w:spacing w:after="0" w:line="92" w:lineRule="exact"/>
        <w:rPr>
          <w:sz w:val="20"/>
          <w:szCs w:val="20"/>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fees and expenses incurred by our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92"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 advisory fees and management fees;</w:t>
      </w:r>
    </w:p>
    <w:p>
      <w:pPr>
        <w:spacing w:after="0" w:line="130" w:lineRule="exact"/>
        <w:rPr>
          <w:rFonts w:ascii="Arial" w:cs="Arial" w:eastAsia="Arial" w:hAnsi="Arial"/>
          <w:sz w:val="18"/>
          <w:szCs w:val="18"/>
          <w:color w:val="auto"/>
        </w:rPr>
      </w:pPr>
    </w:p>
    <w:p>
      <w:pPr>
        <w:ind w:left="1180" w:right="20" w:hanging="436"/>
        <w:spacing w:after="0" w:line="259"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administration fees and expenses, if any, payable under the Administration Agreement (including payments under the Administration Agreement between us and our investment advisor based upon our allocable portion of our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92"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transfer agent, dividend agent and custodial fees and expenses;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costs of registration and listing our shares on any securities exchange;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or other regulators including printing costs;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and mailing costs;</w:t>
      </w:r>
    </w:p>
    <w:p>
      <w:pPr>
        <w:spacing w:after="0" w:line="130" w:lineRule="exact"/>
        <w:rPr>
          <w:rFonts w:ascii="Arial" w:cs="Arial" w:eastAsia="Arial" w:hAnsi="Arial"/>
          <w:sz w:val="18"/>
          <w:szCs w:val="18"/>
          <w:color w:val="auto"/>
        </w:rPr>
      </w:pPr>
    </w:p>
    <w:p>
      <w:pPr>
        <w:ind w:left="1180" w:right="780" w:hanging="436"/>
        <w:spacing w:after="0" w:line="27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officers/errors and omissions liability insurance, and any other insurance premiums;</w:t>
      </w:r>
    </w:p>
    <w:p>
      <w:pPr>
        <w:spacing w:after="0" w:line="75"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proxy voting expenses;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other expenses reasonably incurred by us or our investment advisor in connection with administering our business.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During the years ended December 31, 2019 and 2018, we invested $219.2 million and $212.3 million in debt and equity investments, respectively, including 12 and 15 new portfolio companies, respectively. During the years ended December 31, 2019 and 2018, we received proceeds from sales or repayments, including principal, return of capital dividends and net realized gains (losses), of $120.6 million and $188.3 million, respectively, including exits of 11 and 15 portfolio companies, respectively. The following table summarizes investment purchases and sales and repayments of investments by type for the years ended December 31, 2019 and 2018 (dollars in millions).</w:t>
      </w:r>
    </w:p>
    <w:p>
      <w:pPr>
        <w:sectPr>
          <w:pgSz w:w="11900" w:h="16838" w:orient="portrait"/>
          <w:cols w:equalWidth="0" w:num="1">
            <w:col w:w="11220"/>
          </w:cols>
          <w:pgMar w:left="240" w:top="459" w:right="439" w:bottom="1440" w:gutter="0" w:footer="0" w:header="0"/>
        </w:sectPr>
      </w:pP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20"/>
          </w:cols>
          <w:pgMar w:left="240" w:top="459" w:right="4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w w:val="88"/>
              </w:rPr>
              <w:t>Purchases of Investments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11"/>
          </w:tcPr>
          <w:p>
            <w:pPr>
              <w:jc w:val="right"/>
              <w:ind w:right="340"/>
              <w:spacing w:after="0"/>
              <w:rPr>
                <w:sz w:val="20"/>
                <w:szCs w:val="20"/>
                <w:color w:val="auto"/>
              </w:rPr>
            </w:pPr>
            <w:r>
              <w:rPr>
                <w:rFonts w:ascii="Arial" w:cs="Arial" w:eastAsia="Arial" w:hAnsi="Arial"/>
                <w:sz w:val="14"/>
                <w:szCs w:val="14"/>
                <w:b w:val="1"/>
                <w:bCs w:val="1"/>
                <w:color w:val="auto"/>
                <w:w w:val="90"/>
              </w:rPr>
              <w:t>Sales and Repayments of Investments</w:t>
            </w: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4"/>
          </w:tcPr>
          <w:p>
            <w:pPr>
              <w:jc w:val="right"/>
              <w:ind w:right="33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Subordinated Debt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70.0</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Equity</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10.9</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Royalty Rights</w:t>
            </w:r>
          </w:p>
        </w:tc>
        <w:tc>
          <w:tcPr>
            <w:tcW w:w="2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219.2</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As of December 31, 2019, the fair value of our investment portfolio totaled $766.9 million and consisted of 61 active portfolio companies and three portfolio companies that have sold their underlying operations. As of December 31, 2019, 17 portfolio companies’ debt investments bore interest at a variable rate, which represented $181.3 million, or 28.7%, of our debt investment portfolio on a fair value basis, and the remainder of our debt investment portfolio was comprised of fixed rate investments. Overall, the portfolio had net unrealized appreciation of $62.4 million as of December 31, 2019. As of December 31, 2019, our average active portfolio company investment at amortized cost was $11.5 million, which excludes investments in the three portfolio companies that have sold their underlying operations.</w:t>
      </w:r>
    </w:p>
    <w:p>
      <w:pPr>
        <w:spacing w:after="0" w:line="178"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As of December 31, 2018, the fair value of our investment portfolio totaled $643.0 million and consisted of 60 active portfolio companies and three portfolio companies that have sold their underlying operations. As of December 31, 2018, seven portfolio companies’ debt investments bore interest at a variable rate, which represented $75.9 million, or 14.5%, of our debt investment portfolio on a fair value basis, and the remainder of our debt investment portfolio was comprised of fixed rate investments. Overall, the portfolio had net unrealized appreciation of $44.2 million as of December 31, 2018. As of December 31, 2018, our average active portfolio company investment at amortized cost was $10.0 million, which excludes investments in the three portfolio companies that have sold their underlying operations.</w:t>
      </w:r>
    </w:p>
    <w:p>
      <w:pPr>
        <w:spacing w:after="0" w:line="178"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The weighted average yield on debt investments as of December 31, 2019 and 2018 was 12.0% and 12.6%,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December 31, 2019 and 2018, including the accretion of OID and debt investment origination fees, but excluding investments on non-accrual status, if any. The following table shows the portfolio composition by investment type at fair value and cost and as a percentage of total investments (dollars in millions):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Cost</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340" w:type="dxa"/>
            <w:vAlign w:val="bottom"/>
            <w:gridSpan w:val="5"/>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5"/>
          </w:tcPr>
          <w:p>
            <w:pPr>
              <w:jc w:val="center"/>
              <w:ind w:right="248"/>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$383.1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$366.5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$392.2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Subordinated Debt</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140.8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Equity</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126.6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Royalty Rights</w:t>
            </w:r>
          </w:p>
        </w:tc>
        <w:tc>
          <w:tcPr>
            <w:tcW w:w="2040" w:type="dxa"/>
            <w:vAlign w:val="bottom"/>
          </w:tcPr>
          <w:p>
            <w:pPr>
              <w:spacing w:after="0"/>
              <w:rPr>
                <w:sz w:val="19"/>
                <w:szCs w:val="19"/>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766.9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643.0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704.5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598.8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All investments made by us as of December 31, 2019 and 2018 were made in portfolio companies headquartered in the U.S.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Cost</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5"/>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5"/>
          </w:tcPr>
          <w:p>
            <w:pPr>
              <w:jc w:val="center"/>
              <w:ind w:right="248"/>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$208.2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$181.3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Southeast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176.8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138.1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West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766.9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100.0%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643.0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704.5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598.8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detailed industry composition of our portfolio at fair value and cost as a percentage of total investments: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80" w:type="dxa"/>
            <w:vAlign w:val="bottom"/>
          </w:tcPr>
          <w:p>
            <w:pPr>
              <w:spacing w:after="0"/>
              <w:rPr>
                <w:sz w:val="10"/>
                <w:szCs w:val="10"/>
                <w:color w:val="auto"/>
              </w:rPr>
            </w:pPr>
          </w:p>
        </w:tc>
        <w:tc>
          <w:tcPr>
            <w:tcW w:w="8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0" w:type="dxa"/>
            <w:vAlign w:val="bottom"/>
          </w:tcPr>
          <w:p>
            <w:pPr>
              <w:spacing w:after="0"/>
              <w:rPr>
                <w:sz w:val="10"/>
                <w:szCs w:val="10"/>
                <w:color w:val="auto"/>
              </w:rPr>
            </w:pPr>
          </w:p>
        </w:tc>
        <w:tc>
          <w:tcPr>
            <w:tcW w:w="9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Specialty Distribution</w:t>
            </w:r>
          </w:p>
        </w:tc>
        <w:tc>
          <w:tcPr>
            <w:tcW w:w="1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5"/>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Business Services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Services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Healthcare Products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Component Manufacturing</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Aerospace &amp; Defense Manufacturing</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Oil &amp; Gas Services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Vending Equipment Manufacturing</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Retail</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Promotional Products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Transportation Services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Building Products Manufacturing</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Utilities: Services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Industrial Cleaning &amp; Coatings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Packaging</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 Manufacturing</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Oil &amp; Gas Distribution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Restaurants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rPr>
              <w:t>(1)</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5"/>
                <w:szCs w:val="15"/>
                <w:color w:val="auto"/>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Specialty Chemicals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80" w:type="dxa"/>
            <w:vAlign w:val="bottom"/>
          </w:tcPr>
          <w:p>
            <w:pPr>
              <w:jc w:val="right"/>
              <w:ind w:right="385"/>
              <w:spacing w:after="0"/>
              <w:rPr>
                <w:sz w:val="20"/>
                <w:szCs w:val="20"/>
                <w:color w:val="auto"/>
              </w:rPr>
            </w:pPr>
            <w:r>
              <w:rPr>
                <w:rFonts w:ascii="Arial" w:cs="Arial" w:eastAsia="Arial" w:hAnsi="Arial"/>
                <w:sz w:val="15"/>
                <w:szCs w:val="15"/>
                <w:color w:val="auto"/>
              </w:rPr>
              <w:t>(1)</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5"/>
                <w:szCs w:val="15"/>
                <w:color w:val="auto"/>
              </w:rPr>
              <w:t>(1)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00" w:type="dxa"/>
            <w:vAlign w:val="bottom"/>
          </w:tcPr>
          <w:p>
            <w:pPr>
              <w:jc w:val="right"/>
              <w:ind w:right="305"/>
              <w:spacing w:after="0"/>
              <w:rPr>
                <w:sz w:val="20"/>
                <w:szCs w:val="20"/>
                <w:color w:val="auto"/>
              </w:rPr>
            </w:pPr>
            <w:r>
              <w:rPr>
                <w:rFonts w:ascii="Arial" w:cs="Arial" w:eastAsia="Arial" w:hAnsi="Arial"/>
                <w:sz w:val="15"/>
                <w:szCs w:val="15"/>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 Manufacturing</w:t>
            </w:r>
          </w:p>
        </w:tc>
        <w:tc>
          <w:tcPr>
            <w:tcW w:w="13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1520" w:type="dxa"/>
            <w:vAlign w:val="bottom"/>
            <w:gridSpan w:val="2"/>
          </w:tcPr>
          <w:p>
            <w:pPr>
              <w:jc w:val="right"/>
              <w:ind w:right="465"/>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1440" w:type="dxa"/>
            <w:vAlign w:val="bottom"/>
            <w:gridSpan w:val="2"/>
          </w:tcPr>
          <w:p>
            <w:pPr>
              <w:jc w:val="right"/>
              <w:ind w:right="385"/>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120" w:type="dxa"/>
            <w:vAlign w:val="bottom"/>
            <w:gridSpan w:val="2"/>
          </w:tcPr>
          <w:p>
            <w:pPr>
              <w:jc w:val="right"/>
              <w:ind w:right="63"/>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Percentage is less than 0.1% of respective total.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Asset Quality</w:t>
      </w:r>
    </w:p>
    <w:p>
      <w:pPr>
        <w:spacing w:after="0" w:line="121"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7" w:lineRule="exact"/>
        <w:rPr>
          <w:sz w:val="20"/>
          <w:szCs w:val="20"/>
          <w:color w:val="auto"/>
        </w:rPr>
      </w:pPr>
    </w:p>
    <w:p>
      <w:pPr>
        <w:ind w:left="1180" w:right="360" w:hanging="436"/>
        <w:spacing w:after="0" w:line="264"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86"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40" w:hanging="436"/>
        <w:spacing w:after="0" w:line="264"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86" w:lineRule="exact"/>
        <w:rPr>
          <w:rFonts w:ascii="Arial" w:cs="Arial" w:eastAsia="Arial" w:hAnsi="Arial"/>
          <w:sz w:val="18"/>
          <w:szCs w:val="18"/>
          <w:color w:val="auto"/>
        </w:rPr>
      </w:pPr>
    </w:p>
    <w:p>
      <w:pPr>
        <w:ind w:left="1180" w:right="760" w:hanging="436"/>
        <w:spacing w:after="0" w:line="308" w:lineRule="auto"/>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51" w:lineRule="exact"/>
        <w:rPr>
          <w:rFonts w:ascii="Arial" w:cs="Arial" w:eastAsia="Arial" w:hAnsi="Arial"/>
          <w:sz w:val="17"/>
          <w:szCs w:val="17"/>
          <w:color w:val="auto"/>
        </w:rPr>
      </w:pPr>
    </w:p>
    <w:p>
      <w:pPr>
        <w:ind w:left="1180" w:right="360" w:hanging="436"/>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rating scale at fair value and cost as of December 31, 2019 and 2018 (dollars in millions):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Investment Rating</w:t>
            </w:r>
          </w:p>
        </w:tc>
        <w:tc>
          <w:tcPr>
            <w:tcW w:w="4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5"/>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5"/>
          </w:tcPr>
          <w:p>
            <w:pPr>
              <w:jc w:val="center"/>
              <w:ind w:right="328"/>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1020" w:type="dxa"/>
            <w:vAlign w:val="bottom"/>
            <w:gridSpan w:val="4"/>
          </w:tcPr>
          <w:p>
            <w:pPr>
              <w:jc w:val="center"/>
              <w:ind w:right="1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60" w:type="dxa"/>
            <w:vAlign w:val="bottom"/>
            <w:gridSpan w:val="2"/>
            <w:vMerge w:val="continue"/>
          </w:tcPr>
          <w:p>
            <w:pPr>
              <w:spacing w:after="0"/>
              <w:rPr>
                <w:sz w:val="13"/>
                <w:szCs w:val="13"/>
                <w:color w:val="auto"/>
              </w:rPr>
            </w:pPr>
          </w:p>
        </w:tc>
        <w:tc>
          <w:tcPr>
            <w:tcW w:w="4960" w:type="dxa"/>
            <w:vAlign w:val="bottom"/>
            <w:gridSpan w:val="5"/>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4"/>
          </w:tcPr>
          <w:p>
            <w:pPr>
              <w:jc w:val="right"/>
              <w:spacing w:after="0" w:line="158"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right"/>
              <w:ind w:right="20"/>
              <w:spacing w:after="0" w:line="158"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4260" w:type="dxa"/>
            <w:vAlign w:val="bottom"/>
            <w:gridSpan w:val="2"/>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426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$100.1</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13.1%</w:t>
            </w:r>
          </w:p>
        </w:tc>
        <w:tc>
          <w:tcPr>
            <w:tcW w:w="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$123.8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19.2%</w:t>
            </w:r>
          </w:p>
        </w:tc>
        <w:tc>
          <w:tcPr>
            <w:tcW w:w="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580.5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403.1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570.1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396.2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4</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766.9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100.0%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643.0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704.5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100.0%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598.8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Based on our investment rating system, the weighted average rating of our portfolio as of December 31, 2019 and 2018 was 2.0 and 2.0, respectively, on a fair value basis and 2.1 and 2.2, respectively, on a cost basis.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Non-Accrual</w:t>
      </w:r>
    </w:p>
    <w:p>
      <w:pPr>
        <w:spacing w:after="0" w:line="117" w:lineRule="exact"/>
        <w:rPr>
          <w:sz w:val="20"/>
          <w:szCs w:val="20"/>
          <w:color w:val="auto"/>
        </w:rPr>
      </w:pPr>
    </w:p>
    <w:p>
      <w:pPr>
        <w:ind w:left="200" w:right="900" w:firstLine="441"/>
        <w:spacing w:after="0" w:line="277" w:lineRule="auto"/>
        <w:rPr>
          <w:sz w:val="20"/>
          <w:szCs w:val="20"/>
          <w:color w:val="auto"/>
        </w:rPr>
      </w:pPr>
      <w:r>
        <w:rPr>
          <w:rFonts w:ascii="Arial" w:cs="Arial" w:eastAsia="Arial" w:hAnsi="Arial"/>
          <w:sz w:val="18"/>
          <w:szCs w:val="18"/>
          <w:color w:val="auto"/>
        </w:rPr>
        <w:t>As of December 31, 2019 and December 31, 2018, we had debt investments in one and two portfolio companies on non-accrual status, respectively (dollars in millions):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December 31, 2019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December 31, 2018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0" w:type="dxa"/>
            <w:vAlign w:val="bottom"/>
          </w:tcPr>
          <w:p>
            <w:pPr>
              <w:spacing w:after="0"/>
              <w:rPr>
                <w:sz w:val="10"/>
                <w:szCs w:val="10"/>
                <w:color w:val="auto"/>
              </w:rPr>
            </w:pPr>
          </w:p>
        </w:tc>
        <w:tc>
          <w:tcPr>
            <w:tcW w:w="7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0"/>
                <w:szCs w:val="10"/>
                <w:color w:val="auto"/>
              </w:rPr>
            </w:pPr>
          </w:p>
        </w:tc>
        <w:tc>
          <w:tcPr>
            <w:tcW w:w="8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620" w:type="dxa"/>
            <w:vAlign w:val="bottom"/>
            <w:gridSpan w:val="2"/>
            <w:vMerge w:val="restart"/>
          </w:tcPr>
          <w:p>
            <w:pPr>
              <w:jc w:val="right"/>
              <w:ind w:right="263"/>
              <w:spacing w:after="0"/>
              <w:rPr>
                <w:sz w:val="20"/>
                <w:szCs w:val="20"/>
                <w:color w:val="auto"/>
              </w:rPr>
            </w:pPr>
            <w:r>
              <w:rPr>
                <w:rFonts w:ascii="Arial" w:cs="Arial" w:eastAsia="Arial" w:hAnsi="Arial"/>
                <w:sz w:val="14"/>
                <w:szCs w:val="14"/>
                <w:b w:val="1"/>
                <w:bCs w:val="1"/>
                <w:color w:val="auto"/>
                <w:w w:val="83"/>
              </w:rPr>
              <w:t>Cost</w:t>
            </w:r>
          </w:p>
        </w:tc>
        <w:tc>
          <w:tcPr>
            <w:tcW w:w="0" w:type="dxa"/>
            <w:vAlign w:val="bottom"/>
          </w:tcPr>
          <w:p>
            <w:pPr>
              <w:spacing w:after="0"/>
              <w:rPr>
                <w:sz w:val="1"/>
                <w:szCs w:val="1"/>
                <w:color w:val="auto"/>
              </w:rPr>
            </w:pPr>
          </w:p>
        </w:tc>
      </w:tr>
      <w:tr>
        <w:trPr>
          <w:trHeight w:val="158"/>
        </w:trPr>
        <w:tc>
          <w:tcPr>
            <w:tcW w:w="77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Accent Food Services, LLC</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$33.1</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$ 35.3</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w w:val="90"/>
              </w:rPr>
              <w:t>$ —</w:t>
            </w:r>
          </w:p>
        </w:tc>
        <w:tc>
          <w:tcPr>
            <w:tcW w:w="4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87"/>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K2 Industrial Services, Inc.</w:t>
            </w:r>
          </w:p>
        </w:tc>
        <w:tc>
          <w:tcPr>
            <w:tcW w:w="2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GreenFiber, LLC</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33.1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$ 35.3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20.8</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Interest earned while on non-accrual was paid in full at exit.</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Portfolio company debt investments were not on non-accrual status at period end.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fiscal years ended December 31, 2019, 2018, and 2017</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Below is a summary of the changes in total investment income for the years ended December 31, 2019, 2018, and 2017, as well as a comparison of those periods year-over-year (dollars in millions, percent change calculated based on underlying dollar amounts in thousands):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80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Years Ended December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2019 vs. 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2017</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2"/>
                <w:szCs w:val="12"/>
                <w:b w:val="1"/>
                <w:bCs w:val="1"/>
                <w:color w:val="auto"/>
              </w:rPr>
              <w:t>(1)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Change</w:t>
            </w: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2"/>
                <w:szCs w:val="12"/>
                <w:b w:val="1"/>
                <w:bCs w:val="1"/>
                <w:color w:val="auto"/>
              </w:rPr>
              <w:t>(1)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right w:val="single" w:sz="8" w:color="CCEEFF"/>
            </w:tcBorders>
            <w:vMerge w:val="continue"/>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$ 62.2</w:t>
            </w:r>
          </w:p>
        </w:tc>
        <w:tc>
          <w:tcPr>
            <w:tcW w:w="2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$ 60.9</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Fee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Total investment income</w:t>
            </w: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$ 77.1</w:t>
            </w:r>
          </w:p>
        </w:tc>
        <w:tc>
          <w:tcPr>
            <w:tcW w:w="22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3"/>
              </w:rPr>
              <w:t>$ 76.4</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68.6</w:t>
            </w:r>
          </w:p>
        </w:tc>
        <w:tc>
          <w:tcPr>
            <w:tcW w:w="2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NM = Not meaningful</w:t>
      </w:r>
    </w:p>
    <w:p>
      <w:pPr>
        <w:sectPr>
          <w:pgSz w:w="11900" w:h="16838" w:orient="portrait"/>
          <w:cols w:equalWidth="0" w:num="1">
            <w:col w:w="11240"/>
          </w:cols>
          <w:pgMar w:left="240" w:top="459" w:right="419" w:bottom="1440"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240" w:top="459" w:right="41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For the year ended December 31, 2019, total investment income was $77.1 million, an increase of $0.7 million or 0.9%, from the $76.4 million of total investment income for the year ended December 31, 2018. As reflected in the table above, the increase is primarily attributable to the following:</w:t>
      </w:r>
    </w:p>
    <w:p>
      <w:pPr>
        <w:spacing w:after="0" w:line="29" w:lineRule="exact"/>
        <w:rPr>
          <w:sz w:val="20"/>
          <w:szCs w:val="20"/>
          <w:color w:val="auto"/>
        </w:rPr>
      </w:pPr>
    </w:p>
    <w:p>
      <w:pPr>
        <w:ind w:left="1620" w:right="320" w:hanging="322"/>
        <w:spacing w:after="0" w:line="342" w:lineRule="auto"/>
        <w:tabs>
          <w:tab w:leader="none" w:pos="1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$3.8 million increase in total interest income (including payment-in-kind interest income) resulting from higher average debt investment balances outstanding, partially offset by a decrease in weighted average debt yield, during 2019 as compared to 2018.</w:t>
      </w:r>
    </w:p>
    <w:p>
      <w:pPr>
        <w:spacing w:after="0" w:line="29" w:lineRule="exact"/>
        <w:rPr>
          <w:rFonts w:ascii="Arial" w:cs="Arial" w:eastAsia="Arial" w:hAnsi="Arial"/>
          <w:sz w:val="16"/>
          <w:szCs w:val="16"/>
          <w:color w:val="auto"/>
        </w:rPr>
      </w:pPr>
    </w:p>
    <w:p>
      <w:pPr>
        <w:ind w:left="1620" w:right="200" w:hanging="322"/>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$2.6 million decrease in dividend income, during 2019 as compared to 2018, due to decreased levels of distributions received from equity investments.</w:t>
      </w:r>
    </w:p>
    <w:p>
      <w:pPr>
        <w:spacing w:after="0" w:line="75" w:lineRule="exact"/>
        <w:rPr>
          <w:rFonts w:ascii="Arial" w:cs="Arial" w:eastAsia="Arial" w:hAnsi="Arial"/>
          <w:sz w:val="18"/>
          <w:szCs w:val="18"/>
          <w:color w:val="auto"/>
        </w:rPr>
      </w:pPr>
    </w:p>
    <w:p>
      <w:pPr>
        <w:ind w:left="1620" w:right="200" w:hanging="322"/>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$0.5 million decrease in fee income resulting from a decrease in prepayment fee income, and partially offset by an increase in debt amendment fee income and origination fees, during 2019 as compared to 2018.</w:t>
      </w:r>
    </w:p>
    <w:p>
      <w:pPr>
        <w:spacing w:after="0" w:line="170"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For the year ended December 31, 2018, total investment income was $76.4 million, an increase of $7.8 million or 11.4%, from the $68.6 million of total investment income for the year ended December 31, 2017. As reflected in the table above, the increase is primarily attributable to the following:</w:t>
      </w:r>
    </w:p>
    <w:p>
      <w:pPr>
        <w:spacing w:after="0" w:line="29" w:lineRule="exact"/>
        <w:rPr>
          <w:sz w:val="20"/>
          <w:szCs w:val="20"/>
          <w:color w:val="auto"/>
        </w:rPr>
      </w:pPr>
    </w:p>
    <w:p>
      <w:pPr>
        <w:ind w:left="1620" w:right="320" w:hanging="322"/>
        <w:spacing w:after="0" w:line="342" w:lineRule="auto"/>
        <w:tabs>
          <w:tab w:leader="none" w:pos="1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$5.4 million increase in total interest income (including payment-in-kind interest income) resulting from higher average debt investment balances outstanding, partially offset by a decrease in weighted average debt yield, during 2018 as compared to 2017.</w:t>
      </w:r>
    </w:p>
    <w:p>
      <w:pPr>
        <w:spacing w:after="0" w:line="29" w:lineRule="exact"/>
        <w:rPr>
          <w:rFonts w:ascii="Arial" w:cs="Arial" w:eastAsia="Arial" w:hAnsi="Arial"/>
          <w:sz w:val="16"/>
          <w:szCs w:val="16"/>
          <w:color w:val="auto"/>
        </w:rPr>
      </w:pPr>
    </w:p>
    <w:p>
      <w:pPr>
        <w:ind w:left="1620" w:right="260" w:hanging="322"/>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$2.1 million increase in dividend income, during 2018 as compared to 2017, due to increased levels of distributions received from equity investments.</w:t>
      </w:r>
    </w:p>
    <w:p>
      <w:pPr>
        <w:spacing w:after="0" w:line="75" w:lineRule="exact"/>
        <w:rPr>
          <w:rFonts w:ascii="Arial" w:cs="Arial" w:eastAsia="Arial" w:hAnsi="Arial"/>
          <w:sz w:val="18"/>
          <w:szCs w:val="18"/>
          <w:color w:val="auto"/>
        </w:rPr>
      </w:pPr>
    </w:p>
    <w:p>
      <w:pPr>
        <w:ind w:left="1620" w:right="240" w:hanging="322"/>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$0.3 million increase in fee income resulting from an increase in prepayment fee income, and partially offset by a decrease in debt amendment fee income, during 2018 as compared to 2017.</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Below is a summary of the changes in total expenses, including income tax provision, for the years ended December 31, 2019, 2018, and 2017, as well as a comparison of those periods year-over-year (dollars in millions, percent change calculated based on underlying dollar amounts in thousands):</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2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w w:val="94"/>
              </w:rPr>
              <w:t>Years Ended December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2019 vs. 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2017</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2"/>
                <w:szCs w:val="12"/>
                <w:b w:val="1"/>
                <w:bCs w:val="1"/>
                <w:color w:val="auto"/>
              </w:rPr>
              <w:t>(1)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right w:val="single" w:sz="8" w:color="CCEEFF"/>
            </w:tcBorders>
            <w:vMerge w:val="continue"/>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$ 17.1</w:t>
            </w:r>
          </w:p>
        </w:tc>
        <w:tc>
          <w:tcPr>
            <w:tcW w:w="2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$ 12.7</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w:t>
            </w:r>
          </w:p>
        </w:tc>
        <w:tc>
          <w:tcPr>
            <w:tcW w:w="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Base management fee</w:t>
            </w:r>
          </w:p>
        </w:tc>
        <w:tc>
          <w:tcPr>
            <w:tcW w:w="420" w:type="dxa"/>
            <w:vAlign w:val="bottom"/>
          </w:tcPr>
          <w:p>
            <w:pPr>
              <w:jc w:val="right"/>
              <w:spacing w:after="0"/>
              <w:rPr>
                <w:sz w:val="20"/>
                <w:szCs w:val="20"/>
                <w:color w:val="auto"/>
              </w:rPr>
            </w:pPr>
            <w:r>
              <w:rPr>
                <w:rFonts w:ascii="Arial" w:cs="Arial" w:eastAsia="Arial" w:hAnsi="Arial"/>
                <w:sz w:val="18"/>
                <w:szCs w:val="18"/>
                <w:color w:val="auto"/>
              </w:rPr>
              <w:t>12.4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Incentive fee - capital gains</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Professional fees</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Total expenses, before income tax provision</w:t>
            </w: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44.6</w:t>
            </w:r>
          </w:p>
        </w:tc>
        <w:tc>
          <w:tcPr>
            <w:tcW w:w="22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Total expenses, including income tax provision</w:t>
            </w: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5"/>
              </w:rPr>
              <w:t>$ 45.1</w:t>
            </w:r>
          </w:p>
        </w:tc>
        <w:tc>
          <w:tcPr>
            <w:tcW w:w="22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$ 41.4</w:t>
            </w: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34.8</w:t>
            </w:r>
          </w:p>
        </w:tc>
        <w:tc>
          <w:tcPr>
            <w:tcW w:w="2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1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NM = Not meaningful</w:t>
      </w:r>
    </w:p>
    <w:p>
      <w:pPr>
        <w:spacing w:after="0" w:line="225"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For the year ended December 31, 2019, total expenses, including income tax provision, were $45.1 million, an increase of $3.7 million or 9.1%, from the $41.4 million of total expenses, including income tax provision, for the year ended December 31, 2018. As reflected in the table above, the increase is primarily attributable to the following:</w:t>
      </w:r>
    </w:p>
    <w:p>
      <w:pPr>
        <w:spacing w:after="0" w:line="87" w:lineRule="exact"/>
        <w:rPr>
          <w:sz w:val="20"/>
          <w:szCs w:val="20"/>
          <w:color w:val="auto"/>
        </w:rPr>
      </w:pPr>
    </w:p>
    <w:p>
      <w:pPr>
        <w:ind w:left="1620" w:right="400" w:hanging="322"/>
        <w:spacing w:after="0" w:line="277"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$4.4 million increase in interest and financing expenses due to an increase in average borrowings outstanding and an increase in weighted average interest rate on borrowings during 2019 as compared to 2018.</w:t>
      </w:r>
    </w:p>
    <w:p>
      <w:pPr>
        <w:spacing w:after="0" w:line="75" w:lineRule="exact"/>
        <w:rPr>
          <w:rFonts w:ascii="Arial" w:cs="Arial" w:eastAsia="Arial" w:hAnsi="Arial"/>
          <w:sz w:val="18"/>
          <w:szCs w:val="18"/>
          <w:color w:val="auto"/>
        </w:rPr>
      </w:pPr>
    </w:p>
    <w:p>
      <w:pPr>
        <w:ind w:left="1620" w:right="240" w:hanging="322"/>
        <w:spacing w:after="0" w:line="277"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$2.0 million decrease in the income incentive fee due to a $4.7 million decrease in pre-incentive fee net investment income during 2019, as compared to the same period in 2018.</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 million increase in base management fee due to higher average total assets during 2019 as compared to 2018.</w:t>
      </w:r>
    </w:p>
    <w:p>
      <w:pPr>
        <w:spacing w:after="0" w:line="130" w:lineRule="exact"/>
        <w:rPr>
          <w:rFonts w:ascii="Arial" w:cs="Arial" w:eastAsia="Arial" w:hAnsi="Arial"/>
          <w:sz w:val="18"/>
          <w:szCs w:val="18"/>
          <w:color w:val="auto"/>
        </w:rPr>
      </w:pPr>
    </w:p>
    <w:p>
      <w:pPr>
        <w:jc w:val="both"/>
        <w:ind w:left="1620" w:right="260" w:hanging="322"/>
        <w:spacing w:after="0" w:line="264"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$0.4 million increase in the capital gains incentive fee due to a $2.2 million increase in net gain on investments (net realized gains (losses) plus net change in unrealized appreciation (depreciation) on investments) during 2019, as compared to the same period in 2018.</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480" w:hanging="322"/>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$0.1 million decrease in other general and administrative expenses during 2019 resulting from the write-off of deferred equity offering costs related to our previous Form N-2 registration statement in 2018.</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For the year ended December 31, 2018, total expenses, including income tax provision, were $41.4 million, an increase of $6.6 million or 18.7%, from the $34.8 million of total expenses, including income tax provision, for the year ended December 31, 2017. As reflected in the table above, the increase is primarily attributable to the following:</w:t>
      </w:r>
    </w:p>
    <w:p>
      <w:pPr>
        <w:spacing w:after="0" w:line="87" w:lineRule="exact"/>
        <w:rPr>
          <w:sz w:val="20"/>
          <w:szCs w:val="20"/>
          <w:color w:val="auto"/>
        </w:rPr>
      </w:pPr>
    </w:p>
    <w:p>
      <w:pPr>
        <w:ind w:left="1620" w:right="320" w:hanging="322"/>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$2.9 million increase in interest and financing expenses due to an increase in average borrowings outstanding and an increase in weighted average interest rate on borrowings during 2018 as compared to 2017.</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$1.6 million increase in base management fee due to higher average total assets during 2018 as compared to 2017.</w:t>
      </w:r>
    </w:p>
    <w:p>
      <w:pPr>
        <w:spacing w:after="0" w:line="130" w:lineRule="exact"/>
        <w:rPr>
          <w:rFonts w:ascii="Arial" w:cs="Arial" w:eastAsia="Arial" w:hAnsi="Arial"/>
          <w:sz w:val="18"/>
          <w:szCs w:val="18"/>
          <w:color w:val="auto"/>
        </w:rPr>
      </w:pPr>
    </w:p>
    <w:p>
      <w:pPr>
        <w:jc w:val="both"/>
        <w:ind w:left="1620" w:right="180" w:hanging="322"/>
        <w:spacing w:after="0" w:line="264"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$0.8 million increase in the capital gains incentive fee due to a $4.4 million increase in net gain on investments (net realized gains (losses) plus net change in unrealized appreciation (depreciation) on investments) during 2018, as compared to the same period in 2017.</w:t>
      </w:r>
    </w:p>
    <w:p>
      <w:pPr>
        <w:spacing w:after="0" w:line="86" w:lineRule="exact"/>
        <w:rPr>
          <w:rFonts w:ascii="Arial" w:cs="Arial" w:eastAsia="Arial" w:hAnsi="Arial"/>
          <w:sz w:val="18"/>
          <w:szCs w:val="18"/>
          <w:color w:val="auto"/>
        </w:rPr>
      </w:pPr>
    </w:p>
    <w:p>
      <w:pPr>
        <w:ind w:left="1620" w:right="220" w:hanging="322"/>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$0.5 million increase in the income incentive fee due to a $2.7 million increase in pre-incentive fee net investment income during 2018, as compared to the same period in 2017.</w:t>
      </w:r>
    </w:p>
    <w:p>
      <w:pPr>
        <w:spacing w:after="0" w:line="75" w:lineRule="exact"/>
        <w:rPr>
          <w:rFonts w:ascii="Arial" w:cs="Arial" w:eastAsia="Arial" w:hAnsi="Arial"/>
          <w:sz w:val="18"/>
          <w:szCs w:val="18"/>
          <w:color w:val="auto"/>
        </w:rPr>
      </w:pPr>
    </w:p>
    <w:p>
      <w:pPr>
        <w:ind w:left="1620" w:right="500" w:hanging="322"/>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$0.2 million increase in other general and administrative expenses during 2018 resulting from the write-off of deferred equity offering costs related to our previous Form N-2 registration statement.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investment income was $32.0 million, $35.1 million, and $33.8 million for the years ended December 31, 2019, 2018, and 2017, respectively.</w:t>
      </w:r>
    </w:p>
    <w:p>
      <w:pPr>
        <w:spacing w:after="0" w:line="24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Net investment income decreased by $3.1 million, or 8.8%, during fiscal 2019 as compared to fiscal 2018, as a result of the $0.7 million increase in total investment income compared to a $3.8 million increase in total expenses, including income tax provision.</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Net investment income increased by $1.3 million, or 3.7%, during fiscal 2018 as compared to fiscal 2017, as a result of the $7.8 million increase in total investment income compared to only a $6.5 million increase in total expenses, including income tax provision.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60"/>
          </w:cols>
          <w:pgMar w:left="24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Gain (Loss) on Investments</w:t>
      </w:r>
    </w:p>
    <w:p>
      <w:pPr>
        <w:spacing w:after="0" w:line="117" w:lineRule="exact"/>
        <w:rPr>
          <w:sz w:val="20"/>
          <w:szCs w:val="20"/>
          <w:color w:val="auto"/>
        </w:rPr>
      </w:pPr>
    </w:p>
    <w:p>
      <w:pPr>
        <w:jc w:val="both"/>
        <w:ind w:left="200" w:right="380" w:firstLine="441"/>
        <w:spacing w:after="0" w:line="286" w:lineRule="auto"/>
        <w:rPr>
          <w:sz w:val="20"/>
          <w:szCs w:val="20"/>
          <w:color w:val="auto"/>
        </w:rPr>
      </w:pPr>
      <w:r>
        <w:rPr>
          <w:rFonts w:ascii="Arial" w:cs="Arial" w:eastAsia="Arial" w:hAnsi="Arial"/>
          <w:sz w:val="17"/>
          <w:szCs w:val="17"/>
          <w:color w:val="auto"/>
        </w:rPr>
        <w:t>For the year ended December 31, 2019, the total net realized loss on investments, before income tax provision on realized gains, was $(1.2) million. Income tax (provision) benefit from realized gains on investments was $(0.1) million for the year ended December 31, 2019. Significant realized gains (losses) for the year ended December 31, 2019 are summarized below (dollars in millions):</w:t>
      </w:r>
    </w:p>
    <w:p>
      <w:pPr>
        <w:spacing w:after="0" w:line="184"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7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240" w:type="dxa"/>
            <w:vAlign w:val="bottom"/>
          </w:tcPr>
          <w:p>
            <w:pPr>
              <w:spacing w:after="0"/>
              <w:rPr>
                <w:sz w:val="14"/>
                <w:szCs w:val="14"/>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Net Realized</w:t>
            </w:r>
          </w:p>
        </w:tc>
        <w:tc>
          <w:tcPr>
            <w:tcW w:w="0" w:type="dxa"/>
            <w:vAlign w:val="bottom"/>
          </w:tcPr>
          <w:p>
            <w:pPr>
              <w:spacing w:after="0"/>
              <w:rPr>
                <w:sz w:val="1"/>
                <w:szCs w:val="1"/>
                <w:color w:val="auto"/>
              </w:rPr>
            </w:pPr>
          </w:p>
        </w:tc>
      </w:tr>
      <w:tr>
        <w:trPr>
          <w:trHeight w:val="158"/>
        </w:trPr>
        <w:tc>
          <w:tcPr>
            <w:tcW w:w="42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1240" w:type="dxa"/>
            <w:vAlign w:val="bottom"/>
            <w:gridSpan w:val="4"/>
          </w:tcPr>
          <w:p>
            <w:pPr>
              <w:jc w:val="right"/>
              <w:ind w:right="120"/>
              <w:spacing w:after="0" w:line="158" w:lineRule="exact"/>
              <w:rPr>
                <w:sz w:val="20"/>
                <w:szCs w:val="20"/>
                <w:color w:val="auto"/>
              </w:rPr>
            </w:pPr>
            <w:r>
              <w:rPr>
                <w:rFonts w:ascii="Arial" w:cs="Arial" w:eastAsia="Arial" w:hAnsi="Arial"/>
                <w:sz w:val="14"/>
                <w:szCs w:val="14"/>
                <w:b w:val="1"/>
                <w:bCs w:val="1"/>
                <w:color w:val="auto"/>
              </w:rPr>
              <w:t>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The Wolf Organization, LLC</w:t>
            </w:r>
          </w:p>
        </w:tc>
        <w:tc>
          <w:tcPr>
            <w:tcW w:w="16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Exit of portfolio company</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Vanguard Dealer Services, L.L.C.</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Sale of portfolio company</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Era Technology, Inc.</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Exit of portfolio company</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Simplex Manufacturing Co.</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Exit of portfolio company</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Pack Logistics LLC</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Exit of portfolio company</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Malabar International</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Escrow distribution</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inthinc Technology Solutions, Inc.</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Exit of portfolio company</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Trantech Radiator Products, Inc.</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Exit of portfolio company</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Consolidated Infrastructure Group Holdings, LP</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Exit of portfolio company</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K2 Industrial Services, Inc.</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Exit of portfolio company</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w w:val="98"/>
              </w:rPr>
              <w:t>Oaktree Medical Centre, P.C. (dba Pain Management</w:t>
            </w:r>
          </w:p>
        </w:tc>
        <w:tc>
          <w:tcPr>
            <w:tcW w:w="1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Associates)</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Exit of portfolio company</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4"/>
              </w:rPr>
              <w:t>Income tax provision from realized gains on investments</w:t>
            </w: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realized gain (loss), net of income tax provision, on investments</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line="257"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8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For the year ended December 31, 2018, the total net realized loss on investments, before income tax provision on realized gains, was $(10.3) million. Income tax (provision) benefit from realized gains on investments was $(0.8) million for the year ended December 31, 2018. Significant realized gains (losses) for the year ended December 31, 2018 are summarized below (dollars in millions):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7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240" w:type="dxa"/>
            <w:vAlign w:val="bottom"/>
          </w:tcPr>
          <w:p>
            <w:pPr>
              <w:spacing w:after="0"/>
              <w:rPr>
                <w:sz w:val="14"/>
                <w:szCs w:val="14"/>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Net Realized</w:t>
            </w:r>
          </w:p>
        </w:tc>
        <w:tc>
          <w:tcPr>
            <w:tcW w:w="0" w:type="dxa"/>
            <w:vAlign w:val="bottom"/>
          </w:tcPr>
          <w:p>
            <w:pPr>
              <w:spacing w:after="0"/>
              <w:rPr>
                <w:sz w:val="1"/>
                <w:szCs w:val="1"/>
                <w:color w:val="auto"/>
              </w:rPr>
            </w:pPr>
          </w:p>
        </w:tc>
      </w:tr>
      <w:tr>
        <w:trPr>
          <w:trHeight w:val="158"/>
        </w:trPr>
        <w:tc>
          <w:tcPr>
            <w:tcW w:w="42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1240" w:type="dxa"/>
            <w:vAlign w:val="bottom"/>
            <w:gridSpan w:val="4"/>
          </w:tcPr>
          <w:p>
            <w:pPr>
              <w:jc w:val="right"/>
              <w:ind w:right="120"/>
              <w:spacing w:after="0" w:line="158" w:lineRule="exact"/>
              <w:rPr>
                <w:sz w:val="20"/>
                <w:szCs w:val="20"/>
                <w:color w:val="auto"/>
              </w:rPr>
            </w:pPr>
            <w:r>
              <w:rPr>
                <w:rFonts w:ascii="Arial" w:cs="Arial" w:eastAsia="Arial" w:hAnsi="Arial"/>
                <w:sz w:val="14"/>
                <w:szCs w:val="14"/>
                <w:b w:val="1"/>
                <w:bCs w:val="1"/>
                <w:color w:val="auto"/>
              </w:rPr>
              <w:t>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World Wide Packaging, LLC</w:t>
            </w:r>
          </w:p>
        </w:tc>
        <w:tc>
          <w:tcPr>
            <w:tcW w:w="16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Exit of portfolio company</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Apex Microtechnology, Inc.</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Exit of portfolio company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FAR Research Inc.</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 of portfolio company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Caldwell &amp; Gregory, LLC</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Exit of portfolio company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Thermoforming Technology Group LLC (dba Brown</w:t>
            </w:r>
          </w:p>
        </w:tc>
        <w:tc>
          <w:tcPr>
            <w:tcW w:w="16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Machine Group)</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 of portfolio company</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Malabar International</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Escrow distribution</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Express Operations, LLC</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Distributions tax character true-up</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Ice House America, LLC</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Exit of portfolio company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IOS Acquisitions, Inc.</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Exit of portfolio company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Inflexxion, Inc.</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Exit of portfolio company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Restaurant Finance Co, LLC</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Exit of portfolio company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Cavallo Bus Lines Holdings, LLC</w:t>
            </w:r>
          </w:p>
        </w:tc>
        <w:tc>
          <w:tcPr>
            <w:tcW w:w="2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Exit of portfolio company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Six Month Smiles Holdings, Inc.</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Exit of portfolio company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4"/>
              </w:rPr>
              <w:t>Income tax provision from realized gains on investments</w:t>
            </w: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Net realized gain (loss), net of income tax provision, on</w:t>
            </w:r>
          </w:p>
        </w:tc>
        <w:tc>
          <w:tcPr>
            <w:tcW w:w="16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line="257"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ectPr>
          <w:pgSz w:w="11900" w:h="16838" w:orient="portrait"/>
          <w:cols w:equalWidth="0" w:num="1">
            <w:col w:w="11060"/>
          </w:cols>
          <w:pgMar w:left="240" w:top="459" w:right="599" w:bottom="1440" w:gutter="0" w:footer="0" w:header="0"/>
        </w:sectPr>
      </w:pP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060"/>
          </w:cols>
          <w:pgMar w:left="240" w:top="459" w:right="59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year ended December 31, 2017, the total net realized gain on investments, before income tax provision on realized gains, was</w:t>
      </w:r>
    </w:p>
    <w:p>
      <w:pPr>
        <w:spacing w:after="0" w:line="35"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color w:val="auto"/>
        </w:rPr>
        <w:t>$17.9 million. Income tax (provision) benefit from realized gains on investments was $(2.2) million for the year ended December 31, 2017. Significant realized gains (losses) for the year ended December 31, 2017 are summarized below (dollars in millions):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440" w:type="dxa"/>
            <w:vAlign w:val="bottom"/>
          </w:tcPr>
          <w:p>
            <w:pPr>
              <w:spacing w:after="0"/>
              <w:rPr>
                <w:sz w:val="14"/>
                <w:szCs w:val="14"/>
                <w:color w:val="auto"/>
              </w:rPr>
            </w:pPr>
          </w:p>
        </w:tc>
        <w:tc>
          <w:tcPr>
            <w:tcW w:w="532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320" w:type="dxa"/>
            <w:vAlign w:val="bottom"/>
          </w:tcPr>
          <w:p>
            <w:pPr>
              <w:spacing w:after="0"/>
              <w:rPr>
                <w:sz w:val="14"/>
                <w:szCs w:val="14"/>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Net Realized</w:t>
            </w:r>
          </w:p>
        </w:tc>
        <w:tc>
          <w:tcPr>
            <w:tcW w:w="0" w:type="dxa"/>
            <w:vAlign w:val="bottom"/>
          </w:tcPr>
          <w:p>
            <w:pPr>
              <w:spacing w:after="0"/>
              <w:rPr>
                <w:sz w:val="1"/>
                <w:szCs w:val="1"/>
                <w:color w:val="auto"/>
              </w:rPr>
            </w:pPr>
          </w:p>
        </w:tc>
      </w:tr>
      <w:tr>
        <w:trPr>
          <w:trHeight w:val="158"/>
        </w:trPr>
        <w:tc>
          <w:tcPr>
            <w:tcW w:w="37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5320" w:type="dxa"/>
            <w:vAlign w:val="bottom"/>
            <w:vMerge w:val="continue"/>
          </w:tcPr>
          <w:p>
            <w:pPr>
              <w:spacing w:after="0"/>
              <w:rPr>
                <w:sz w:val="13"/>
                <w:szCs w:val="13"/>
                <w:color w:val="auto"/>
              </w:rPr>
            </w:pPr>
          </w:p>
        </w:tc>
        <w:tc>
          <w:tcPr>
            <w:tcW w:w="1560" w:type="dxa"/>
            <w:vAlign w:val="bottom"/>
            <w:gridSpan w:val="4"/>
          </w:tcPr>
          <w:p>
            <w:pPr>
              <w:ind w:left="320"/>
              <w:spacing w:after="0" w:line="158" w:lineRule="exact"/>
              <w:rPr>
                <w:sz w:val="20"/>
                <w:szCs w:val="20"/>
                <w:color w:val="auto"/>
              </w:rPr>
            </w:pPr>
            <w:r>
              <w:rPr>
                <w:rFonts w:ascii="Arial" w:cs="Arial" w:eastAsia="Arial" w:hAnsi="Arial"/>
                <w:sz w:val="14"/>
                <w:szCs w:val="14"/>
                <w:b w:val="1"/>
                <w:bCs w:val="1"/>
                <w:color w:val="auto"/>
              </w:rPr>
              <w:t>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Malabar International</w:t>
            </w:r>
          </w:p>
        </w:tc>
        <w:tc>
          <w:tcPr>
            <w:tcW w:w="440" w:type="dxa"/>
            <w:vAlign w:val="bottom"/>
            <w:shd w:val="clear" w:color="auto" w:fill="CCEEFF"/>
          </w:tcPr>
          <w:p>
            <w:pPr>
              <w:spacing w:after="0"/>
              <w:rPr>
                <w:sz w:val="11"/>
                <w:szCs w:val="11"/>
                <w:color w:val="auto"/>
              </w:rPr>
            </w:pPr>
          </w:p>
        </w:tc>
        <w:tc>
          <w:tcPr>
            <w:tcW w:w="532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Exit of portfolio company</w:t>
            </w:r>
          </w:p>
        </w:tc>
        <w:tc>
          <w:tcPr>
            <w:tcW w:w="3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6.8</w:t>
            </w: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spacing w:after="0" w:line="149" w:lineRule="exact"/>
              <w:rPr>
                <w:sz w:val="20"/>
                <w:szCs w:val="20"/>
                <w:color w:val="auto"/>
              </w:rPr>
            </w:pPr>
            <w:r>
              <w:rPr>
                <w:rFonts w:ascii="Arial" w:cs="Arial" w:eastAsia="Arial" w:hAnsi="Arial"/>
                <w:sz w:val="14"/>
                <w:szCs w:val="14"/>
                <w:color w:val="auto"/>
              </w:rPr>
              <w:t>Worldwide Express Operations, LLC</w:t>
            </w:r>
          </w:p>
        </w:tc>
        <w:tc>
          <w:tcPr>
            <w:tcW w:w="5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Sale of portfolio company</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Lightning Diversion Systems, LLC</w:t>
            </w:r>
          </w:p>
        </w:tc>
        <w:tc>
          <w:tcPr>
            <w:tcW w:w="5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Exit of portfolio company</w:t>
            </w: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spacing w:after="0" w:line="149" w:lineRule="exact"/>
              <w:rPr>
                <w:sz w:val="20"/>
                <w:szCs w:val="20"/>
                <w:color w:val="auto"/>
              </w:rPr>
            </w:pPr>
            <w:r>
              <w:rPr>
                <w:rFonts w:ascii="Arial" w:cs="Arial" w:eastAsia="Arial" w:hAnsi="Arial"/>
                <w:sz w:val="14"/>
                <w:szCs w:val="14"/>
                <w:color w:val="auto"/>
              </w:rPr>
              <w:t>EBL, LLC (EbLens)</w:t>
            </w:r>
          </w:p>
        </w:tc>
        <w:tc>
          <w:tcPr>
            <w:tcW w:w="5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Sale of portfolio company</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Brook &amp; Whittle Limited</w:t>
            </w:r>
          </w:p>
        </w:tc>
        <w:tc>
          <w:tcPr>
            <w:tcW w:w="5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Exit of portfolio company</w:t>
            </w: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spacing w:after="0" w:line="149" w:lineRule="exact"/>
              <w:rPr>
                <w:sz w:val="20"/>
                <w:szCs w:val="20"/>
                <w:color w:val="auto"/>
              </w:rPr>
            </w:pPr>
            <w:r>
              <w:rPr>
                <w:rFonts w:ascii="Arial" w:cs="Arial" w:eastAsia="Arial" w:hAnsi="Arial"/>
                <w:sz w:val="14"/>
                <w:szCs w:val="14"/>
                <w:color w:val="auto"/>
              </w:rPr>
              <w:t>Anatrace Products, LLC</w:t>
            </w:r>
          </w:p>
        </w:tc>
        <w:tc>
          <w:tcPr>
            <w:tcW w:w="5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Sale of portfolio company</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40" w:type="dxa"/>
            <w:vAlign w:val="bottom"/>
            <w:shd w:val="clear" w:color="auto" w:fill="CCEEFF"/>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tcPr>
          <w:p>
            <w:pPr>
              <w:spacing w:after="0" w:line="149" w:lineRule="exact"/>
              <w:rPr>
                <w:sz w:val="20"/>
                <w:szCs w:val="20"/>
                <w:color w:val="auto"/>
              </w:rPr>
            </w:pPr>
            <w:r>
              <w:rPr>
                <w:rFonts w:ascii="Arial" w:cs="Arial" w:eastAsia="Arial" w:hAnsi="Arial"/>
                <w:sz w:val="14"/>
                <w:szCs w:val="14"/>
                <w:color w:val="auto"/>
              </w:rPr>
              <w:t>Carlson Systems Holdings, Inc.</w:t>
            </w:r>
          </w:p>
        </w:tc>
        <w:tc>
          <w:tcPr>
            <w:tcW w:w="5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Escrow distribution</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FTH Acquisition Corp. VII</w:t>
            </w:r>
          </w:p>
        </w:tc>
        <w:tc>
          <w:tcPr>
            <w:tcW w:w="5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Exit of portfolio company</w:t>
            </w: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gridSpan w:val="2"/>
          </w:tcPr>
          <w:p>
            <w:pPr>
              <w:spacing w:after="0" w:line="149" w:lineRule="exact"/>
              <w:rPr>
                <w:sz w:val="20"/>
                <w:szCs w:val="20"/>
                <w:color w:val="auto"/>
              </w:rPr>
            </w:pPr>
            <w:r>
              <w:rPr>
                <w:rFonts w:ascii="Arial" w:cs="Arial" w:eastAsia="Arial" w:hAnsi="Arial"/>
                <w:sz w:val="14"/>
                <w:szCs w:val="14"/>
                <w:color w:val="auto"/>
              </w:rPr>
              <w:t>FDS Avionics Corp. (dba Flight Display Systems)</w:t>
            </w:r>
          </w:p>
        </w:tc>
        <w:tc>
          <w:tcPr>
            <w:tcW w:w="5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Restructuring</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realized gain (loss) on investments</w:t>
            </w:r>
          </w:p>
        </w:tc>
        <w:tc>
          <w:tcPr>
            <w:tcW w:w="440" w:type="dxa"/>
            <w:vAlign w:val="bottom"/>
            <w:shd w:val="clear" w:color="auto" w:fill="CCEEFF"/>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gridSpan w:val="2"/>
          </w:tcPr>
          <w:p>
            <w:pPr>
              <w:spacing w:after="0" w:line="149" w:lineRule="exact"/>
              <w:rPr>
                <w:sz w:val="20"/>
                <w:szCs w:val="20"/>
                <w:color w:val="auto"/>
              </w:rPr>
            </w:pPr>
            <w:r>
              <w:rPr>
                <w:rFonts w:ascii="Arial" w:cs="Arial" w:eastAsia="Arial" w:hAnsi="Arial"/>
                <w:sz w:val="14"/>
                <w:szCs w:val="14"/>
                <w:color w:val="auto"/>
              </w:rPr>
              <w:t>Income tax provision from realized gains on investments</w:t>
            </w:r>
          </w:p>
        </w:tc>
        <w:tc>
          <w:tcPr>
            <w:tcW w:w="44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Net realized gain (loss), net of income tax provision, on</w:t>
            </w:r>
          </w:p>
        </w:tc>
        <w:tc>
          <w:tcPr>
            <w:tcW w:w="440" w:type="dxa"/>
            <w:vAlign w:val="bottom"/>
            <w:shd w:val="clear" w:color="auto" w:fill="CCEEFF"/>
          </w:tcPr>
          <w:p>
            <w:pPr>
              <w:spacing w:after="0"/>
              <w:rPr>
                <w:sz w:val="11"/>
                <w:szCs w:val="11"/>
                <w:color w:val="auto"/>
              </w:rPr>
            </w:pPr>
          </w:p>
        </w:tc>
        <w:tc>
          <w:tcPr>
            <w:tcW w:w="5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investments</w:t>
            </w:r>
          </w:p>
        </w:tc>
        <w:tc>
          <w:tcPr>
            <w:tcW w:w="440" w:type="dxa"/>
            <w:vAlign w:val="bottom"/>
            <w:shd w:val="clear" w:color="auto" w:fill="CCEEFF"/>
          </w:tcPr>
          <w:p>
            <w:pPr>
              <w:spacing w:after="0"/>
              <w:rPr>
                <w:sz w:val="14"/>
                <w:szCs w:val="14"/>
                <w:color w:val="auto"/>
              </w:rPr>
            </w:pPr>
          </w:p>
        </w:tc>
        <w:tc>
          <w:tcPr>
            <w:tcW w:w="5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180" w:hanging="436"/>
        <w:spacing w:after="0" w:line="257"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8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During the years ended December 31, 2019, 2018 and 2017, we recorded a net change in unrealized appreciation (depreciation) on investments attributable to the following (dollars in millions):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3"/>
              </w:rPr>
              <w:t>Unrealized Appreciation (Depreciation)</w:t>
            </w:r>
          </w:p>
        </w:tc>
        <w:tc>
          <w:tcPr>
            <w:tcW w:w="47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10"/>
          </w:tcPr>
          <w:p>
            <w:pPr>
              <w:jc w:val="right"/>
              <w:ind w:right="20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9"/>
        </w:trPr>
        <w:tc>
          <w:tcPr>
            <w:tcW w:w="2440" w:type="dxa"/>
            <w:vAlign w:val="bottom"/>
            <w:tcBorders>
              <w:bottom w:val="single" w:sz="8" w:color="auto"/>
            </w:tcBorders>
            <w:vMerge w:val="continue"/>
          </w:tcPr>
          <w:p>
            <w:pPr>
              <w:spacing w:after="0"/>
              <w:rPr>
                <w:sz w:val="12"/>
                <w:szCs w:val="12"/>
                <w:color w:val="auto"/>
              </w:rPr>
            </w:pPr>
          </w:p>
        </w:tc>
        <w:tc>
          <w:tcPr>
            <w:tcW w:w="4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Exit, sale or restructuring of investments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(14.4)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Fair value adjustments to debt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(7.1)</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9"/>
              </w:rPr>
              <w:t>(14.1)</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adjustments to equity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color w:val="auto"/>
              </w:rPr>
              <w:t>Net change in unrealized appreciation (depreciation)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18.2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Net increase in net assets resulting from operations was $48.5 million, $49.5 million, and $44.0 million for the years ended December 31, 2019, 2018, and 2017, respectively, as a result of the events described above.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As of December 31, 2019, we had $15.0 million in cash and cash equivalents and our net assets totaled $412.3 million. We believe that our current cash and cash equivalents on hand, our continued access to SBA-guaranteed debentures, our Credit Facility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year ended December 31, 2019, we repaid $41.0 million of SBA debentures which would have matured during the period September 1, 2021 through March 1, 2025. Our remaining outstanding SBA debentures continue to mature in 2024 and subsequent years through 2029, which will require repayment on or before the respective maturity dates.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For the year ended December 31, 2019, we experienced a net decrease in cash and cash equivalents in the amount of $27.0 million. During that period, we used $68.7 million of cash for operating activities, which included the funding of $219.2 million of investments, which were partially offset by proceeds received from sales and repayments of investments of $120.6 million. During the same period, we received proceeds from the issuances of SBA debentures of $7.5 million and proceeds from the issuance of our Public Notes of $132.3 million; which were partially offset by repayments of SBA debentures of $41.0 million, net repayments of $11.5 million from borrowings under our Credit Facility, cash dividends paid to stockholders of $39.1 million, and the payment of deferred financing costs related to our debt financings of $6.4 million.</w:t>
      </w:r>
    </w:p>
    <w:p>
      <w:pPr>
        <w:sectPr>
          <w:pgSz w:w="11900" w:h="16838" w:orient="portrait"/>
          <w:cols w:equalWidth="0" w:num="1">
            <w:col w:w="11240"/>
          </w:cols>
          <w:pgMar w:left="240" w:top="459" w:right="419" w:bottom="1440" w:gutter="0" w:footer="0" w:header="0"/>
        </w:sectPr>
      </w:pP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240" w:top="459" w:right="41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For the year ended December 31, 2018, we experienced a net increase in cash and cash equivalents in the amount of $0.4 million. During that period, we used $8.1 million of cash for operating activities, which included the funding of $212.3 million of investments, which were partially offset by proceeds received from sales and repayments of investments of $188.3 million. During the same period, we received proceeds from the issuances of SBA debentures of $27.0 million, net proceeds of $25.0 million from borrowings under our Credit Facility and proceeds from the issuance of our Public Notes of $50.0 million; which were partially offset by repayments of SBA debentures of $67.3 million, cash dividends paid to stockholders of</w:t>
      </w:r>
    </w:p>
    <w:p>
      <w:pPr>
        <w:spacing w:after="0" w:line="2"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color w:val="auto"/>
        </w:rPr>
        <w:t>$39.2 million, the payment of deferred financing costs related to our debt financings of $2.7 million and repurchases of common stock under the Stock Repurchase Program (as defined below) of $0.6 million.</w:t>
      </w:r>
    </w:p>
    <w:p>
      <w:pPr>
        <w:spacing w:after="0" w:line="184"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For the year ended December 31, 2017, we experienced a net decrease in cash and cash equivalents of $15.5 million. During that period, we used $28.2 million of cash for operating activities, which included $214.7 million used for purchases of investments, which is partially offset by proceeds of $163.7 million from sales and repayments of investments. During the same period, we received net proceeds from secondary offerings of shares of our common stock off of our effective shelf registration statement of $32.3 million, proceeds from the issuances of SBA debentures of $49.0 million, and proceeds from net borrowings under the Credit Facility of $11.5 million, which were partially offset by repayment of SBA debentures of $41.7 million, cash dividends paid to stockholders of $36.8 million and the payment of deferred financing costs of $1.6 million.</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We anticipate that we will continue to fund our investment activities on a long-term basis through a combination of additional debt and equity capital.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SBA debentures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three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December 31, 2019, Fund I, Fund II and Fund III had zero, $150.0 million and $7.5 million of outstanding SBA debentures, respectively. As of September 9, 2019, Fund I completed a wind-down plan, relinquished its SBIC license and can no longer issue additional SBA debentures. Subject to SBA regulatory requirements and approval, Fund III may access up to $167.5 million of additional SBA debentures under the SBIC debenture program. For more information on the SBA debentures, please refer to Note 6 to our consolidated financial statements.</w:t>
      </w:r>
    </w:p>
    <w:p>
      <w:pPr>
        <w:spacing w:after="0" w:line="29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In June 2014, we entered into the Credit Facility to provide additional funding for our investment and operational activities. On April 24, 2019, we entered into the Amended Credit Agreement, which amends, restates, and replaces the Credit Facility. The Credit Facility is secured by substantially all of our assets, excluding the assets of the Funds.</w:t>
      </w:r>
    </w:p>
    <w:p>
      <w:pPr>
        <w:spacing w:after="0" w:line="181"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 million to $100.0 million, with an accordion feature that allows for an increase in total commitments up to $250.0 million,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200" w:right="160" w:firstLine="4"/>
        <w:spacing w:after="0" w:line="271" w:lineRule="auto"/>
        <w:tabs>
          <w:tab w:leader="none" w:pos="48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three month LIBOR plus 1.0%, and (D) zero. We pay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The Credit Facility is secured by a first priority security interest in all of our assets, excluding the assets of our SBIC subsidiaries.</w:t>
      </w:r>
    </w:p>
    <w:p>
      <w:pPr>
        <w:spacing w:after="0" w:line="179"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ectPr>
          <w:pgSz w:w="11900" w:h="16838" w:orient="portrait"/>
          <w:cols w:equalWidth="0" w:num="1">
            <w:col w:w="11220"/>
          </w:cols>
          <w:pgMar w:left="240" w:top="459" w:right="439" w:bottom="1440" w:gutter="0" w:footer="0" w:header="0"/>
        </w:sectPr>
      </w:pP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20"/>
          </w:cols>
          <w:pgMar w:left="240" w:top="459" w:right="4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2019, we were in compliance with all covenants of the Credit Facility and there were $25.0 million of borrowings outstanding under the Credit Facility.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Public Notes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estimated offering expenses of $0.4 million, were approximately $48.1 million.</w:t>
      </w:r>
    </w:p>
    <w:p>
      <w:pPr>
        <w:spacing w:after="0" w:line="1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2023 Notes will mature on February 1, 2023 and bear interest at a rate of 5.875%. The 2023 Notes may be redeemed in whole or in part at any time or from time to time at our option on or after February 1, 2020. Interest on the 2023 Notes is payable quarterly on February 1, May 1, August 1 and November 1 of each year. The 2023 Notes are listed on the NASDAQ Global Select Market under the trading symbol “FDUSL.” As of December 31, 2019, the outstanding principal balance of the 2023 Notes was $50.0 million.</w:t>
      </w:r>
    </w:p>
    <w:p>
      <w:pPr>
        <w:spacing w:after="0" w:line="18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On February 8, 2019, we closed the public offering of approximately $60.0 million in aggregate principal amount of our 6.000% notes due 2024, or the “February 2024 Notes.” On February 19, 2019, the underwriters exercised their option to purchase an additional $9.0 million in aggregate principal of the February 2024 Notes. The total net proceeds to us from the February 2024 Notes, including the exercise of the underwriters’ option, after deducting underwriting discounts of approximately $2.1 million and estimated offering expenses of $0.4 million, were approximately $66.5 million.</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February 2024 Notes will mature on February 15, 2024 and bear interest at a rate of 6.000%. The February 2024 Notes may be redeemed in whole or in part at any time or from time to time at our option on or after February 15, 2021. Interest on the February 2024 Notes is payable quarterly on February 15, May 15, August 15 and November 15 of each year, beginning May 15, 2019. The February 2024 Notes are listed on the NASDAQ Global Select Market under the trading symbol “FDUSZ.” As of December 31, 2019, the outstanding principal balance of the February 2024 Notes was $69.0 million.</w:t>
      </w:r>
    </w:p>
    <w:p>
      <w:pPr>
        <w:spacing w:after="0" w:line="188"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On October 16, 2019, we closed the public offering of approximately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estimated offering expenses of $0.3 million, were approximately $61.1 million.</w:t>
      </w:r>
    </w:p>
    <w:p>
      <w:pPr>
        <w:spacing w:after="0" w:line="173"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November 2024 Notes will mature on November 1, 2024 and bear interest at a rate of 5.375%. The November 2024 Notes may be redeemed in whole or in part at any time or from time to time at our option on or after November 1, 2021. Interest on the November 2024 Notes is payable quarterly on February 1, May 1, August 1 and November 1 of each year, beginning February 1, 2020. The November 2024 Notes are listed on the NASDAQ Global Select Market under the trading symbol “FDUSG.” As of December 31, 2019, the outstanding principal balance of the November 2024 Notes was approximately $63.3 million.</w:t>
      </w:r>
    </w:p>
    <w:p>
      <w:pPr>
        <w:spacing w:after="0" w:line="188"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Public Notes are unsecured obligations and rank pari passu with our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2019, the weighted average stated interest rates for our SBA debentures, the Public Notes and the Credit Facility were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3.392%, 5.749% and 4.788%, respectively. As of December 31, 2019, we had $75.0 million of unutilized commitment under our Credit Facility. As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2019, the weighted average stated interest rate on total debt outstanding was 4.665%.</w:t>
      </w:r>
    </w:p>
    <w:p>
      <w:pPr>
        <w:spacing w:after="0" w:line="21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As a BDC, we are generally required to meet an asset coverage ratio of at least 200.0% (or 150.0% on and after April 29, 2020)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We have received exemptive relief from the U.S. Securities and Exchange Commission (“SEC”) to allow us to exclude any indebtedness guaranteed by the SBA and issued by the Funds from the 200.0% asset coverage requirements, which, in turn, will enable us to fund more investments with debt capital. Recent legislation, however, modifies the required minimum asset coverage ratio from 200.0% to 150.0%, if certain requirements are met. Under the legislation, we are allowed to increase our leverage capacity if stockholders representing</w:t>
      </w:r>
    </w:p>
    <w:p>
      <w:pPr>
        <w:sectPr>
          <w:pgSz w:w="11900" w:h="16838" w:orient="portrait"/>
          <w:cols w:equalWidth="0" w:num="1">
            <w:col w:w="11220"/>
          </w:cols>
          <w:pgMar w:left="240" w:top="459" w:right="439" w:bottom="1440" w:gutter="0" w:footer="0" w:header="0"/>
        </w:sectPr>
      </w:pP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20"/>
          </w:cols>
          <w:pgMar w:left="240" w:top="459" w:right="4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at least a majority of the votes cast, when a quorum is present, approve a proposal to do so. If we receive stockholder approval, we would be allowed to increase our leverage capacity on the first day after such approval. Alternatively, the legislation allows the majority of our independent directors to approve an increase in our leverage capacity, and such approval would become effective after the one-year anniversary of such approval.</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April 29, 2019, our Board, including a majority of the non-interested directors, approved a minimum asset coverage ratio of 150% under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Sections 18(a)(1) and 18(a)(2) of the 1940 Act. As a result, we will become subject to the 150% asset coverage ratio effective as of April 29, 2020. At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present time, we do not intend to seek stockholder approval to reduce our asset coverage requirement. As of December 31, 2019, the aggregate amount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outstanding of the senior securities issued by the Company was $207.3 million, for which our asset coverage was 298.9%. The SBA-guaranteed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debentures are not subject to the asset coverage requirements of the 1940 Act as a result of exemptive relief granted to us by the SEC effective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March 27, 2012. The asset coverage ratio for a class of senior securities representing indebtedness is calculated as our consolidated total assets, less all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liabilities and indebtedness not represented by senior securities, divided by total senior securities representing indebtedness.</w:t>
      </w:r>
    </w:p>
    <w:p>
      <w:pPr>
        <w:spacing w:after="0" w:line="21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our board of directors, including Independent Directors, determines that such sale is in the best interests of us and our stockholders, and if our stockholders approve such sale. On June 19, 2019, our stockholders voted to allow us to sell or otherwise issue common stock at a price below net asset value per share for a period of one year ending on the earlier of June 19, 2020 or the date of our 2020 Annual Meeting of Stockholders. We expect to present to our stockholders a similar proposal at our 2020 Annual Meeting of Stockholders. Our stockholders specified that the cumulative number of shares sold in each offering during the one-year period ending on the earlier of June 19, 2020 or the date of our 2020 Annual Meeting of Stockholders may not exceed 25.0% of our outstanding common stock immediately prior to each such sale.</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29, 2019, the Board extended the Stock Repurchase Program through December 31, 2020,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During the year ended December 31, 2018, we repurchased 44,821 shares of common stock on the open market for $0.6 million. We did not make any repurchases of common stock during the years ended December 31, 2019 and 2017. Refer to Note 8 to our consolidated financial statements for additional information concerning stock repurchases.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affecting amounts reported in the financial statements. We have identified investment valuation and revenue recognition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76" w:lineRule="exact"/>
        <w:rPr>
          <w:sz w:val="20"/>
          <w:szCs w:val="20"/>
          <w:color w:val="auto"/>
        </w:rPr>
      </w:pPr>
    </w:p>
    <w:p>
      <w:pPr>
        <w:ind w:left="1180" w:right="32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our investment advisor responsible for the portfolio investment;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our investment advisor;</w:t>
      </w:r>
    </w:p>
    <w:p>
      <w:pPr>
        <w:spacing w:after="0" w:line="142" w:lineRule="exact"/>
        <w:rPr>
          <w:rFonts w:ascii="Arial" w:cs="Arial" w:eastAsia="Arial" w:hAnsi="Arial"/>
          <w:sz w:val="17"/>
          <w:szCs w:val="17"/>
          <w:color w:val="auto"/>
        </w:rPr>
      </w:pPr>
    </w:p>
    <w:p>
      <w:pPr>
        <w:ind w:left="1180" w:right="20" w:hanging="436"/>
        <w:spacing w:after="0" w:line="270" w:lineRule="auto"/>
        <w:tabs>
          <w:tab w:leader="none" w:pos="1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13 and 16 of our portfolio company investments representing 30.9% and 36.0% of the total portfolio investments at fair value (exclusive of new portfolio company investments made during the three months ended December 31, 2019 and 2018, respectively) as of December 31, 2019 and 2018, respectively;</w:t>
      </w:r>
    </w:p>
    <w:p>
      <w:pPr>
        <w:spacing w:after="0" w:line="83" w:lineRule="exact"/>
        <w:rPr>
          <w:rFonts w:ascii="Arial" w:cs="Arial" w:eastAsia="Arial" w:hAnsi="Arial"/>
          <w:sz w:val="17"/>
          <w:szCs w:val="17"/>
          <w:color w:val="auto"/>
        </w:rPr>
      </w:pPr>
    </w:p>
    <w:p>
      <w:pPr>
        <w:ind w:left="1180" w:right="700" w:hanging="436"/>
        <w:spacing w:after="0" w:line="308" w:lineRule="auto"/>
        <w:tabs>
          <w:tab w:leader="none" w:pos="1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advisor and of the independent valuation firm(s) and responds and supplements the valuation recommendations to reflect any comments; and</w:t>
      </w:r>
    </w:p>
    <w:p>
      <w:pPr>
        <w:spacing w:after="0" w:line="51" w:lineRule="exact"/>
        <w:rPr>
          <w:rFonts w:ascii="Arial" w:cs="Arial" w:eastAsia="Arial" w:hAnsi="Arial"/>
          <w:sz w:val="17"/>
          <w:szCs w:val="17"/>
          <w:color w:val="auto"/>
        </w:rPr>
      </w:pPr>
    </w:p>
    <w:p>
      <w:pPr>
        <w:ind w:left="1180" w:right="8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advisor, the independent valuation firm(s) and the audit committee.</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Consistent with the policies and methodologies adopted by our board of directors,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6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8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8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ectPr>
          <w:pgSz w:w="11900" w:h="16838" w:orient="portrait"/>
          <w:cols w:equalWidth="0" w:num="1">
            <w:col w:w="11220"/>
          </w:cols>
          <w:pgMar w:left="240" w:top="459" w:right="439" w:bottom="1440" w:gutter="0" w:footer="0" w:header="0"/>
        </w:sectPr>
      </w:pP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20"/>
          </w:cols>
          <w:pgMar w:left="240" w:top="459" w:right="4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78"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The fair value of our royalty rights are calculated based on projected future cash flows and the specific provisions contained in the pertinent royalty agreement. The determination of the fair value of such royalty rights is not a significant component of our valuation process.</w:t>
      </w:r>
    </w:p>
    <w:p>
      <w:pPr>
        <w:spacing w:after="0" w:line="124"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Investments and related investment income. </w:t>
      </w:r>
      <w:r>
        <w:rPr>
          <w:rFonts w:ascii="Arial" w:cs="Arial" w:eastAsia="Arial" w:hAnsi="Arial"/>
          <w:sz w:val="18"/>
          <w:szCs w:val="18"/>
          <w:color w:val="auto"/>
        </w:rPr>
        <w:t>Realized gains or losses on investments are recorded upon the sale or disposition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our board of directors through the application of our valuation policy, as well as reclassifications of any prior period unrealized appreciation or depreciation on exited investments to realized gains or losses on investments.</w:t>
      </w:r>
    </w:p>
    <w:p>
      <w:pPr>
        <w:spacing w:after="0" w:line="193"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Interest and dividend income</w:t>
      </w:r>
      <w:r>
        <w:rPr>
          <w:rFonts w:ascii="Arial" w:cs="Arial" w:eastAsia="Arial" w:hAnsi="Arial"/>
          <w:sz w:val="17"/>
          <w:szCs w:val="17"/>
          <w:color w:val="auto"/>
        </w:rPr>
        <w:t>. Interest and dividend income are recorded on the accrual basis to the extent that we expect to collect such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 xml:space="preserve">PIK income. </w:t>
      </w:r>
      <w:r>
        <w:rPr>
          <w:rFonts w:ascii="Arial" w:cs="Arial" w:eastAsia="Arial" w:hAnsi="Arial"/>
          <w:sz w:val="17"/>
          <w:szCs w:val="17"/>
          <w:color w:val="auto"/>
        </w:rPr>
        <w:t>Certain of our investments contain a PIK income provision. The PIK income, computed at the contractual rate specified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7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we are accruing PIK dividends) are placed on non-accrual status when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interest or dividend payments become materially past due, or when there is reasonable doubt that principal, interest or dividends will be collected.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our debt investments, we will sometimes receive warrants or other equity-related securities (Warrants).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All transaction fees earned in connection with our investments are recognized as fee income and are generally non-recurring.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is intended to improve fair value disclosure requirements by removing disclosures that are not cost-beneficial, clarifying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specific requirements, and adding relevant disclosure requirements. The guidance is effective for annual and interim reporting periods beginning after December 15, 2019. We adopted the ASU effective January 1, 2020. No significant changes to the fair value disclosures were necessary in the notes to the consolidated financial statements in order to comply with ASU 2018-13.</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may be a party to financial instruments with off-balance sheet risk in the normal course of business to meet the financial needs of our portfolio companies. We had off-balance sheet arrangements consisting of outstanding commitments to fund various undrawn revolving loans, other debt investments and capital commitments totaling $4.8 million and $10.9 million as of December 31, 2019 and 2018, respectively. Such outstanding commitments are summarized in the following table (dollars in millions):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right"/>
              <w:ind w:right="349"/>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Investment</w:t>
            </w: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Total</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Unfunded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88"/>
              <w:spacing w:after="0" w:line="119" w:lineRule="exact"/>
              <w:rPr>
                <w:sz w:val="20"/>
                <w:szCs w:val="20"/>
                <w:color w:val="auto"/>
              </w:rPr>
            </w:pPr>
            <w:r>
              <w:rPr>
                <w:rFonts w:ascii="Arial" w:cs="Arial" w:eastAsia="Arial" w:hAnsi="Arial"/>
                <w:sz w:val="13"/>
                <w:szCs w:val="13"/>
                <w:b w:val="1"/>
                <w:bCs w:val="1"/>
                <w:color w:val="auto"/>
              </w:rPr>
              <w:t>Total</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w w:val="98"/>
              </w:rPr>
              <w:t>Unfunded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420" w:type="dxa"/>
            <w:vAlign w:val="bottom"/>
            <w:gridSpan w:val="3"/>
            <w:vMerge w:val="continue"/>
          </w:tcPr>
          <w:p>
            <w:pPr>
              <w:spacing w:after="0"/>
              <w:rPr>
                <w:sz w:val="13"/>
                <w:szCs w:val="13"/>
                <w:color w:val="auto"/>
              </w:rPr>
            </w:pPr>
          </w:p>
        </w:tc>
        <w:tc>
          <w:tcPr>
            <w:tcW w:w="1220" w:type="dxa"/>
            <w:vAlign w:val="bottom"/>
            <w:gridSpan w:val="4"/>
          </w:tcPr>
          <w:p>
            <w:pPr>
              <w:ind w:left="160"/>
              <w:spacing w:after="0" w:line="158" w:lineRule="exact"/>
              <w:rPr>
                <w:sz w:val="20"/>
                <w:szCs w:val="20"/>
                <w:color w:val="auto"/>
              </w:rPr>
            </w:pPr>
            <w:r>
              <w:rPr>
                <w:rFonts w:ascii="Arial" w:cs="Arial" w:eastAsia="Arial" w:hAnsi="Arial"/>
                <w:sz w:val="14"/>
                <w:szCs w:val="14"/>
                <w:b w:val="1"/>
                <w:bCs w:val="1"/>
                <w:color w:val="auto"/>
              </w:rPr>
              <w:t>Commitment</w:t>
            </w:r>
          </w:p>
        </w:tc>
        <w:tc>
          <w:tcPr>
            <w:tcW w:w="114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rPr>
              <w:t>Commitment</w:t>
            </w:r>
          </w:p>
        </w:tc>
        <w:tc>
          <w:tcPr>
            <w:tcW w:w="90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Commitment</w:t>
            </w:r>
          </w:p>
        </w:tc>
        <w:tc>
          <w:tcPr>
            <w:tcW w:w="240" w:type="dxa"/>
            <w:vAlign w:val="bottom"/>
          </w:tcPr>
          <w:p>
            <w:pPr>
              <w:spacing w:after="0"/>
              <w:rPr>
                <w:sz w:val="13"/>
                <w:szCs w:val="13"/>
                <w:color w:val="auto"/>
              </w:rPr>
            </w:pPr>
          </w:p>
        </w:tc>
        <w:tc>
          <w:tcPr>
            <w:tcW w:w="90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Commitment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4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w w:val="96"/>
              </w:rPr>
              <w:t>American AllWaste LLC (dba WasteWater Transport Services) - Delayed Draw Commitment - Term Loan-B</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40"/>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ind w:left="520"/>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2.3</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tcPr>
          <w:p>
            <w:pPr>
              <w:spacing w:after="0" w:line="149" w:lineRule="exact"/>
              <w:rPr>
                <w:sz w:val="20"/>
                <w:szCs w:val="20"/>
                <w:color w:val="auto"/>
              </w:rPr>
            </w:pPr>
            <w:r>
              <w:rPr>
                <w:rFonts w:ascii="Arial" w:cs="Arial" w:eastAsia="Arial" w:hAnsi="Arial"/>
                <w:sz w:val="14"/>
                <w:szCs w:val="14"/>
                <w:color w:val="auto"/>
              </w:rPr>
              <w:t>B&amp;B Roadway and Security Solutions, LLC - Common Equity (Units)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FDS Avionics Corp. (dba Flight Display Systems) - Revolving Loan</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92"/>
              </w:rPr>
              <w:t>0.2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tcPr>
          <w:p>
            <w:pPr>
              <w:spacing w:after="0" w:line="149" w:lineRule="exact"/>
              <w:rPr>
                <w:sz w:val="20"/>
                <w:szCs w:val="20"/>
                <w:color w:val="auto"/>
              </w:rPr>
            </w:pPr>
            <w:r>
              <w:rPr>
                <w:rFonts w:ascii="Arial" w:cs="Arial" w:eastAsia="Arial" w:hAnsi="Arial"/>
                <w:sz w:val="14"/>
                <w:szCs w:val="14"/>
                <w:color w:val="auto"/>
              </w:rPr>
              <w:t>French Transit, LLC - Revolving Loan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w w:val="92"/>
              </w:rPr>
              <w:t>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ind w:left="560"/>
              <w:spacing w:after="0" w:line="149" w:lineRule="exact"/>
              <w:rPr>
                <w:sz w:val="20"/>
                <w:szCs w:val="20"/>
                <w:color w:val="auto"/>
              </w:rPr>
            </w:pPr>
            <w:r>
              <w:rPr>
                <w:rFonts w:ascii="Arial" w:cs="Arial" w:eastAsia="Arial" w:hAnsi="Arial"/>
                <w:sz w:val="14"/>
                <w:szCs w:val="14"/>
                <w:color w:val="auto"/>
                <w:w w:val="81"/>
              </w:rPr>
              <w:t>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Mesa Line Services, LLC - Delayed Draw Term Loan Commitment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tcPr>
          <w:p>
            <w:pPr>
              <w:spacing w:after="0" w:line="149" w:lineRule="exact"/>
              <w:rPr>
                <w:sz w:val="20"/>
                <w:szCs w:val="20"/>
                <w:color w:val="auto"/>
              </w:rPr>
            </w:pPr>
            <w:r>
              <w:rPr>
                <w:rFonts w:ascii="Arial" w:cs="Arial" w:eastAsia="Arial" w:hAnsi="Arial"/>
                <w:sz w:val="14"/>
                <w:szCs w:val="14"/>
                <w:color w:val="auto"/>
              </w:rPr>
              <w:t>Rhino Assembly Company, LLC - Delayed Draw Commitment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w w:val="92"/>
              </w:rPr>
              <w:t>0.9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ind w:left="560"/>
              <w:spacing w:after="0" w:line="149" w:lineRule="exact"/>
              <w:rPr>
                <w:sz w:val="20"/>
                <w:szCs w:val="20"/>
                <w:color w:val="auto"/>
              </w:rPr>
            </w:pPr>
            <w:r>
              <w:rPr>
                <w:rFonts w:ascii="Arial" w:cs="Arial" w:eastAsia="Arial" w:hAnsi="Arial"/>
                <w:sz w:val="14"/>
                <w:szCs w:val="14"/>
                <w:color w:val="auto"/>
                <w:w w:val="81"/>
              </w:rPr>
              <w:t>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Safety Products Group, LLC - Common Equity (Units)</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95"/>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0" w:type="dxa"/>
            <w:vAlign w:val="bottom"/>
            <w:gridSpan w:val="2"/>
          </w:tcPr>
          <w:p>
            <w:pPr>
              <w:spacing w:after="0" w:line="149" w:lineRule="exact"/>
              <w:rPr>
                <w:sz w:val="20"/>
                <w:szCs w:val="20"/>
                <w:color w:val="auto"/>
              </w:rPr>
            </w:pPr>
            <w:r>
              <w:rPr>
                <w:rFonts w:ascii="Arial" w:cs="Arial" w:eastAsia="Arial" w:hAnsi="Arial"/>
                <w:sz w:val="14"/>
                <w:szCs w:val="14"/>
                <w:color w:val="auto"/>
              </w:rPr>
              <w:t>UBEO, LLC - Delayed Draw Term Loan Commitment</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92"/>
              </w:rPr>
              <w:t>5.0</w:t>
            </w: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81"/>
              </w:rPr>
              <w:t>4.8</w:t>
            </w:r>
          </w:p>
        </w:tc>
        <w:tc>
          <w:tcPr>
            <w:tcW w:w="2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340" w:hanging="436"/>
        <w:spacing w:after="0" w:line="277"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our maximum potential liability related to certain guaranteed obligations stemming from the prior sale of the portfolio company’s underlying operations.</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our consolidated schedules of investments.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As of December 31, 2019, our future fixed commitments </w:t>
      </w:r>
      <w:r>
        <w:rPr>
          <w:rFonts w:ascii="Arial" w:cs="Arial" w:eastAsia="Arial" w:hAnsi="Arial"/>
          <w:sz w:val="15"/>
          <w:szCs w:val="15"/>
          <w:color w:val="auto"/>
        </w:rPr>
        <w:t>(1)</w:t>
      </w:r>
      <w:r>
        <w:rPr>
          <w:rFonts w:ascii="Arial" w:cs="Arial" w:eastAsia="Arial" w:hAnsi="Arial"/>
          <w:sz w:val="18"/>
          <w:szCs w:val="18"/>
          <w:color w:val="auto"/>
        </w:rPr>
        <w:t xml:space="preserve"> for cash payments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3"/>
          </w:tcPr>
          <w:p>
            <w:pPr>
              <w:ind w:left="240"/>
              <w:spacing w:after="0"/>
              <w:rPr>
                <w:sz w:val="20"/>
                <w:szCs w:val="20"/>
                <w:color w:val="auto"/>
              </w:rPr>
            </w:pPr>
            <w:r>
              <w:rPr>
                <w:rFonts w:ascii="Arial" w:cs="Arial" w:eastAsia="Arial" w:hAnsi="Arial"/>
                <w:sz w:val="14"/>
                <w:szCs w:val="14"/>
                <w:b w:val="1"/>
                <w:bCs w:val="1"/>
                <w:color w:val="auto"/>
                <w:w w:val="89"/>
              </w:rPr>
              <w:t>Less Than</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1 - 3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99"/>
              </w:rPr>
              <w:t>3 - 5</w:t>
            </w:r>
          </w:p>
        </w:tc>
        <w:tc>
          <w:tcPr>
            <w:tcW w:w="1020" w:type="dxa"/>
            <w:vAlign w:val="bottom"/>
            <w:gridSpan w:val="4"/>
          </w:tcPr>
          <w:p>
            <w:pPr>
              <w:jc w:val="center"/>
              <w:ind w:left="99"/>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4"/>
              </w:rPr>
              <w:t>Years</w:t>
            </w:r>
          </w:p>
        </w:tc>
        <w:tc>
          <w:tcPr>
            <w:tcW w:w="2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jc w:val="right"/>
              <w:ind w:right="254"/>
              <w:spacing w:after="0" w:line="142" w:lineRule="exact"/>
              <w:rPr>
                <w:sz w:val="20"/>
                <w:szCs w:val="20"/>
                <w:color w:val="auto"/>
              </w:rPr>
            </w:pPr>
            <w:r>
              <w:rPr>
                <w:rFonts w:ascii="Arial" w:cs="Arial" w:eastAsia="Arial" w:hAnsi="Arial"/>
                <w:sz w:val="14"/>
                <w:szCs w:val="14"/>
                <w:i w:val="1"/>
                <w:iCs w:val="1"/>
                <w:color w:val="auto"/>
              </w:rPr>
              <w:t>(Dollars in millions)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93"/>
              </w:rPr>
              <w:t>156.5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Credit Facility borrowings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left="7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Public Notes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364.8</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0"/>
              </w:rPr>
              <w:t>$ —</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208.3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center"/>
              <w:ind w:left="94"/>
              <w:spacing w:after="0"/>
              <w:rPr>
                <w:sz w:val="20"/>
                <w:szCs w:val="20"/>
                <w:color w:val="auto"/>
              </w:rPr>
            </w:pPr>
            <w:r>
              <w:rPr>
                <w:rFonts w:ascii="Arial" w:cs="Arial" w:eastAsia="Arial" w:hAnsi="Arial"/>
                <w:sz w:val="18"/>
                <w:szCs w:val="18"/>
                <w:color w:val="auto"/>
                <w:w w:val="93"/>
              </w:rPr>
              <w:t>156.5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40" w:right="140" w:hanging="436"/>
        <w:spacing w:after="0" w:line="255"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Fixed commitments in the table above include the principal balance of the obligations as of December 31, 2019. While these obligations are outstanding, we will also incur related interest expense. The amount of interest expense that we ultimately incur will depend on the timing of repayments (which may occur on or before the stated maturity dates), and, as it relates to our Credit Facility, changes in the underlying variable reference interest rates. As of December 31, 2019, the weighted average stated interest rates for our SBA debentures, the Public Notes and the Credit Facility were 3.392%, 5.749% and 4.788%, respectively. As of December 31, 2019, we had $75.0 million of unutilized commitment under our Credit Facility.</w:t>
      </w:r>
    </w:p>
    <w:p>
      <w:pPr>
        <w:spacing w:after="0" w:line="193"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We have certain contracts under which we have material future commitments. We entered into the Investment Advisory Agreement with our investment advisor in accordance with the 1940 Act. Under the Investment Advisory Agreement, our investment advisor provides us with investment advisory and management services. We pay the following amounts for these services (a) a management fee equal to a percentage of the average of our total assets (excluding cash and cash equivalents) and (b) an incentive fee based on our performance. See “Business — Management and Other Agreements — Investment Advisory Agreement — Management Fee.”</w:t>
      </w:r>
    </w:p>
    <w:p>
      <w:pPr>
        <w:sectPr>
          <w:pgSz w:w="11900" w:h="16838" w:orient="portrait"/>
          <w:cols w:equalWidth="0" w:num="1">
            <w:col w:w="11240"/>
          </w:cols>
          <w:pgMar w:left="240" w:top="459" w:right="419" w:bottom="1440" w:gutter="0" w:footer="0" w:header="0"/>
        </w:sectPr>
      </w:pP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0"/>
          </w:cols>
          <w:pgMar w:left="240" w:top="459" w:right="41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Under the Administration Agreement, our investment advisor furnishes us with office facilities and equipment, provides us clerical, bookkeeping and record keeping services at such facilities and provides us with other administrative services necessary to conduct our day-to-day operations. See “Business — Management and Other Agreements — Administration Agreement.”</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any of our contractual obligations discussed above are terminated, our costs under any new agreements that we enter into may increase. In addition, we would likely incur significant time and expense in locating alternative parties to provide the services we expect to receive under our Investment Advisory Agreement and our Administration Agreement. Any new investment advisory agreement would also be subject to approval by our Independent Directors and our stockholders.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1180" w:right="140" w:hanging="436"/>
        <w:spacing w:after="0" w:line="259"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entered into the Investment Advisory Agreement with Fidus Investment Advisors, LLC, as our investment advisor. Pursuant to the agreement our investment advisor manages our day-to-day operating and investing activities. We pay our investment advisor a fee for its services under the Investment Advisory Agreement consisting of two components — a base management fee and an incentive fee. See Note 5 to our consolidated financial statements.</w:t>
      </w:r>
    </w:p>
    <w:p>
      <w:pPr>
        <w:spacing w:after="0" w:line="92" w:lineRule="exact"/>
        <w:rPr>
          <w:rFonts w:ascii="Arial" w:cs="Arial" w:eastAsia="Arial" w:hAnsi="Arial"/>
          <w:sz w:val="18"/>
          <w:szCs w:val="18"/>
          <w:color w:val="auto"/>
        </w:rPr>
      </w:pPr>
    </w:p>
    <w:p>
      <w:pPr>
        <w:ind w:left="1180" w:right="20" w:hanging="436"/>
        <w:spacing w:after="0" w:line="255"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Edward H. Ross, our Chairman and Chief Executive Officer, and Thomas C. Lauer, our President, are managers of Fidus Investment Advisors, LLC. In May 2015, Fidus Investment Advisors, LLC entered into a combination with Fidus Partners, LLC (the “Combination”), by which members of Fidus Investment Advisors LLC and Fidus Partners, LLC (“Partners”) contributed all of their respective membership interest in Fidus Investment Advisors LLC and Partners to a newly formed limited liability company, Fidus Group Holdings, LLC (“Holdings”). As a result, Fidus Investment Advisors LLC is a wholly-owned subsidiary of Holdings, which is a limited liability company organized under the laws of Delaware.</w:t>
      </w:r>
    </w:p>
    <w:p>
      <w:pPr>
        <w:spacing w:after="0" w:line="98" w:lineRule="exact"/>
        <w:rPr>
          <w:rFonts w:ascii="Arial" w:cs="Arial" w:eastAsia="Arial" w:hAnsi="Arial"/>
          <w:sz w:val="18"/>
          <w:szCs w:val="18"/>
          <w:color w:val="auto"/>
        </w:rPr>
      </w:pPr>
    </w:p>
    <w:p>
      <w:pPr>
        <w:ind w:left="1180" w:right="840" w:hanging="436"/>
        <w:spacing w:after="0" w:line="342" w:lineRule="auto"/>
        <w:tabs>
          <w:tab w:leader="none" w:pos="11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entered into the Administration Agreement with Fidus Investment Advisors, LLC to provide us with the office facilities and administrative services necessary to conduct day-to-day operations. See Note 5 to our consolidated financial statements.</w:t>
      </w:r>
    </w:p>
    <w:p>
      <w:pPr>
        <w:spacing w:after="0" w:line="29" w:lineRule="exact"/>
        <w:rPr>
          <w:rFonts w:ascii="Arial" w:cs="Arial" w:eastAsia="Arial" w:hAnsi="Arial"/>
          <w:sz w:val="16"/>
          <w:szCs w:val="16"/>
          <w:color w:val="auto"/>
        </w:rPr>
      </w:pPr>
    </w:p>
    <w:p>
      <w:pPr>
        <w:ind w:left="1180" w:right="380" w:hanging="436"/>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entered into a license agreement with Fidus Partners, LLC, pursuant to which Fidus Partners, LLC has granted us a non-exclusive, royalty-free license to use the name “Fidus.”</w:t>
      </w:r>
    </w:p>
    <w:p>
      <w:pPr>
        <w:spacing w:after="0" w:line="17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The relief permits FIC and Fund I, each of which has elected to be treated as a BDC, to operate effectively as one company, specifically allowing them to: (1) engage in certain transactions with each other; (2) invest in securities in which the other is or proposes to be an investor; (3) file consolidated reports with the SEC; and (4) be subject to modified consolidated asset coverage requirements for senior securities issued by a BDC and its SBIC subsidiary. Fund II and Fund III have not elected to be treated as BDCs and are not party to this exemptive relief. The fourth exemption described above allows us to exclude any indebtedness guaranteed by the SBA and issued by Fund I from the asset coverage requirements applicable to us. Effective June 30, 2014, pursuant to separate exemptive relief from the SEC, any SBA debentures issued by Fund II and Fund III are not considered senior securities for purposes of the asset coverage requirements.</w:t>
      </w:r>
    </w:p>
    <w:p>
      <w:pPr>
        <w:spacing w:after="0" w:line="19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While we may co-invest with investment entities managed by our investment advisor or its affiliates, to the extent permitted by the 1940 Act and the rules and regulations thereunder, the 1940 Act imposes significant limits on co-investment. The SEC staff has granted us relief sought in an exemptive application that expands our ability to co-invest in portfolio companies with other funds managed by our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w:t>
      </w:r>
    </w:p>
    <w:p>
      <w:pPr>
        <w:spacing w:after="0" w:line="167"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In addition, we, Fund I and our investment advisor have each adopted a joint code of ethics pursuant to Rule 17j-1 under the 1940 Act that governs the conduct of our and our investment advisor’s officers, directors and employees. Additionally, our investment advisor has adopted a code of ethics pursuant to rule 204A-1 under the Advisers Act and in accordance with Rule 17j-1(c) under the 1940 Act. We, and Fund I,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On January 10, 2020, we received a distribution on our equity investment in Fiber Materials Inc., resulting in a realized gain of approximately $9.8 million.</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On January 29, 2020, we exited our debt investment in Hunter Defense Technologies, Inc. We received payment in full of $9.2 million on our first lien debt.</w:t>
      </w:r>
    </w:p>
    <w:p>
      <w:pPr>
        <w:spacing w:after="0" w:line="170" w:lineRule="exact"/>
        <w:rPr>
          <w:sz w:val="20"/>
          <w:szCs w:val="20"/>
          <w:color w:val="auto"/>
        </w:rPr>
      </w:pPr>
    </w:p>
    <w:p>
      <w:pPr>
        <w:ind w:left="200" w:right="980" w:firstLine="441"/>
        <w:spacing w:after="0" w:line="308" w:lineRule="auto"/>
        <w:rPr>
          <w:sz w:val="20"/>
          <w:szCs w:val="20"/>
          <w:color w:val="auto"/>
        </w:rPr>
      </w:pPr>
      <w:r>
        <w:rPr>
          <w:rFonts w:ascii="Arial" w:cs="Arial" w:eastAsia="Arial" w:hAnsi="Arial"/>
          <w:sz w:val="17"/>
          <w:szCs w:val="17"/>
          <w:color w:val="auto"/>
        </w:rPr>
        <w:t>On January 31, 2020, we invested $11.0 million in a revolving loan and first lien debt of Combined Systems, Inc., a leading designer, manufacturer, and marketer of non-lethal security products for the global defense and law enforcement markets.</w:t>
      </w:r>
    </w:p>
    <w:p>
      <w:pPr>
        <w:spacing w:after="0" w:line="14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On February 7, 2020, we invested $15.0 million in first lien debt of Routeware, Inc., a leading provider of highly integrated fleet automation software and systems for waste haulers and municipalities.</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 February 12, 2020, our board of directors declared a regular quarterly dividend of $0.39 per share payable on March 27, 2020 to stockholders of record as of March 13, 2020.</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the future, our investment income may also be affected by changes in various interest rates, including LIBOR and prime rates, to the extent of any debt investments that include floating interest rates. As of December 31, 2019 and 2018, 17 and seven portfolio companies’ debt investments, respectively, bore interest at a variable rate, which represented $181.3 million and $75.9 million of our portfolio on a fair value basis, respectively, and the remainder of our debt portfolio was comprised entirely of fixed rate investments. Our pooled SBA debentures and our Public Notes bear interest at fixed rates. Our Credit Facility bears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88"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The following table shows the approximate annualized increase or decrease in the components of net investment income due to hypothetical base rate changes in interest rates, assuming no changes in our investments and borrowings as of December 31, 2019 (dollars in millions):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720" w:type="dxa"/>
            <w:vAlign w:val="bottom"/>
            <w:gridSpan w:val="4"/>
          </w:tcPr>
          <w:p>
            <w:pPr>
              <w:jc w:val="center"/>
              <w:ind w:left="1968"/>
              <w:spacing w:after="0"/>
              <w:rPr>
                <w:sz w:val="20"/>
                <w:szCs w:val="20"/>
                <w:color w:val="auto"/>
              </w:rPr>
            </w:pPr>
            <w:r>
              <w:rPr>
                <w:rFonts w:ascii="Arial" w:cs="Arial" w:eastAsia="Arial" w:hAnsi="Arial"/>
                <w:sz w:val="14"/>
                <w:szCs w:val="14"/>
                <w:b w:val="1"/>
                <w:bCs w:val="1"/>
                <w:color w:val="auto"/>
                <w:w w:val="92"/>
              </w:rPr>
              <w:t>Interest Income</w:t>
            </w:r>
          </w:p>
        </w:tc>
        <w:tc>
          <w:tcPr>
            <w:tcW w:w="17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Interest Expense</w:t>
            </w:r>
          </w:p>
        </w:tc>
        <w:tc>
          <w:tcPr>
            <w:tcW w:w="14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Net Increase</w:t>
            </w:r>
          </w:p>
        </w:tc>
        <w:tc>
          <w:tcPr>
            <w:tcW w:w="13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Net Investment</w:t>
            </w:r>
          </w:p>
        </w:tc>
        <w:tc>
          <w:tcPr>
            <w:tcW w:w="0" w:type="dxa"/>
            <w:vAlign w:val="bottom"/>
          </w:tcPr>
          <w:p>
            <w:pPr>
              <w:spacing w:after="0"/>
              <w:rPr>
                <w:sz w:val="1"/>
                <w:szCs w:val="1"/>
                <w:color w:val="auto"/>
              </w:rPr>
            </w:pPr>
          </w:p>
        </w:tc>
      </w:tr>
      <w:tr>
        <w:trPr>
          <w:trHeight w:val="149"/>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Basis Point Increase (Decrease)</w:t>
            </w: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Increase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Increase</w:t>
            </w:r>
          </w:p>
        </w:tc>
        <w:tc>
          <w:tcPr>
            <w:tcW w:w="1420" w:type="dxa"/>
            <w:vAlign w:val="bottom"/>
            <w:gridSpan w:val="4"/>
            <w:vMerge w:val="continue"/>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40" w:type="dxa"/>
            <w:vAlign w:val="bottom"/>
            <w:gridSpan w:val="2"/>
            <w:vMerge w:val="continue"/>
          </w:tcPr>
          <w:p>
            <w:pPr>
              <w:spacing w:after="0"/>
              <w:rPr>
                <w:sz w:val="13"/>
                <w:szCs w:val="13"/>
                <w:color w:val="auto"/>
              </w:rPr>
            </w:pPr>
          </w:p>
        </w:tc>
        <w:tc>
          <w:tcPr>
            <w:tcW w:w="2400" w:type="dxa"/>
            <w:vAlign w:val="bottom"/>
          </w:tcPr>
          <w:p>
            <w:pPr>
              <w:spacing w:after="0"/>
              <w:rPr>
                <w:sz w:val="13"/>
                <w:szCs w:val="13"/>
                <w:color w:val="auto"/>
              </w:rPr>
            </w:pPr>
          </w:p>
        </w:tc>
        <w:tc>
          <w:tcPr>
            <w:tcW w:w="132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 xml:space="preserve">(Decrease) </w:t>
            </w:r>
            <w:r>
              <w:rPr>
                <w:rFonts w:ascii="Arial" w:cs="Arial" w:eastAsia="Arial" w:hAnsi="Arial"/>
                <w:sz w:val="12"/>
                <w:szCs w:val="12"/>
                <w:b w:val="1"/>
                <w:bCs w:val="1"/>
                <w:color w:val="auto"/>
                <w:w w:val="90"/>
              </w:rPr>
              <w:t>(1)</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9"/>
              </w:rPr>
              <w:t>(Decrease)</w:t>
            </w:r>
          </w:p>
        </w:tc>
        <w:tc>
          <w:tcPr>
            <w:tcW w:w="300" w:type="dxa"/>
            <w:vAlign w:val="bottom"/>
          </w:tcPr>
          <w:p>
            <w:pPr>
              <w:spacing w:after="0"/>
              <w:rPr>
                <w:sz w:val="13"/>
                <w:szCs w:val="13"/>
                <w:color w:val="auto"/>
              </w:rPr>
            </w:pPr>
          </w:p>
        </w:tc>
        <w:tc>
          <w:tcPr>
            <w:tcW w:w="1120" w:type="dxa"/>
            <w:vAlign w:val="bottom"/>
            <w:gridSpan w:val="3"/>
          </w:tcPr>
          <w:p>
            <w:pPr>
              <w:jc w:val="right"/>
              <w:ind w:right="420"/>
              <w:spacing w:after="0" w:line="158" w:lineRule="exact"/>
              <w:rPr>
                <w:sz w:val="20"/>
                <w:szCs w:val="20"/>
                <w:color w:val="auto"/>
              </w:rPr>
            </w:pPr>
            <w:r>
              <w:rPr>
                <w:rFonts w:ascii="Arial" w:cs="Arial" w:eastAsia="Arial" w:hAnsi="Arial"/>
                <w:sz w:val="14"/>
                <w:szCs w:val="14"/>
                <w:b w:val="1"/>
                <w:bCs w:val="1"/>
                <w:color w:val="auto"/>
                <w:w w:val="94"/>
              </w:rPr>
              <w:t>(Decrease)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7"/>
              </w:rPr>
              <w:t xml:space="preserve">Income </w:t>
            </w:r>
            <w:r>
              <w:rPr>
                <w:rFonts w:ascii="Arial" w:cs="Arial" w:eastAsia="Arial" w:hAnsi="Arial"/>
                <w:sz w:val="12"/>
                <w:szCs w:val="12"/>
                <w:b w:val="1"/>
                <w:bCs w:val="1"/>
                <w:color w:val="auto"/>
                <w:w w:val="97"/>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(200)</w:t>
            </w:r>
          </w:p>
        </w:tc>
        <w:tc>
          <w:tcPr>
            <w:tcW w:w="24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24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(1.0)</w:t>
            </w:r>
          </w:p>
        </w:tc>
        <w:tc>
          <w:tcPr>
            <w:tcW w:w="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(0.4)</w:t>
            </w:r>
          </w:p>
        </w:tc>
        <w:tc>
          <w:tcPr>
            <w:tcW w:w="3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(0.6)</w:t>
            </w: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(150)</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(50)</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100</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150</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200</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300</w:t>
            </w: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436"/>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Certain of our variable rate debt investments have a LIBOR interest rate floor, which lessens the impact of decreases in interest rates.</w:t>
      </w:r>
    </w:p>
    <w:p>
      <w:pPr>
        <w:spacing w:after="0" w:line="34" w:lineRule="exact"/>
        <w:rPr>
          <w:rFonts w:ascii="Arial" w:cs="Arial" w:eastAsia="Arial" w:hAnsi="Arial"/>
          <w:sz w:val="17"/>
          <w:szCs w:val="17"/>
          <w:color w:val="auto"/>
        </w:rPr>
      </w:pPr>
    </w:p>
    <w:p>
      <w:pPr>
        <w:ind w:left="640" w:hanging="43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the impact of income incentive fee at 20.0% on net increase (decrease) in net interest.</w:t>
      </w:r>
    </w:p>
    <w:p>
      <w:pPr>
        <w:sectPr>
          <w:pgSz w:w="11900" w:h="16838" w:orient="portrait"/>
          <w:cols w:equalWidth="0" w:num="1">
            <w:col w:w="11220"/>
          </w:cols>
          <w:pgMar w:left="240" w:top="459" w:right="439" w:bottom="1440" w:gutter="0" w:footer="0" w:header="0"/>
        </w:sectPr>
      </w:pP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20"/>
          </w:cols>
          <w:pgMar w:left="240" w:top="459" w:right="4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Index to Consolidated Financial Statements</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4300" w:type="dxa"/>
            <w:vAlign w:val="bottom"/>
            <w:gridSpan w:val="4"/>
            <w:vMerge w:val="restart"/>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Reports of Independent Registered Public Accounting Firm</w:t>
              </w:r>
            </w:hyperlink>
          </w:p>
        </w:tc>
        <w:tc>
          <w:tcPr>
            <w:tcW w:w="5120" w:type="dxa"/>
            <w:vAlign w:val="bottom"/>
            <w:gridSpan w:val="6"/>
            <w:vMerge w:val="restart"/>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1"/>
        </w:trPr>
        <w:tc>
          <w:tcPr>
            <w:tcW w:w="4300" w:type="dxa"/>
            <w:vAlign w:val="bottom"/>
            <w:tcBorders>
              <w:bottom w:val="single" w:sz="8" w:color="0000EE"/>
            </w:tcBorders>
            <w:gridSpan w:val="4"/>
            <w:vMerge w:val="continue"/>
          </w:tcPr>
          <w:p>
            <w:pPr>
              <w:spacing w:after="0"/>
              <w:rPr>
                <w:sz w:val="13"/>
                <w:szCs w:val="13"/>
                <w:color w:val="auto"/>
              </w:rPr>
            </w:pPr>
          </w:p>
        </w:tc>
        <w:tc>
          <w:tcPr>
            <w:tcW w:w="5120" w:type="dxa"/>
            <w:vAlign w:val="bottom"/>
            <w:gridSpan w:val="6"/>
            <w:vMerge w:val="continue"/>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18"/>
        </w:trPr>
        <w:tc>
          <w:tcPr>
            <w:tcW w:w="9420" w:type="dxa"/>
            <w:vAlign w:val="bottom"/>
            <w:gridSpan w:val="10"/>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Consolidated Financial Statements</w:t>
              </w:r>
            </w:hyperlink>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9040" w:type="dxa"/>
            <w:vAlign w:val="bottom"/>
            <w:gridSpan w:val="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Assets and Liabilities as of December 31, 2019 and 2018</w:t>
              </w:r>
            </w:hyperlink>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6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Statements of Operations for the Years Ended December 31, 2019, 2018 and 2017</w:t>
              </w:r>
            </w:hyperlink>
          </w:p>
        </w:tc>
        <w:tc>
          <w:tcPr>
            <w:tcW w:w="2100" w:type="dxa"/>
            <w:vAlign w:val="bottom"/>
            <w:gridSpan w:val="3"/>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9040" w:type="dxa"/>
            <w:vAlign w:val="bottom"/>
            <w:gridSpan w:val="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Changes in Net Assets for the Years Ended December 31, 2019, 2018 and 2017</w:t>
              </w:r>
            </w:hyperlink>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7720" w:type="dxa"/>
            <w:vAlign w:val="bottom"/>
            <w:tcBorders>
              <w:top w:val="single" w:sz="8" w:color="0000EE"/>
            </w:tcBorders>
            <w:gridSpan w:val="8"/>
          </w:tcPr>
          <w:p>
            <w:pPr>
              <w:spacing w:after="0"/>
              <w:rPr>
                <w:rFonts w:ascii="Arial" w:cs="Arial" w:eastAsia="Arial" w:hAnsi="Arial"/>
                <w:sz w:val="18"/>
                <w:szCs w:val="18"/>
                <w:color w:val="0000EE"/>
                <w:w w:val="98"/>
              </w:rPr>
            </w:pPr>
            <w:hyperlink w:anchor="page79">
              <w:r>
                <w:rPr>
                  <w:rFonts w:ascii="Arial" w:cs="Arial" w:eastAsia="Arial" w:hAnsi="Arial"/>
                  <w:sz w:val="18"/>
                  <w:szCs w:val="18"/>
                  <w:color w:val="0000EE"/>
                  <w:w w:val="98"/>
                </w:rPr>
                <w:t>Consolidated Statements of Cash Flows for the Years Ended December 31, 2019, 2018 and 2017</w:t>
              </w:r>
            </w:hyperlink>
          </w:p>
        </w:tc>
        <w:tc>
          <w:tcPr>
            <w:tcW w:w="132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6980" w:type="dxa"/>
            <w:vAlign w:val="bottom"/>
            <w:tcBorders>
              <w:top w:val="single" w:sz="8" w:color="0000EE"/>
            </w:tcBorders>
            <w:gridSpan w:val="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Schedules of Investments as of December 31, 2019 and 2018</w:t>
              </w:r>
            </w:hyperlink>
          </w:p>
        </w:tc>
        <w:tc>
          <w:tcPr>
            <w:tcW w:w="2060" w:type="dxa"/>
            <w:vAlign w:val="bottom"/>
            <w:gridSpan w:val="2"/>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5420" w:type="dxa"/>
            <w:vAlign w:val="bottom"/>
            <w:tcBorders>
              <w:top w:val="single" w:sz="8" w:color="0000EE"/>
            </w:tcBorders>
            <w:gridSpan w:val="4"/>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Notes to Consolidated Financial Statements</w:t>
              </w:r>
            </w:hyperlink>
          </w:p>
        </w:tc>
        <w:tc>
          <w:tcPr>
            <w:tcW w:w="3620" w:type="dxa"/>
            <w:vAlign w:val="bottom"/>
            <w:gridSpan w:val="5"/>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3140" w:type="dxa"/>
            <w:vAlign w:val="bottom"/>
            <w:tcBorders>
              <w:top w:val="single" w:sz="8" w:color="0000EE"/>
            </w:tcBorders>
            <w:gridSpan w:val="2"/>
          </w:tcPr>
          <w:p>
            <w:pPr>
              <w:spacing w:after="0"/>
              <w:rPr>
                <w:sz w:val="24"/>
                <w:szCs w:val="24"/>
                <w:color w:val="auto"/>
              </w:rPr>
            </w:pP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Fidus Investment Corporation and Subsidiaries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We have audited the accompanying consolidated statements of assets and liabilities, including the consolidated schedules of investments, of Fidus Investment Corporation and Subsidiaries (collectively, the Company) as of December 31, 2019 and 2018, and the related consolidated statements of operations, changes in net assets and cash flows for each of the three years in the period ended December 31, 2019, and the related notes to the consolidated financial statements (collectively, the financial statements). In our opinion, the financial statements present fairly, in all material respects, the financial position of Fidus Investment Corporation and Subsidiaries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89"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in 2013, and our report dated February 27, 2020, expressed an unqualified opinion on the effectiveness of the Company’s internal control over financial reporting.</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December 31, 2019 and 2018, by correspondence with custodians, portfolio companies or agents or by other appropriate procedures where replies from custodians, portfolio companies or agents were not received. We believe that our audits provide a reasonable basis for our opinion.</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2007.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27, 2020</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Fidus Investment Corporation and Subsidiaries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audited Fidus Investment Corporation and Subsidiaries’ (collectively, the Company) internal control over financial reporting as of</w:t>
      </w:r>
    </w:p>
    <w:p>
      <w:pPr>
        <w:spacing w:after="0" w:line="23"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 xml:space="preserve">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19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statements of assets and liabilities, including the consolidated schedules of investments, of the Company as of December 31, 2019 and 2018, and the related consolidated statements of operations, changes in net assets and cash flows for each of the three years in the period ended December 31, 2019 and the related notes to the financial statements of the Company and our report dated February 27, 2020 expressed an unqualified opinion.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3"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27, 2020</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260" w:type="dxa"/>
            <w:vAlign w:val="bottom"/>
            <w:gridSpan w:val="4"/>
          </w:tcPr>
          <w:p>
            <w:pPr>
              <w:ind w:left="3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 (cost: $27,718 and $22,697, respectively)</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Affiliate investments (cost: $56,328 and $70,924,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121,555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 (cost: $620,453 and $505,129, respectively)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623,544</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Total investments, at fair value (cost: $704,499 and $598,750, respectively)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766,919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642,982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6,331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789,439</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SBA debentures, net of deferred financing costs (Note 6)</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153,802</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Public Notes, net of deferred financing costs (Note 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176,901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Borrowings under Credit Facility, net of deferred financing costs (Note 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23,899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fees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Base management fee payable – due to affiliate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Income incentive fee payable – due to affiliate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Capital gains incentive fee payable – due to affiliate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12,715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Administration fee payable and other – due to affiliate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377,129</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$0.001 par value (100,000,000 shares authorized, 24,463,119 shares issued and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December 31, 2019 and December 31, 2018,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366,061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distributable earnings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46,225</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412,310</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789,439</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common share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Control investments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Affiliate investments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6,868</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Non-control/non-affiliate investments</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53,769</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060"/>
              <w:spacing w:after="0"/>
              <w:rPr>
                <w:sz w:val="20"/>
                <w:szCs w:val="20"/>
                <w:color w:val="auto"/>
              </w:rPr>
            </w:pPr>
            <w:r>
              <w:rPr>
                <w:rFonts w:ascii="Arial" w:cs="Arial" w:eastAsia="Arial" w:hAnsi="Arial"/>
                <w:sz w:val="18"/>
                <w:szCs w:val="18"/>
                <w:color w:val="auto"/>
              </w:rPr>
              <w:t>Total interest income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62,175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60,883</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Payment-in-kind interest income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661</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payment-in-kind interest income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Dividend income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Control investments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Affiliate investments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3,454</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Non-control/non-affiliate investments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060"/>
              <w:spacing w:after="0"/>
              <w:rPr>
                <w:sz w:val="20"/>
                <w:szCs w:val="20"/>
                <w:color w:val="auto"/>
              </w:rPr>
            </w:pPr>
            <w:r>
              <w:rPr>
                <w:rFonts w:ascii="Arial" w:cs="Arial" w:eastAsia="Arial" w:hAnsi="Arial"/>
                <w:sz w:val="18"/>
                <w:szCs w:val="18"/>
                <w:color w:val="auto"/>
              </w:rPr>
              <w:t>Total dividend income</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 income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fee income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Interest on idle funds and other income</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76,425</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financing expenses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12,659</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Base management fee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12,399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11,365</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Incentive fee - income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Incentive fee - capital gains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2,938</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 expenses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Professional fees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7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40,647</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income taxes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35,778</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35,058</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gains (losses) on investments: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gains (losses):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(21,055)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realized gain (loss) on investments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Income tax (provision) benefit from realized gains on investments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appreciation (depreciation):</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Control investments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(2,306)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Affiliate investments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Non-control/non-affiliate investments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7,547</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(17,487)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change in unrealized appreciation (depreciation) on investments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25,718</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Net gain (loss) on investments</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14,691</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losses on extinguishment of debt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49,452</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common share data:</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investment income per share-basic and diluted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4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 in net assets resulting from operations per share — basic and diluted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share</w:t>
            </w: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24,463,119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24,471,730</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23,527,188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240"/>
          </w:cols>
          <w:pgMar w:left="240" w:top="459" w:right="419" w:bottom="1122"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40"/>
          </w:cols>
          <w:pgMar w:left="240" w:top="459" w:right="419" w:bottom="1122"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00" w:type="dxa"/>
            <w:vAlign w:val="bottom"/>
            <w:tcBorders>
              <w:bottom w:val="single" w:sz="8" w:color="auto"/>
            </w:tcBorders>
            <w:gridSpan w:val="5"/>
          </w:tcPr>
          <w:p>
            <w:pPr>
              <w:jc w:val="right"/>
              <w:ind w:right="411"/>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distributable</w:t>
            </w: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earnings</w:t>
            </w: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22,446,076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$340,169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$353,785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Public offerings of common stock, net of expenses (Note 8)</w:t>
            </w:r>
          </w:p>
        </w:tc>
        <w:tc>
          <w:tcPr>
            <w:tcW w:w="860" w:type="dxa"/>
            <w:vAlign w:val="bottom"/>
          </w:tcPr>
          <w:p>
            <w:pPr>
              <w:jc w:val="right"/>
              <w:spacing w:after="0"/>
              <w:rPr>
                <w:sz w:val="20"/>
                <w:szCs w:val="20"/>
                <w:color w:val="auto"/>
              </w:rPr>
            </w:pPr>
            <w:r>
              <w:rPr>
                <w:rFonts w:ascii="Arial" w:cs="Arial" w:eastAsia="Arial" w:hAnsi="Arial"/>
                <w:sz w:val="18"/>
                <w:szCs w:val="18"/>
                <w:color w:val="auto"/>
              </w:rPr>
              <w:t>2,012,500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dividend reinvestment plan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6"/>
              </w:rPr>
              <w:t>799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investment income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33,767</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(4,926)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Dividends declared</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(37,592)</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(37,592)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Tax reclassification of stockholders’ equity in accordance with generally accepted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accounting principles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2017</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24,507,940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$370,796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$393,273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 under Stock Repurchase Program (Note 8)</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investment income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35,058</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25,718</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Dividends declared</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(39,158)</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(39,158)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Tax reclassification of stockholders’ equity in accordance with generally accepted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accounting principles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24,463,119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$366,688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$402,985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realized gain (loss) on investments, net of taxes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(788)</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Realized losses on extinguishment of debt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(399)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(39,141)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Pr>
          <w:p>
            <w:pPr>
              <w:spacing w:after="0" w:line="201" w:lineRule="exact"/>
              <w:rPr>
                <w:sz w:val="20"/>
                <w:szCs w:val="20"/>
                <w:color w:val="auto"/>
              </w:rPr>
            </w:pPr>
            <w:r>
              <w:rPr>
                <w:rFonts w:ascii="Arial" w:cs="Arial" w:eastAsia="Arial" w:hAnsi="Arial"/>
                <w:sz w:val="18"/>
                <w:szCs w:val="18"/>
                <w:color w:val="auto"/>
                <w:w w:val="96"/>
              </w:rPr>
              <w:t>Tax reclassification of stockholders’ equity in accordance with generally accepted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accounting principles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24,463,119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366,061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412,310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Years Ended</w:t>
      </w:r>
    </w:p>
    <w:p>
      <w:pPr>
        <w:ind w:left="93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4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48,466</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49,452</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43,951</w:t>
            </w: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Adjustments to reconcile net increase in net assets resulting from operations to net cash</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provided by (used for) operating activities:</w:t>
            </w: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(18,188)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(25,718)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loss on investments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(17,904)</w:t>
            </w:r>
          </w:p>
        </w:tc>
      </w:tr>
      <w:tr>
        <w:trPr>
          <w:trHeight w:val="216"/>
        </w:trPr>
        <w:tc>
          <w:tcPr>
            <w:tcW w:w="2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Interest and dividend income paid-in-kind</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(9,100)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(6,662)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(7,706)</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of original issue discount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r>
      <w:tr>
        <w:trPr>
          <w:trHeight w:val="216"/>
        </w:trPr>
        <w:tc>
          <w:tcPr>
            <w:tcW w:w="2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Accretion of loan origination fees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(1,472)</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 of investments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(219,173)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(212,264)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(214,681)</w:t>
            </w:r>
          </w:p>
        </w:tc>
      </w:tr>
      <w:tr>
        <w:trPr>
          <w:trHeight w:val="216"/>
        </w:trPr>
        <w:tc>
          <w:tcPr>
            <w:tcW w:w="2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Proceeds from sales and repayments of investments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188,255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163,656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loan origination fees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Realized losses on extinguishment of debt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deferred financing costs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receivable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(3,004)</w:t>
            </w:r>
          </w:p>
        </w:tc>
      </w:tr>
      <w:tr>
        <w:trPr>
          <w:trHeight w:val="216"/>
        </w:trPr>
        <w:tc>
          <w:tcPr>
            <w:tcW w:w="20" w:type="dxa"/>
            <w:vAlign w:val="bottom"/>
          </w:tcPr>
          <w:p>
            <w:pPr>
              <w:spacing w:after="0"/>
              <w:rPr>
                <w:sz w:val="18"/>
                <w:szCs w:val="18"/>
                <w:color w:val="auto"/>
              </w:rPr>
            </w:pPr>
          </w:p>
        </w:tc>
        <w:tc>
          <w:tcPr>
            <w:tcW w:w="744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interest and fees payable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w:t>
            </w:r>
          </w:p>
        </w:tc>
      </w:tr>
      <w:tr>
        <w:trPr>
          <w:trHeight w:val="216"/>
        </w:trPr>
        <w:tc>
          <w:tcPr>
            <w:tcW w:w="20" w:type="dxa"/>
            <w:vAlign w:val="bottom"/>
          </w:tcPr>
          <w:p>
            <w:pPr>
              <w:spacing w:after="0"/>
              <w:rPr>
                <w:sz w:val="18"/>
                <w:szCs w:val="18"/>
                <w:color w:val="auto"/>
              </w:rPr>
            </w:pPr>
          </w:p>
        </w:tc>
        <w:tc>
          <w:tcPr>
            <w:tcW w:w="7440" w:type="dxa"/>
            <w:vAlign w:val="bottom"/>
          </w:tcPr>
          <w:p>
            <w:pPr>
              <w:ind w:left="1060"/>
              <w:spacing w:after="0"/>
              <w:rPr>
                <w:sz w:val="20"/>
                <w:szCs w:val="20"/>
                <w:color w:val="auto"/>
              </w:rPr>
            </w:pPr>
            <w:r>
              <w:rPr>
                <w:rFonts w:ascii="Arial" w:cs="Arial" w:eastAsia="Arial" w:hAnsi="Arial"/>
                <w:sz w:val="18"/>
                <w:szCs w:val="18"/>
                <w:color w:val="auto"/>
              </w:rPr>
              <w:t>Base management fee payable – due to affiliate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incentive fee payable – due to affiliate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7440" w:type="dxa"/>
            <w:vAlign w:val="bottom"/>
          </w:tcPr>
          <w:p>
            <w:pPr>
              <w:ind w:left="1060"/>
              <w:spacing w:after="0"/>
              <w:rPr>
                <w:sz w:val="20"/>
                <w:szCs w:val="20"/>
                <w:color w:val="auto"/>
              </w:rPr>
            </w:pPr>
            <w:r>
              <w:rPr>
                <w:rFonts w:ascii="Arial" w:cs="Arial" w:eastAsia="Arial" w:hAnsi="Arial"/>
                <w:sz w:val="18"/>
                <w:szCs w:val="18"/>
                <w:color w:val="auto"/>
              </w:rPr>
              <w:t>Capital gains incentive fee payable – due to affiliate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Administration fee payable and other – due to affiliate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440" w:type="dxa"/>
            <w:vAlign w:val="bottom"/>
          </w:tcPr>
          <w:p>
            <w:pPr>
              <w:ind w:left="1060"/>
              <w:spacing w:after="0"/>
              <w:rPr>
                <w:sz w:val="20"/>
                <w:szCs w:val="20"/>
                <w:color w:val="auto"/>
              </w:rPr>
            </w:pPr>
            <w:r>
              <w:rPr>
                <w:rFonts w:ascii="Arial" w:cs="Arial" w:eastAsia="Arial" w:hAnsi="Arial"/>
                <w:sz w:val="18"/>
                <w:szCs w:val="18"/>
                <w:color w:val="auto"/>
              </w:rPr>
              <w:t>Taxes payable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other liabilities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r>
      <w:tr>
        <w:trPr>
          <w:trHeight w:val="230"/>
        </w:trPr>
        <w:tc>
          <w:tcPr>
            <w:tcW w:w="20" w:type="dxa"/>
            <w:vAlign w:val="bottom"/>
          </w:tcPr>
          <w:p>
            <w:pPr>
              <w:spacing w:after="0"/>
              <w:rPr>
                <w:sz w:val="20"/>
                <w:szCs w:val="20"/>
                <w:color w:val="auto"/>
              </w:rPr>
            </w:pPr>
          </w:p>
        </w:tc>
        <w:tc>
          <w:tcPr>
            <w:tcW w:w="7440" w:type="dxa"/>
            <w:vAlign w:val="bottom"/>
          </w:tcPr>
          <w:p>
            <w:pPr>
              <w:ind w:left="1420"/>
              <w:spacing w:after="0"/>
              <w:rPr>
                <w:sz w:val="20"/>
                <w:szCs w:val="20"/>
                <w:color w:val="auto"/>
              </w:rPr>
            </w:pPr>
            <w:r>
              <w:rPr>
                <w:rFonts w:ascii="Arial" w:cs="Arial" w:eastAsia="Arial" w:hAnsi="Arial"/>
                <w:sz w:val="18"/>
                <w:szCs w:val="18"/>
                <w:b w:val="1"/>
                <w:bCs w:val="1"/>
                <w:color w:val="auto"/>
              </w:rPr>
              <w:t>Net cash provided by (used for) operating activities</w:t>
            </w:r>
          </w:p>
        </w:tc>
        <w:tc>
          <w:tcPr>
            <w:tcW w:w="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(68,728)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(28,199)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Proceeds from stock offerings, net of expenses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received from SBA debentures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Repayments of SBA debentures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(67,300)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(41,700)</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received from issuance of Public Notes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132,250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Proceeds received from (repayments of) borrowings under Credit Facility,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 of deferred financing costs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(1,649)</w:t>
            </w:r>
          </w:p>
        </w:tc>
      </w:tr>
      <w:tr>
        <w:trPr>
          <w:trHeight w:val="216"/>
        </w:trPr>
        <w:tc>
          <w:tcPr>
            <w:tcW w:w="2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Dividends paid to stockholders, including expenses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(39,141)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(39,158)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(36,793)</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Repurchases of common stock under Stock Repurchase Program</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440" w:type="dxa"/>
            <w:vAlign w:val="bottom"/>
          </w:tcPr>
          <w:p>
            <w:pPr>
              <w:ind w:left="142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(15,511)</w:t>
            </w: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Beginning of period</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End of period</w:t>
            </w:r>
          </w:p>
        </w:tc>
        <w:tc>
          <w:tcPr>
            <w:tcW w:w="8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Cash payments for interest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14,527</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11,189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payments for taxes, net of tax refunds received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Shares issued under dividend reinvestment plan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Proceeds receivable from stock offering</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60"/>
          </w:cols>
          <w:pgMar w:left="240" w:top="459" w:right="499" w:bottom="1440" w:gutter="0" w:footer="0" w:header="0"/>
        </w:sectPr>
      </w:pPr>
    </w:p>
    <w:p>
      <w:pPr>
        <w:spacing w:after="0" w:line="139"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Portfolio Company (a)(b)</w:t>
      </w:r>
    </w:p>
    <w:p>
      <w:pPr>
        <w:ind w:left="260"/>
        <w:spacing w:after="0" w:line="234" w:lineRule="auto"/>
        <w:rPr>
          <w:sz w:val="20"/>
          <w:szCs w:val="20"/>
          <w:color w:val="auto"/>
        </w:rPr>
      </w:pPr>
      <w:r>
        <w:rPr>
          <w:rFonts w:ascii="Arial" w:cs="Arial" w:eastAsia="Arial" w:hAnsi="Arial"/>
          <w:sz w:val="13"/>
          <w:szCs w:val="13"/>
          <w:b w:val="1"/>
          <w:bCs w:val="1"/>
          <w:u w:val="single" w:color="auto"/>
          <w:color w:val="auto"/>
        </w:rPr>
        <w:t>Investment Type (c)</w:t>
      </w:r>
    </w:p>
    <w:p>
      <w:pPr>
        <w:ind w:left="260"/>
        <w:spacing w:after="0" w:line="225" w:lineRule="auto"/>
        <w:rPr>
          <w:sz w:val="20"/>
          <w:szCs w:val="20"/>
          <w:color w:val="auto"/>
        </w:rPr>
      </w:pPr>
      <w:r>
        <w:rPr>
          <w:rFonts w:ascii="Arial" w:cs="Arial" w:eastAsia="Arial" w:hAnsi="Arial"/>
          <w:sz w:val="14"/>
          <w:szCs w:val="14"/>
          <w:b w:val="1"/>
          <w:bCs w:val="1"/>
          <w:u w:val="single" w:color="auto"/>
          <w:color w:val="auto"/>
        </w:rPr>
        <w:t>Control Investments (t)</w:t>
      </w:r>
    </w:p>
    <w:p>
      <w:pPr>
        <w:ind w:left="260"/>
        <w:spacing w:after="0"/>
        <w:rPr>
          <w:sz w:val="20"/>
          <w:szCs w:val="20"/>
          <w:color w:val="auto"/>
        </w:rPr>
      </w:pPr>
      <w:r>
        <w:rPr>
          <w:rFonts w:ascii="Arial" w:cs="Arial" w:eastAsia="Arial" w:hAnsi="Arial"/>
          <w:sz w:val="11"/>
          <w:szCs w:val="11"/>
          <w:i w:val="1"/>
          <w:iCs w:val="1"/>
          <w:color w:val="auto"/>
        </w:rPr>
        <w:t>FDS Avionics Corp. (dba Flight Display Systems)</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Second Lien Debt</w:t>
      </w:r>
    </w:p>
    <w:p>
      <w:pPr>
        <w:ind w:left="520"/>
        <w:spacing w:after="0" w:line="216" w:lineRule="auto"/>
        <w:rPr>
          <w:sz w:val="20"/>
          <w:szCs w:val="20"/>
          <w:color w:val="auto"/>
        </w:rPr>
      </w:pPr>
      <w:r>
        <w:rPr>
          <w:rFonts w:ascii="Arial" w:cs="Arial" w:eastAsia="Arial" w:hAnsi="Arial"/>
          <w:sz w:val="13"/>
          <w:szCs w:val="13"/>
          <w:color w:val="auto"/>
        </w:rPr>
        <w:t>Revolving Loan ($30 commitment)</w:t>
      </w:r>
    </w:p>
    <w:p>
      <w:pPr>
        <w:ind w:left="520"/>
        <w:spacing w:after="0" w:line="217" w:lineRule="auto"/>
        <w:rPr>
          <w:sz w:val="20"/>
          <w:szCs w:val="20"/>
          <w:color w:val="auto"/>
        </w:rPr>
      </w:pPr>
      <w:r>
        <w:rPr>
          <w:rFonts w:ascii="Arial" w:cs="Arial" w:eastAsia="Arial" w:hAnsi="Arial"/>
          <w:sz w:val="13"/>
          <w:szCs w:val="13"/>
          <w:color w:val="auto"/>
        </w:rPr>
        <w:t>Common Equity (7,478 shares) (j)</w:t>
      </w:r>
    </w:p>
    <w:p>
      <w:pPr>
        <w:ind w:left="520"/>
        <w:spacing w:after="0" w:line="224" w:lineRule="auto"/>
        <w:rPr>
          <w:sz w:val="20"/>
          <w:szCs w:val="20"/>
          <w:color w:val="auto"/>
        </w:rPr>
      </w:pPr>
      <w:r>
        <w:rPr>
          <w:rFonts w:ascii="Arial" w:cs="Arial" w:eastAsia="Arial" w:hAnsi="Arial"/>
          <w:sz w:val="13"/>
          <w:szCs w:val="13"/>
          <w:color w:val="auto"/>
        </w:rPr>
        <w:t>Preferred Equity (2,550 shares)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Variable Index</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Rate (e)</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Principal</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w:t>
            </w:r>
          </w:p>
        </w:tc>
        <w:tc>
          <w:tcPr>
            <w:tcW w:w="560" w:type="dxa"/>
            <w:vAlign w:val="bottom"/>
          </w:tcPr>
          <w:p>
            <w:pPr>
              <w:spacing w:after="0"/>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62"/>
        </w:trPr>
        <w:tc>
          <w:tcPr>
            <w:tcW w:w="19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Industry</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Cash/PIK</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Date (f)</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Value (g)</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288"/>
        </w:trPr>
        <w:tc>
          <w:tcPr>
            <w:tcW w:w="2020" w:type="dxa"/>
            <w:vAlign w:val="bottom"/>
            <w:gridSpan w:val="2"/>
          </w:tcPr>
          <w:p>
            <w:pPr>
              <w:spacing w:after="0"/>
              <w:rPr>
                <w:sz w:val="20"/>
                <w:szCs w:val="20"/>
                <w:color w:val="auto"/>
              </w:rPr>
            </w:pPr>
            <w:r>
              <w:rPr>
                <w:rFonts w:ascii="Arial" w:cs="Arial" w:eastAsia="Arial" w:hAnsi="Arial"/>
                <w:sz w:val="13"/>
                <w:szCs w:val="13"/>
                <w:color w:val="auto"/>
                <w:w w:val="94"/>
              </w:rPr>
              <w:t>Aerospace &amp; Defense Manufacturing</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7"/>
              </w:rPr>
              <w:t>6.00%/9.00%</w:t>
            </w:r>
          </w:p>
        </w:tc>
        <w:tc>
          <w:tcPr>
            <w:tcW w:w="100" w:type="dxa"/>
            <w:vAlign w:val="bottom"/>
          </w:tcPr>
          <w:p>
            <w:pPr>
              <w:spacing w:after="0"/>
              <w:rPr>
                <w:sz w:val="24"/>
                <w:szCs w:val="24"/>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11/5/2014</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w w:val="92"/>
              </w:rPr>
              <w:t>12/31/2021</w:t>
            </w: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   4,420</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w w:val="92"/>
              </w:rPr>
              <w:t>$ 4,418</w:t>
            </w:r>
          </w:p>
        </w:tc>
        <w:tc>
          <w:tcPr>
            <w:tcW w:w="40" w:type="dxa"/>
            <w:vAlign w:val="bottom"/>
          </w:tcPr>
          <w:p>
            <w:pPr>
              <w:spacing w:after="0"/>
              <w:rPr>
                <w:sz w:val="24"/>
                <w:szCs w:val="24"/>
                <w:color w:val="auto"/>
              </w:rPr>
            </w:pPr>
          </w:p>
        </w:tc>
        <w:tc>
          <w:tcPr>
            <w:tcW w:w="68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   4,227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7"/>
              </w:rPr>
              <w:t>6.00%/9.00%</w:t>
            </w: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4/12/2018</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2"/>
              </w:rPr>
              <w:t>12/31/2021</w:t>
            </w:r>
          </w:p>
        </w:tc>
        <w:tc>
          <w:tcPr>
            <w:tcW w:w="6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261</w:t>
            </w:r>
          </w:p>
        </w:tc>
        <w:tc>
          <w:tcPr>
            <w:tcW w:w="4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261</w:t>
            </w:r>
          </w:p>
        </w:tc>
        <w:tc>
          <w:tcPr>
            <w:tcW w:w="68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261</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11/10/2017</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748</w:t>
            </w:r>
          </w:p>
        </w:tc>
        <w:tc>
          <w:tcPr>
            <w:tcW w:w="60" w:type="dxa"/>
            <w:vAlign w:val="bottom"/>
          </w:tcPr>
          <w:p>
            <w:pPr>
              <w:spacing w:after="0"/>
              <w:rPr>
                <w:sz w:val="11"/>
                <w:szCs w:val="11"/>
                <w:color w:val="auto"/>
              </w:rPr>
            </w:pPr>
          </w:p>
        </w:tc>
        <w:tc>
          <w:tcPr>
            <w:tcW w:w="62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12/26/2019</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2,550</w:t>
            </w:r>
          </w:p>
        </w:tc>
        <w:tc>
          <w:tcPr>
            <w:tcW w:w="40" w:type="dxa"/>
            <w:vAlign w:val="bottom"/>
          </w:tcPr>
          <w:p>
            <w:pPr>
              <w:spacing w:after="0"/>
              <w:rPr>
                <w:sz w:val="12"/>
                <w:szCs w:val="12"/>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915</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-530860</wp:posOffset>
            </wp:positionV>
            <wp:extent cx="6920865"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0865" cy="94615"/>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-342265</wp:posOffset>
            </wp:positionV>
            <wp:extent cx="6920865"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-170815</wp:posOffset>
            </wp:positionV>
            <wp:extent cx="6920865"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0865" cy="857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80" w:space="280"/>
            <w:col w:w="8100"/>
          </w:cols>
          <w:pgMar w:left="240" w:top="459" w:right="499" w:bottom="1440" w:gutter="0" w:footer="0" w:header="0"/>
          <w:type w:val="continuous"/>
        </w:sectPr>
      </w:pPr>
    </w:p>
    <w:tbl>
      <w:tblPr>
        <w:tblLayout w:type="fixed"/>
        <w:tblInd w:w="2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7,977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5,403</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w:t>
            </w:r>
          </w:p>
        </w:tc>
      </w:tr>
      <w:tr>
        <w:trPr>
          <w:trHeight w:val="135"/>
        </w:trPr>
        <w:tc>
          <w:tcPr>
            <w:tcW w:w="20" w:type="dxa"/>
            <w:vAlign w:val="bottom"/>
          </w:tcPr>
          <w:p>
            <w:pPr>
              <w:spacing w:after="0"/>
              <w:rPr>
                <w:sz w:val="11"/>
                <w:szCs w:val="11"/>
                <w:color w:val="auto"/>
              </w:rPr>
            </w:pPr>
          </w:p>
        </w:tc>
        <w:tc>
          <w:tcPr>
            <w:tcW w:w="27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US GreenFiber, LLC</w:t>
            </w:r>
          </w:p>
        </w:tc>
        <w:tc>
          <w:tcPr>
            <w:tcW w:w="4240" w:type="dxa"/>
            <w:vAlign w:val="bottom"/>
          </w:tcPr>
          <w:p>
            <w:pPr>
              <w:ind w:left="80"/>
              <w:spacing w:after="0" w:line="135" w:lineRule="exact"/>
              <w:rPr>
                <w:sz w:val="20"/>
                <w:szCs w:val="20"/>
                <w:color w:val="auto"/>
              </w:rPr>
            </w:pPr>
            <w:r>
              <w:rPr>
                <w:rFonts w:ascii="Arial" w:cs="Arial" w:eastAsia="Arial" w:hAnsi="Arial"/>
                <w:sz w:val="13"/>
                <w:szCs w:val="13"/>
                <w:color w:val="auto"/>
              </w:rPr>
              <w:t>Building Products Manufacturing</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4240" w:type="dxa"/>
            <w:vAlign w:val="bottom"/>
            <w:shd w:val="clear" w:color="auto" w:fill="CCEEFF"/>
          </w:tcPr>
          <w:p>
            <w:pPr>
              <w:ind w:left="3400"/>
              <w:spacing w:after="0" w:line="135" w:lineRule="exact"/>
              <w:rPr>
                <w:sz w:val="20"/>
                <w:szCs w:val="20"/>
                <w:color w:val="auto"/>
              </w:rPr>
            </w:pPr>
            <w:r>
              <w:rPr>
                <w:rFonts w:ascii="Arial" w:cs="Arial" w:eastAsia="Arial" w:hAnsi="Arial"/>
                <w:sz w:val="13"/>
                <w:szCs w:val="13"/>
                <w:color w:val="auto"/>
              </w:rPr>
              <w:t>7.00%/6.00%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7/3/2014</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8/30/2024</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14,498</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85"/>
              </w:rPr>
              <w:t>14,494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11,757</w:t>
            </w:r>
          </w:p>
        </w:tc>
        <w:tc>
          <w:tcPr>
            <w:tcW w:w="54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4240" w:type="dxa"/>
            <w:vAlign w:val="bottom"/>
          </w:tcPr>
          <w:p>
            <w:pPr>
              <w:ind w:left="3400"/>
              <w:spacing w:after="0" w:line="135" w:lineRule="exact"/>
              <w:rPr>
                <w:sz w:val="20"/>
                <w:szCs w:val="20"/>
                <w:color w:val="auto"/>
              </w:rPr>
            </w:pPr>
            <w:r>
              <w:rPr>
                <w:rFonts w:ascii="Arial" w:cs="Arial" w:eastAsia="Arial" w:hAnsi="Arial"/>
                <w:sz w:val="13"/>
                <w:szCs w:val="13"/>
                <w:color w:val="auto"/>
              </w:rPr>
              <w:t>7.50%/7.50%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11/9/2018</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8/30/2024</w:t>
            </w:r>
          </w:p>
        </w:tc>
        <w:tc>
          <w:tcPr>
            <w:tcW w:w="6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4,660</w:t>
            </w: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4,660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4,660</w:t>
            </w:r>
          </w:p>
        </w:tc>
        <w:tc>
          <w:tcPr>
            <w:tcW w:w="5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(2,522 units) (h)(j)</w:t>
            </w:r>
          </w:p>
        </w:tc>
        <w:tc>
          <w:tcPr>
            <w:tcW w:w="42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7/3/2014</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586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27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(425,508 units) (j)</w:t>
            </w:r>
          </w:p>
        </w:tc>
        <w:tc>
          <w:tcPr>
            <w:tcW w:w="4240" w:type="dxa"/>
            <w:vAlign w:val="bottom"/>
          </w:tcPr>
          <w:p>
            <w:pPr>
              <w:spacing w:after="0"/>
              <w:rPr>
                <w:sz w:val="12"/>
                <w:szCs w:val="12"/>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8/30/2019</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4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85"/>
              </w:rPr>
              <w:t>19,741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16,417</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42"/>
        </w:trPr>
        <w:tc>
          <w:tcPr>
            <w:tcW w:w="27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Control Investments</w:t>
            </w: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27,718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21,820</w:t>
            </w:r>
          </w:p>
        </w:tc>
        <w:tc>
          <w:tcPr>
            <w:tcW w:w="2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5%</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60" w:type="dxa"/>
            <w:vAlign w:val="bottom"/>
            <w:tcBorders>
              <w:bottom w:val="single" w:sz="8" w:color="auto"/>
            </w:tcBorders>
            <w:shd w:val="clear" w:color="auto" w:fill="CCEEFF"/>
          </w:tcPr>
          <w:p>
            <w:pPr>
              <w:spacing w:after="0" w:line="116" w:lineRule="exact"/>
              <w:rPr>
                <w:sz w:val="20"/>
                <w:szCs w:val="20"/>
                <w:color w:val="auto"/>
              </w:rPr>
            </w:pPr>
            <w:r>
              <w:rPr>
                <w:rFonts w:ascii="Arial" w:cs="Arial" w:eastAsia="Arial" w:hAnsi="Arial"/>
                <w:sz w:val="13"/>
                <w:szCs w:val="13"/>
                <w:b w:val="1"/>
                <w:bCs w:val="1"/>
                <w:color w:val="auto"/>
                <w:w w:val="86"/>
              </w:rPr>
              <w:t>Affiliate Investments (l)</w:t>
            </w:r>
          </w:p>
        </w:tc>
        <w:tc>
          <w:tcPr>
            <w:tcW w:w="1440" w:type="dxa"/>
            <w:vAlign w:val="bottom"/>
            <w:tcBorders>
              <w:bottom w:val="single" w:sz="8" w:color="CCEEFF"/>
            </w:tcBorders>
            <w:shd w:val="clear" w:color="auto" w:fill="CCEEFF"/>
          </w:tcPr>
          <w:p>
            <w:pPr>
              <w:spacing w:after="0"/>
              <w:rPr>
                <w:sz w:val="10"/>
                <w:szCs w:val="10"/>
                <w:color w:val="auto"/>
              </w:rPr>
            </w:pPr>
          </w:p>
        </w:tc>
        <w:tc>
          <w:tcPr>
            <w:tcW w:w="4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r>
      <w:tr>
        <w:trPr>
          <w:trHeight w:val="129"/>
        </w:trPr>
        <w:tc>
          <w:tcPr>
            <w:tcW w:w="20" w:type="dxa"/>
            <w:vAlign w:val="bottom"/>
          </w:tcPr>
          <w:p>
            <w:pPr>
              <w:spacing w:after="0"/>
              <w:rPr>
                <w:sz w:val="11"/>
                <w:szCs w:val="11"/>
                <w:color w:val="auto"/>
              </w:rPr>
            </w:pPr>
          </w:p>
        </w:tc>
        <w:tc>
          <w:tcPr>
            <w:tcW w:w="2700" w:type="dxa"/>
            <w:vAlign w:val="bottom"/>
            <w:gridSpan w:val="2"/>
          </w:tcPr>
          <w:p>
            <w:pPr>
              <w:spacing w:after="0" w:line="129" w:lineRule="exact"/>
              <w:rPr>
                <w:sz w:val="20"/>
                <w:szCs w:val="20"/>
                <w:color w:val="auto"/>
              </w:rPr>
            </w:pPr>
            <w:r>
              <w:rPr>
                <w:rFonts w:ascii="Arial" w:cs="Arial" w:eastAsia="Arial" w:hAnsi="Arial"/>
                <w:sz w:val="13"/>
                <w:szCs w:val="13"/>
                <w:i w:val="1"/>
                <w:iCs w:val="1"/>
                <w:color w:val="auto"/>
              </w:rPr>
              <w:t>FAR Research Inc. (n)</w:t>
            </w:r>
          </w:p>
        </w:tc>
        <w:tc>
          <w:tcPr>
            <w:tcW w:w="4240" w:type="dxa"/>
            <w:vAlign w:val="bottom"/>
          </w:tcPr>
          <w:p>
            <w:pPr>
              <w:ind w:left="80"/>
              <w:spacing w:after="0" w:line="129" w:lineRule="exact"/>
              <w:rPr>
                <w:sz w:val="20"/>
                <w:szCs w:val="20"/>
                <w:color w:val="auto"/>
              </w:rPr>
            </w:pPr>
            <w:r>
              <w:rPr>
                <w:rFonts w:ascii="Arial" w:cs="Arial" w:eastAsia="Arial" w:hAnsi="Arial"/>
                <w:sz w:val="13"/>
                <w:szCs w:val="13"/>
                <w:color w:val="auto"/>
              </w:rPr>
              <w:t>Specialty Chemicals</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(1,396 units)</w:t>
            </w:r>
          </w:p>
        </w:tc>
        <w:tc>
          <w:tcPr>
            <w:tcW w:w="42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3/31/2014</w:t>
            </w:r>
          </w:p>
        </w:tc>
        <w:tc>
          <w:tcPr>
            <w:tcW w:w="7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70"/>
        </w:trPr>
        <w:tc>
          <w:tcPr>
            <w:tcW w:w="2720" w:type="dxa"/>
            <w:vAlign w:val="bottom"/>
            <w:gridSpan w:val="3"/>
          </w:tcPr>
          <w:p>
            <w:pPr>
              <w:spacing w:after="0"/>
              <w:rPr>
                <w:sz w:val="20"/>
                <w:szCs w:val="20"/>
                <w:color w:val="auto"/>
              </w:rPr>
            </w:pPr>
            <w:r>
              <w:rPr>
                <w:rFonts w:ascii="Arial" w:cs="Arial" w:eastAsia="Arial" w:hAnsi="Arial"/>
                <w:sz w:val="13"/>
                <w:szCs w:val="13"/>
                <w:i w:val="1"/>
                <w:iCs w:val="1"/>
                <w:color w:val="auto"/>
              </w:rPr>
              <w:t>Fiber Materials, Inc.</w:t>
            </w:r>
          </w:p>
        </w:tc>
        <w:tc>
          <w:tcPr>
            <w:tcW w:w="4240" w:type="dxa"/>
            <w:vAlign w:val="bottom"/>
          </w:tcPr>
          <w:p>
            <w:pPr>
              <w:ind w:left="80"/>
              <w:spacing w:after="0"/>
              <w:rPr>
                <w:sz w:val="20"/>
                <w:szCs w:val="20"/>
                <w:color w:val="auto"/>
              </w:rPr>
            </w:pPr>
            <w:r>
              <w:rPr>
                <w:rFonts w:ascii="Arial" w:cs="Arial" w:eastAsia="Arial" w:hAnsi="Arial"/>
                <w:sz w:val="13"/>
                <w:szCs w:val="13"/>
                <w:color w:val="auto"/>
              </w:rPr>
              <w:t>Aerospace &amp; Defense Manufacturing</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 units)</w:t>
            </w:r>
          </w:p>
        </w:tc>
        <w:tc>
          <w:tcPr>
            <w:tcW w:w="42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11/30/2016</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645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10,449</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270"/>
        </w:trPr>
        <w:tc>
          <w:tcPr>
            <w:tcW w:w="2720" w:type="dxa"/>
            <w:vAlign w:val="bottom"/>
            <w:gridSpan w:val="3"/>
          </w:tcPr>
          <w:p>
            <w:pPr>
              <w:spacing w:after="0"/>
              <w:rPr>
                <w:sz w:val="20"/>
                <w:szCs w:val="20"/>
                <w:color w:val="auto"/>
              </w:rPr>
            </w:pPr>
            <w:r>
              <w:rPr>
                <w:rFonts w:ascii="Arial" w:cs="Arial" w:eastAsia="Arial" w:hAnsi="Arial"/>
                <w:sz w:val="13"/>
                <w:szCs w:val="13"/>
                <w:i w:val="1"/>
                <w:iCs w:val="1"/>
                <w:color w:val="auto"/>
              </w:rPr>
              <w:t>Medsurant Holdings, LLC</w:t>
            </w:r>
          </w:p>
        </w:tc>
        <w:tc>
          <w:tcPr>
            <w:tcW w:w="4240" w:type="dxa"/>
            <w:vAlign w:val="bottom"/>
          </w:tcPr>
          <w:p>
            <w:pPr>
              <w:ind w:left="80"/>
              <w:spacing w:after="0"/>
              <w:rPr>
                <w:sz w:val="20"/>
                <w:szCs w:val="20"/>
                <w:color w:val="auto"/>
              </w:rPr>
            </w:pPr>
            <w:r>
              <w:rPr>
                <w:rFonts w:ascii="Arial" w:cs="Arial" w:eastAsia="Arial" w:hAnsi="Arial"/>
                <w:sz w:val="13"/>
                <w:szCs w:val="13"/>
                <w:color w:val="auto"/>
              </w:rPr>
              <w:t>Healthcare Services</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4240" w:type="dxa"/>
            <w:vAlign w:val="bottom"/>
            <w:shd w:val="clear" w:color="auto" w:fill="CCEEFF"/>
          </w:tcPr>
          <w:p>
            <w:pPr>
              <w:ind w:left="3400"/>
              <w:spacing w:after="0" w:line="135" w:lineRule="exact"/>
              <w:rPr>
                <w:sz w:val="20"/>
                <w:szCs w:val="20"/>
                <w:color w:val="auto"/>
              </w:rPr>
            </w:pPr>
            <w:r>
              <w:rPr>
                <w:rFonts w:ascii="Arial" w:cs="Arial" w:eastAsia="Arial" w:hAnsi="Arial"/>
                <w:sz w:val="13"/>
                <w:szCs w:val="13"/>
                <w:color w:val="auto"/>
                <w:w w:val="96"/>
              </w:rPr>
              <w:t>13.00%/0.00%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12/18/2015</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6/30/2020</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8,823</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8,814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8,823</w:t>
            </w:r>
          </w:p>
        </w:tc>
        <w:tc>
          <w:tcPr>
            <w:tcW w:w="54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(126,662 units) (h)</w:t>
            </w:r>
          </w:p>
        </w:tc>
        <w:tc>
          <w:tcPr>
            <w:tcW w:w="424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4/12/2011</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1,346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1,780</w:t>
            </w:r>
          </w:p>
        </w:tc>
        <w:tc>
          <w:tcPr>
            <w:tcW w:w="5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(505,176 units) (h)(m)</w:t>
            </w:r>
          </w:p>
        </w:tc>
        <w:tc>
          <w:tcPr>
            <w:tcW w:w="42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4/12/2011</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4,516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6,377</w:t>
            </w:r>
          </w:p>
        </w:tc>
        <w:tc>
          <w:tcPr>
            <w:tcW w:w="54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14,676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16,980</w:t>
            </w:r>
          </w:p>
        </w:tc>
        <w:tc>
          <w:tcPr>
            <w:tcW w:w="2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4%</w:t>
            </w: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Microbiology Research Associates, Inc.</w:t>
            </w:r>
          </w:p>
        </w:tc>
        <w:tc>
          <w:tcPr>
            <w:tcW w:w="42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Healthcare Services</w:t>
            </w: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4240" w:type="dxa"/>
            <w:vAlign w:val="bottom"/>
          </w:tcPr>
          <w:p>
            <w:pPr>
              <w:ind w:left="3400"/>
              <w:spacing w:after="0" w:line="135" w:lineRule="exact"/>
              <w:rPr>
                <w:sz w:val="20"/>
                <w:szCs w:val="20"/>
                <w:color w:val="auto"/>
              </w:rPr>
            </w:pPr>
            <w:r>
              <w:rPr>
                <w:rFonts w:ascii="Arial" w:cs="Arial" w:eastAsia="Arial" w:hAnsi="Arial"/>
                <w:sz w:val="13"/>
                <w:szCs w:val="13"/>
                <w:color w:val="auto"/>
                <w:w w:val="96"/>
              </w:rPr>
              <w:t>11.00%/1.50%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5/13/2015</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3/13/2022</w:t>
            </w:r>
          </w:p>
        </w:tc>
        <w:tc>
          <w:tcPr>
            <w:tcW w:w="6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8,930</w:t>
            </w: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8,921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8,930</w:t>
            </w:r>
          </w:p>
        </w:tc>
        <w:tc>
          <w:tcPr>
            <w:tcW w:w="5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(1,625,731 units) (j)</w:t>
            </w:r>
          </w:p>
        </w:tc>
        <w:tc>
          <w:tcPr>
            <w:tcW w:w="42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5/13/2015</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1,939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2,681</w:t>
            </w:r>
          </w:p>
        </w:tc>
        <w:tc>
          <w:tcPr>
            <w:tcW w:w="54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10,860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11,611</w:t>
            </w:r>
          </w:p>
        </w:tc>
        <w:tc>
          <w:tcPr>
            <w:tcW w:w="2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3%</w:t>
            </w: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42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Utility Equipment Manufacturing</w:t>
            </w: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4240" w:type="dxa"/>
            <w:vAlign w:val="bottom"/>
          </w:tcPr>
          <w:p>
            <w:pPr>
              <w:ind w:left="2180"/>
              <w:spacing w:after="0" w:line="135" w:lineRule="exact"/>
              <w:rPr>
                <w:sz w:val="20"/>
                <w:szCs w:val="20"/>
                <w:color w:val="auto"/>
              </w:rPr>
            </w:pPr>
            <w:r>
              <w:rPr>
                <w:rFonts w:ascii="Arial" w:cs="Arial" w:eastAsia="Arial" w:hAnsi="Arial"/>
                <w:sz w:val="13"/>
                <w:szCs w:val="13"/>
                <w:color w:val="auto"/>
                <w:w w:val="94"/>
              </w:rPr>
              <w:t>(L + 8.50%) / (1.00%)  10.20%/4.50%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11/25/2015</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11/25/2020</w:t>
            </w:r>
          </w:p>
        </w:tc>
        <w:tc>
          <w:tcPr>
            <w:tcW w:w="6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6,250</w:t>
            </w: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6,253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6,250</w:t>
            </w:r>
          </w:p>
        </w:tc>
        <w:tc>
          <w:tcPr>
            <w:tcW w:w="5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(2,500,000 shares) (o)</w:t>
            </w:r>
          </w:p>
        </w:tc>
        <w:tc>
          <w:tcPr>
            <w:tcW w:w="42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11/25/2015</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2,184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968</w:t>
            </w:r>
          </w:p>
        </w:tc>
        <w:tc>
          <w:tcPr>
            <w:tcW w:w="54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8,437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7,218</w:t>
            </w:r>
          </w:p>
        </w:tc>
        <w:tc>
          <w:tcPr>
            <w:tcW w:w="2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42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Healthcare Products</w:t>
            </w: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4240" w:type="dxa"/>
            <w:vAlign w:val="bottom"/>
          </w:tcPr>
          <w:p>
            <w:pPr>
              <w:ind w:left="3400"/>
              <w:spacing w:after="0" w:line="135" w:lineRule="exact"/>
              <w:rPr>
                <w:sz w:val="20"/>
                <w:szCs w:val="20"/>
                <w:color w:val="auto"/>
              </w:rPr>
            </w:pPr>
            <w:r>
              <w:rPr>
                <w:rFonts w:ascii="Arial" w:cs="Arial" w:eastAsia="Arial" w:hAnsi="Arial"/>
                <w:sz w:val="13"/>
                <w:szCs w:val="13"/>
                <w:color w:val="auto"/>
                <w:w w:val="96"/>
              </w:rPr>
              <w:t>10.50%/0.00%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3/29/2013</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9/29/2022</w:t>
            </w:r>
          </w:p>
        </w:tc>
        <w:tc>
          <w:tcPr>
            <w:tcW w:w="6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6,208</w:t>
            </w: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6,201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6,208</w:t>
            </w:r>
          </w:p>
        </w:tc>
        <w:tc>
          <w:tcPr>
            <w:tcW w:w="5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(8,500 units) (j)</w:t>
            </w:r>
          </w:p>
        </w:tc>
        <w:tc>
          <w:tcPr>
            <w:tcW w:w="42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3/29/2013</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850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26,614</w:t>
            </w:r>
          </w:p>
        </w:tc>
        <w:tc>
          <w:tcPr>
            <w:tcW w:w="54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7,051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32,822</w:t>
            </w:r>
          </w:p>
        </w:tc>
        <w:tc>
          <w:tcPr>
            <w:tcW w:w="2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8%</w:t>
            </w: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Pinnergy, Ltd.</w:t>
            </w:r>
          </w:p>
        </w:tc>
        <w:tc>
          <w:tcPr>
            <w:tcW w:w="42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Oil &amp; Gas Services</w:t>
            </w: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tcPr>
          <w:p>
            <w:pPr>
              <w:ind w:left="240"/>
              <w:spacing w:after="0" w:line="135" w:lineRule="exact"/>
              <w:rPr>
                <w:sz w:val="20"/>
                <w:szCs w:val="20"/>
                <w:color w:val="auto"/>
              </w:rPr>
            </w:pPr>
            <w:r>
              <w:rPr>
                <w:rFonts w:ascii="Arial" w:cs="Arial" w:eastAsia="Arial" w:hAnsi="Arial"/>
                <w:sz w:val="13"/>
                <w:szCs w:val="13"/>
                <w:color w:val="auto"/>
                <w:w w:val="93"/>
              </w:rPr>
              <w:t>Common Equity - Class A-2 (42,500 units) (k)</w:t>
            </w:r>
          </w:p>
        </w:tc>
        <w:tc>
          <w:tcPr>
            <w:tcW w:w="424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10/13/2016</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29,831</w:t>
            </w:r>
          </w:p>
        </w:tc>
        <w:tc>
          <w:tcPr>
            <w:tcW w:w="5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 Class B (1,000 units) (k)</w:t>
            </w:r>
          </w:p>
        </w:tc>
        <w:tc>
          <w:tcPr>
            <w:tcW w:w="42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10/13/2016</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3,147</w:t>
            </w:r>
          </w:p>
        </w:tc>
        <w:tc>
          <w:tcPr>
            <w:tcW w:w="54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32,978</w:t>
            </w:r>
          </w:p>
        </w:tc>
        <w:tc>
          <w:tcPr>
            <w:tcW w:w="2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8%</w:t>
            </w:r>
          </w:p>
        </w:tc>
      </w:tr>
      <w:tr>
        <w:trPr>
          <w:trHeight w:val="121"/>
        </w:trPr>
        <w:tc>
          <w:tcPr>
            <w:tcW w:w="20" w:type="dxa"/>
            <w:vAlign w:val="bottom"/>
          </w:tcPr>
          <w:p>
            <w:pPr>
              <w:spacing w:after="0"/>
              <w:rPr>
                <w:sz w:val="10"/>
                <w:szCs w:val="10"/>
                <w:color w:val="auto"/>
              </w:rPr>
            </w:pPr>
          </w:p>
        </w:tc>
        <w:tc>
          <w:tcPr>
            <w:tcW w:w="27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Steward Holding LLC (dba Steward Advanced</w:t>
            </w:r>
          </w:p>
        </w:tc>
        <w:tc>
          <w:tcPr>
            <w:tcW w:w="4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700" w:type="dxa"/>
            <w:vAlign w:val="bottom"/>
            <w:gridSpan w:val="2"/>
            <w:shd w:val="clear" w:color="auto" w:fill="CCEEFF"/>
          </w:tcPr>
          <w:p>
            <w:pPr>
              <w:ind w:left="120"/>
              <w:spacing w:after="0"/>
              <w:rPr>
                <w:sz w:val="20"/>
                <w:szCs w:val="20"/>
                <w:color w:val="auto"/>
              </w:rPr>
            </w:pPr>
            <w:r>
              <w:rPr>
                <w:rFonts w:ascii="Arial" w:cs="Arial" w:eastAsia="Arial" w:hAnsi="Arial"/>
                <w:sz w:val="13"/>
                <w:szCs w:val="13"/>
                <w:i w:val="1"/>
                <w:iCs w:val="1"/>
                <w:color w:val="auto"/>
              </w:rPr>
              <w:t>Materials)</w:t>
            </w:r>
          </w:p>
        </w:tc>
        <w:tc>
          <w:tcPr>
            <w:tcW w:w="4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Aerospace &amp; Defense Manufacturing</w:t>
            </w: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4240" w:type="dxa"/>
            <w:vAlign w:val="bottom"/>
          </w:tcPr>
          <w:p>
            <w:pPr>
              <w:ind w:left="3400"/>
              <w:spacing w:after="0" w:line="135" w:lineRule="exact"/>
              <w:rPr>
                <w:sz w:val="20"/>
                <w:szCs w:val="20"/>
                <w:color w:val="auto"/>
              </w:rPr>
            </w:pPr>
            <w:r>
              <w:rPr>
                <w:rFonts w:ascii="Arial" w:cs="Arial" w:eastAsia="Arial" w:hAnsi="Arial"/>
                <w:sz w:val="13"/>
                <w:szCs w:val="13"/>
                <w:color w:val="auto"/>
                <w:w w:val="96"/>
              </w:rPr>
              <w:t>12.00%/1.50%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11/12/2015</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5/12/2021</w:t>
            </w:r>
          </w:p>
        </w:tc>
        <w:tc>
          <w:tcPr>
            <w:tcW w:w="6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7,667</w:t>
            </w: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7,659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7,667</w:t>
            </w:r>
          </w:p>
        </w:tc>
        <w:tc>
          <w:tcPr>
            <w:tcW w:w="5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42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11/12/2015</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1,802</w:t>
            </w:r>
          </w:p>
        </w:tc>
        <w:tc>
          <w:tcPr>
            <w:tcW w:w="54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8,659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9,469</w:t>
            </w:r>
          </w:p>
        </w:tc>
        <w:tc>
          <w:tcPr>
            <w:tcW w:w="2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2%</w:t>
            </w:r>
          </w:p>
        </w:tc>
      </w:tr>
      <w:tr>
        <w:trPr>
          <w:trHeight w:val="135"/>
        </w:trPr>
        <w:tc>
          <w:tcPr>
            <w:tcW w:w="20" w:type="dxa"/>
            <w:vAlign w:val="bottom"/>
          </w:tcPr>
          <w:p>
            <w:pPr>
              <w:spacing w:after="0"/>
              <w:rPr>
                <w:sz w:val="11"/>
                <w:szCs w:val="11"/>
                <w:color w:val="auto"/>
              </w:rPr>
            </w:pPr>
          </w:p>
        </w:tc>
        <w:tc>
          <w:tcPr>
            <w:tcW w:w="27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4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85"/>
              </w:rPr>
              <w:t>56,328</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9"/>
              </w:rPr>
              <w:t>121,555</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60"/>
          </w:cols>
          <w:pgMar w:left="240" w:top="459" w:right="49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860" w:type="dxa"/>
            <w:vAlign w:val="bottom"/>
            <w:gridSpan w:val="4"/>
          </w:tcPr>
          <w:p>
            <w:pPr>
              <w:spacing w:after="0"/>
              <w:rPr>
                <w:sz w:val="20"/>
                <w:szCs w:val="20"/>
                <w:color w:val="auto"/>
              </w:rPr>
            </w:pPr>
            <w:r>
              <w:rPr>
                <w:rFonts w:ascii="Arial" w:cs="Arial" w:eastAsia="Arial" w:hAnsi="Arial"/>
                <w:sz w:val="13"/>
                <w:szCs w:val="13"/>
                <w:b w:val="1"/>
                <w:bCs w:val="1"/>
                <w:color w:val="auto"/>
              </w:rPr>
              <w:t>Portfolio Company (a)(b)</w:t>
            </w:r>
          </w:p>
        </w:tc>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Variable Index</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Rate (e)</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7"/>
              </w:rPr>
              <w:t>Principal</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Fair</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56"/>
        </w:trPr>
        <w:tc>
          <w:tcPr>
            <w:tcW w:w="2860" w:type="dxa"/>
            <w:vAlign w:val="bottom"/>
            <w:gridSpan w:val="4"/>
          </w:tcPr>
          <w:p>
            <w:pPr>
              <w:spacing w:after="0"/>
              <w:rPr>
                <w:sz w:val="20"/>
                <w:szCs w:val="20"/>
                <w:color w:val="auto"/>
              </w:rPr>
            </w:pPr>
            <w:r>
              <w:rPr>
                <w:rFonts w:ascii="Arial" w:cs="Arial" w:eastAsia="Arial" w:hAnsi="Arial"/>
                <w:sz w:val="13"/>
                <w:szCs w:val="13"/>
                <w:b w:val="1"/>
                <w:bCs w:val="1"/>
                <w:color w:val="auto"/>
              </w:rPr>
              <w:t>Investment Type (c)</w:t>
            </w:r>
          </w:p>
        </w:tc>
        <w:tc>
          <w:tcPr>
            <w:tcW w:w="1940" w:type="dxa"/>
            <w:vAlign w:val="bottom"/>
            <w:gridSpan w:val="2"/>
          </w:tcPr>
          <w:p>
            <w:pPr>
              <w:ind w:left="700"/>
              <w:spacing w:after="0"/>
              <w:rPr>
                <w:sz w:val="20"/>
                <w:szCs w:val="20"/>
                <w:color w:val="auto"/>
              </w:rPr>
            </w:pPr>
            <w:r>
              <w:rPr>
                <w:rFonts w:ascii="Arial" w:cs="Arial" w:eastAsia="Arial" w:hAnsi="Arial"/>
                <w:sz w:val="13"/>
                <w:szCs w:val="13"/>
                <w:b w:val="1"/>
                <w:bCs w:val="1"/>
                <w:color w:val="auto"/>
              </w:rPr>
              <w:t>Industry</w:t>
            </w:r>
          </w:p>
        </w:tc>
        <w:tc>
          <w:tcPr>
            <w:tcW w:w="1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Spread /Floor (d)</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Cash/PIK</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Date (f)</w:t>
            </w: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3"/>
              </w:rPr>
              <w:t>Amount</w:t>
            </w:r>
          </w:p>
        </w:tc>
        <w:tc>
          <w:tcPr>
            <w:tcW w:w="500" w:type="dxa"/>
            <w:vAlign w:val="bottom"/>
            <w:gridSpan w:val="2"/>
          </w:tcPr>
          <w:p>
            <w:pPr>
              <w:ind w:left="10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Value (g)</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18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84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Non-control/Non-affiliate Investments</w:t>
            </w:r>
          </w:p>
        </w:tc>
        <w:tc>
          <w:tcPr>
            <w:tcW w:w="1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i w:val="1"/>
                <w:iCs w:val="1"/>
                <w:color w:val="auto"/>
              </w:rPr>
              <w:t>Accent Food Services, LLC</w:t>
            </w:r>
          </w:p>
        </w:tc>
        <w:tc>
          <w:tcPr>
            <w:tcW w:w="820" w:type="dxa"/>
            <w:vAlign w:val="bottom"/>
            <w:shd w:val="clear" w:color="auto" w:fill="CCEEFF"/>
          </w:tcPr>
          <w:p>
            <w:pPr>
              <w:spacing w:after="0"/>
              <w:rPr>
                <w:sz w:val="11"/>
                <w:szCs w:val="11"/>
                <w:color w:val="auto"/>
              </w:rPr>
            </w:pPr>
          </w:p>
        </w:tc>
        <w:tc>
          <w:tcPr>
            <w:tcW w:w="19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6"/>
              </w:rPr>
              <w:t>Vending Equipment Manufacturing</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(k)(p)</w:t>
            </w:r>
          </w:p>
        </w:tc>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10.00%/5.00%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11/30/2016</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5/30/2022</w:t>
            </w:r>
          </w:p>
        </w:tc>
        <w:tc>
          <w:tcPr>
            <w:tcW w:w="6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w w:val="95"/>
              </w:rPr>
              <w:t>$  33,842</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w w:val="82"/>
              </w:rPr>
              <w:t>$ 33,760</w:t>
            </w:r>
          </w:p>
        </w:tc>
        <w:tc>
          <w:tcPr>
            <w:tcW w:w="6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$ 31,626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(j)(p)</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0.00%/17.00%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6/28/2019</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5/30/2022</w:t>
            </w:r>
          </w:p>
        </w:tc>
        <w:tc>
          <w:tcPr>
            <w:tcW w:w="6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1,567</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1,567</w:t>
            </w: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1,441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(7,885 units) (h)(j)</w:t>
            </w: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11/30/2016</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227</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36,127</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33,294</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Allied 100 Group, Inc.</w:t>
            </w:r>
          </w:p>
        </w:tc>
        <w:tc>
          <w:tcPr>
            <w:tcW w:w="1940" w:type="dxa"/>
            <w:vAlign w:val="bottom"/>
            <w:gridSpan w:val="2"/>
          </w:tcPr>
          <w:p>
            <w:pPr>
              <w:spacing w:after="0" w:line="135" w:lineRule="exact"/>
              <w:rPr>
                <w:sz w:val="20"/>
                <w:szCs w:val="20"/>
                <w:color w:val="auto"/>
              </w:rPr>
            </w:pPr>
            <w:r>
              <w:rPr>
                <w:rFonts w:ascii="Arial" w:cs="Arial" w:eastAsia="Arial" w:hAnsi="Arial"/>
                <w:sz w:val="13"/>
                <w:szCs w:val="13"/>
                <w:color w:val="auto"/>
              </w:rPr>
              <w:t>Healthcare Products</w:t>
            </w: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11.25%/0.00%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7/31/2019</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5/26/2023</w:t>
            </w:r>
          </w:p>
        </w:tc>
        <w:tc>
          <w:tcPr>
            <w:tcW w:w="6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21,500</w:t>
            </w: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21,405</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21,405</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(1,250,000 units) (j)</w:t>
            </w: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11/26/2014</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1,465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22,655</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22,870</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w w:val="97"/>
              </w:rPr>
              <w:t>Alzheimer’s Research and Treatment Center, LLC</w:t>
            </w:r>
          </w:p>
        </w:tc>
        <w:tc>
          <w:tcPr>
            <w:tcW w:w="1940" w:type="dxa"/>
            <w:vAlign w:val="bottom"/>
            <w:gridSpan w:val="2"/>
          </w:tcPr>
          <w:p>
            <w:pPr>
              <w:spacing w:after="0" w:line="135" w:lineRule="exact"/>
              <w:rPr>
                <w:sz w:val="20"/>
                <w:szCs w:val="20"/>
                <w:color w:val="auto"/>
              </w:rPr>
            </w:pPr>
            <w:r>
              <w:rPr>
                <w:rFonts w:ascii="Arial" w:cs="Arial" w:eastAsia="Arial" w:hAnsi="Arial"/>
                <w:sz w:val="13"/>
                <w:szCs w:val="13"/>
                <w:color w:val="auto"/>
              </w:rPr>
              <w:t>Healthcare Services</w:t>
            </w: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(j)(w)</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6"/>
              </w:rPr>
              <w:t>(L + 5.75%) / (2.00%)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7.75%/0.00%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10/23/2018</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2"/>
              </w:rPr>
              <w:t>10/23/2023</w:t>
            </w:r>
          </w:p>
        </w:tc>
        <w:tc>
          <w:tcPr>
            <w:tcW w:w="6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6,500</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6,461</w:t>
            </w: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6,500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(1,000 units) (h)(j)</w:t>
            </w: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10/23/2018</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1,406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7,461</w:t>
            </w: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7,906</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40" w:type="dxa"/>
            <w:vAlign w:val="bottom"/>
            <w:gridSpan w:val="3"/>
          </w:tcPr>
          <w:p>
            <w:pPr>
              <w:spacing w:after="0" w:line="121" w:lineRule="exact"/>
              <w:rPr>
                <w:sz w:val="20"/>
                <w:szCs w:val="20"/>
                <w:color w:val="auto"/>
              </w:rPr>
            </w:pPr>
            <w:r>
              <w:rPr>
                <w:rFonts w:ascii="Arial" w:cs="Arial" w:eastAsia="Arial" w:hAnsi="Arial"/>
                <w:sz w:val="13"/>
                <w:szCs w:val="13"/>
                <w:i w:val="1"/>
                <w:iCs w:val="1"/>
                <w:color w:val="auto"/>
                <w:w w:val="93"/>
              </w:rPr>
              <w:t>American AllWaste LLC (dba WasteWater Transport</w:t>
            </w:r>
          </w:p>
        </w:tc>
        <w:tc>
          <w:tcPr>
            <w:tcW w:w="1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3"/>
          </w:tcPr>
          <w:p>
            <w:pPr>
              <w:ind w:left="120"/>
              <w:spacing w:after="0"/>
              <w:rPr>
                <w:sz w:val="20"/>
                <w:szCs w:val="20"/>
                <w:color w:val="auto"/>
              </w:rPr>
            </w:pPr>
            <w:r>
              <w:rPr>
                <w:rFonts w:ascii="Arial" w:cs="Arial" w:eastAsia="Arial" w:hAnsi="Arial"/>
                <w:sz w:val="13"/>
                <w:szCs w:val="13"/>
                <w:i w:val="1"/>
                <w:iCs w:val="1"/>
                <w:color w:val="auto"/>
              </w:rPr>
              <w:t>Services)</w:t>
            </w:r>
          </w:p>
        </w:tc>
        <w:tc>
          <w:tcPr>
            <w:tcW w:w="1940" w:type="dxa"/>
            <w:vAlign w:val="bottom"/>
            <w:gridSpan w:val="2"/>
          </w:tcPr>
          <w:p>
            <w:pPr>
              <w:spacing w:after="0"/>
              <w:rPr>
                <w:sz w:val="20"/>
                <w:szCs w:val="20"/>
                <w:color w:val="auto"/>
              </w:rPr>
            </w:pPr>
            <w:r>
              <w:rPr>
                <w:rFonts w:ascii="Arial" w:cs="Arial" w:eastAsia="Arial" w:hAnsi="Arial"/>
                <w:sz w:val="13"/>
                <w:szCs w:val="13"/>
                <w:color w:val="auto"/>
              </w:rPr>
              <w:t>Environmental Industries</w:t>
            </w: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1"/>
              </w:rPr>
              <w:t>(L + 11.00%) / (2.00%)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13.00%/0.00%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5/31/2018</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2"/>
              </w:rPr>
              <w:t>11/30/2023</w:t>
            </w:r>
          </w:p>
        </w:tc>
        <w:tc>
          <w:tcPr>
            <w:tcW w:w="6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17,503</w:t>
            </w: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17,411</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17,503</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(500 units) (h)(j)</w:t>
            </w:r>
          </w:p>
        </w:tc>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5/31/2018</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500</w:t>
            </w: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540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(207 units) (h)(j)</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8/6/2019</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250</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250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18,161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18,293</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Argo Turboserve Corporation</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gridSpan w:val="3"/>
          </w:tcPr>
          <w:p>
            <w:pPr>
              <w:ind w:left="240"/>
              <w:spacing w:after="0"/>
              <w:rPr>
                <w:sz w:val="20"/>
                <w:szCs w:val="20"/>
                <w:color w:val="auto"/>
              </w:rPr>
            </w:pPr>
            <w:r>
              <w:rPr>
                <w:rFonts w:ascii="Arial" w:cs="Arial" w:eastAsia="Arial" w:hAnsi="Arial"/>
                <w:sz w:val="13"/>
                <w:szCs w:val="13"/>
                <w:color w:val="auto"/>
              </w:rPr>
              <w:t>Second Lien Debt (j)</w:t>
            </w:r>
          </w:p>
        </w:tc>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(L + 9.75%) / (2.00%)</w:t>
            </w:r>
          </w:p>
        </w:tc>
        <w:tc>
          <w:tcPr>
            <w:tcW w:w="800" w:type="dxa"/>
            <w:vAlign w:val="bottom"/>
          </w:tcPr>
          <w:p>
            <w:pPr>
              <w:jc w:val="right"/>
              <w:spacing w:after="0"/>
              <w:rPr>
                <w:sz w:val="20"/>
                <w:szCs w:val="20"/>
                <w:color w:val="auto"/>
              </w:rPr>
            </w:pPr>
            <w:r>
              <w:rPr>
                <w:rFonts w:ascii="Arial" w:cs="Arial" w:eastAsia="Arial" w:hAnsi="Arial"/>
                <w:sz w:val="13"/>
                <w:szCs w:val="13"/>
                <w:color w:val="auto"/>
                <w:w w:val="92"/>
              </w:rPr>
              <w:t>11.84%/0.00%</w:t>
            </w: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12/26/2018</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6/28/2023</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14,156</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14,098</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14,156</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8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AVC Investors, LLC (dba Auveco)</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Specialty Distribution</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2"/>
              </w:rPr>
              <w:t>11.50%/0.00%</w:t>
            </w: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1/3/2018</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7/3/2023</w:t>
            </w:r>
          </w:p>
        </w:tc>
        <w:tc>
          <w:tcPr>
            <w:tcW w:w="6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22,500</w:t>
            </w:r>
          </w:p>
        </w:tc>
        <w:tc>
          <w:tcPr>
            <w:tcW w:w="5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22,427</w:t>
            </w: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22,500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(5,000 units) (j)</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1/3/2018</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490</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776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22,917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23,276</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B&amp;B Roadway and Security Solutions, LLC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Component Manufacturing</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10.50%/3.50%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2/27/2018</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8/27/2023</w:t>
            </w:r>
          </w:p>
        </w:tc>
        <w:tc>
          <w:tcPr>
            <w:tcW w:w="6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10,493</w:t>
            </w:r>
          </w:p>
        </w:tc>
        <w:tc>
          <w:tcPr>
            <w:tcW w:w="5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10,456</w:t>
            </w: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9,569</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(50,000 units) (h)(j)</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2/27/2018</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500</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10,956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9,769</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Bandon Fitness (Texas), Inc.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Retail</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(j)(z)</w:t>
            </w:r>
          </w:p>
        </w:tc>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6"/>
              </w:rPr>
              <w:t>(L + 6.00%) / (2.25%)</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8.25%/0.00%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8/9/2019</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8/9/2024</w:t>
            </w:r>
          </w:p>
        </w:tc>
        <w:tc>
          <w:tcPr>
            <w:tcW w:w="6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13,250</w:t>
            </w:r>
          </w:p>
        </w:tc>
        <w:tc>
          <w:tcPr>
            <w:tcW w:w="5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12,785</w:t>
            </w: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12,785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(497,549 units) (j)</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8/9/2019</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849</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849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13,634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13,634</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BCC Group Holdings, Inc.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Information Technology Services</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2"/>
              </w:rPr>
              <w:t>11.00%/1.00%</w:t>
            </w: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1/28/2019</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4/11/2023</w:t>
            </w:r>
          </w:p>
        </w:tc>
        <w:tc>
          <w:tcPr>
            <w:tcW w:w="6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18,167</w:t>
            </w:r>
          </w:p>
        </w:tc>
        <w:tc>
          <w:tcPr>
            <w:tcW w:w="5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18,027</w:t>
            </w: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18,167</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(451 shares)</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1/28/2019</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232</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167</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(14 shares)</w:t>
            </w: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1/28/2019</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18,402</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18,477</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BCM One Group Holdings, Inc.</w:t>
            </w:r>
          </w:p>
        </w:tc>
        <w:tc>
          <w:tcPr>
            <w:tcW w:w="1940" w:type="dxa"/>
            <w:vAlign w:val="bottom"/>
            <w:gridSpan w:val="2"/>
          </w:tcPr>
          <w:p>
            <w:pPr>
              <w:spacing w:after="0" w:line="135" w:lineRule="exact"/>
              <w:rPr>
                <w:sz w:val="20"/>
                <w:szCs w:val="20"/>
                <w:color w:val="auto"/>
              </w:rPr>
            </w:pPr>
            <w:r>
              <w:rPr>
                <w:rFonts w:ascii="Arial" w:cs="Arial" w:eastAsia="Arial" w:hAnsi="Arial"/>
                <w:sz w:val="13"/>
                <w:szCs w:val="13"/>
                <w:color w:val="auto"/>
              </w:rPr>
              <w:t>Information Technology Services</w:t>
            </w: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11.00%/0.00%</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1/3/2019</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7/3/2024</w:t>
            </w:r>
          </w:p>
        </w:tc>
        <w:tc>
          <w:tcPr>
            <w:tcW w:w="6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27,000</w:t>
            </w: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26,888</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27,000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(2,286 shares)</w:t>
            </w:r>
          </w:p>
        </w:tc>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1/3/2019</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332</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(133 shares)</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1/3/2019</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1,330</w:t>
            </w: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1,330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28,220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28,662</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Bedford Precision Parts LLC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Specialty Distribution</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(j)(s)</w:t>
            </w:r>
          </w:p>
        </w:tc>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6"/>
              </w:rPr>
              <w:t>(L + 6.25%) / (2.00%)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8.25%/0.00%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3/12/2019</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3/12/2024</w:t>
            </w:r>
          </w:p>
        </w:tc>
        <w:tc>
          <w:tcPr>
            <w:tcW w:w="6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5,000</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4,969</w:t>
            </w:r>
          </w:p>
        </w:tc>
        <w:tc>
          <w:tcPr>
            <w:tcW w:w="60" w:type="dxa"/>
            <w:vAlign w:val="bottom"/>
          </w:tcPr>
          <w:p>
            <w:pPr>
              <w:spacing w:after="0"/>
              <w:rPr>
                <w:sz w:val="11"/>
                <w:szCs w:val="11"/>
                <w:color w:val="auto"/>
              </w:rPr>
            </w:pP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5,000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(500,000 units) (h)(j)</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3/12/2019</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500</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445</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5,469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5,445</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w w:val="91"/>
              </w:rPr>
              <w:t>Cardboard Box LLC (dba Anthony’s Coal Fired Pizza)</w:t>
            </w:r>
          </w:p>
        </w:tc>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Restaurants</w:t>
            </w: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(521,021 units) (j)</w:t>
            </w:r>
          </w:p>
        </w:tc>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12/15/2015</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521</w:t>
            </w: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113</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(99,889 units) (j)</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12/6/2019</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w:t>
            </w: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570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259</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ControlScan, Inc.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Information Technology Services</w:t>
            </w: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w w:val="92"/>
              </w:rPr>
              <w:t>11.00%/0.00%</w:t>
            </w: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7/28/2017</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1/28/2023</w:t>
            </w:r>
          </w:p>
        </w:tc>
        <w:tc>
          <w:tcPr>
            <w:tcW w:w="6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6,750</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6,731</w:t>
            </w:r>
          </w:p>
        </w:tc>
        <w:tc>
          <w:tcPr>
            <w:tcW w:w="60" w:type="dxa"/>
            <w:vAlign w:val="bottom"/>
          </w:tcPr>
          <w:p>
            <w:pPr>
              <w:spacing w:after="0"/>
              <w:rPr>
                <w:sz w:val="11"/>
                <w:szCs w:val="11"/>
                <w:color w:val="auto"/>
              </w:rPr>
            </w:pPr>
          </w:p>
        </w:tc>
        <w:tc>
          <w:tcPr>
            <w:tcW w:w="6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6,750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(3,704 shares) (j)</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7/28/2017</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624</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(100 shares) (j)</w:t>
            </w: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7/28/2017</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996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996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7,731</w:t>
            </w: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8,370</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CRS Solutions Holdings, LLC (dba CRS Texas)</w:t>
            </w:r>
          </w:p>
        </w:tc>
        <w:tc>
          <w:tcPr>
            <w:tcW w:w="1940" w:type="dxa"/>
            <w:vAlign w:val="bottom"/>
            <w:gridSpan w:val="2"/>
          </w:tcPr>
          <w:p>
            <w:pPr>
              <w:spacing w:after="0" w:line="135" w:lineRule="exact"/>
              <w:rPr>
                <w:sz w:val="20"/>
                <w:szCs w:val="20"/>
                <w:color w:val="auto"/>
              </w:rPr>
            </w:pPr>
            <w:r>
              <w:rPr>
                <w:rFonts w:ascii="Arial" w:cs="Arial" w:eastAsia="Arial" w:hAnsi="Arial"/>
                <w:sz w:val="13"/>
                <w:szCs w:val="13"/>
                <w:color w:val="auto"/>
              </w:rPr>
              <w:t>Business Services</w:t>
            </w: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10.50%/1.00%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3/14/2018</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9/14/2023</w:t>
            </w:r>
          </w:p>
        </w:tc>
        <w:tc>
          <w:tcPr>
            <w:tcW w:w="6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9,166</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9,136</w:t>
            </w: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9,166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(750,000 units) (h)(j)</w:t>
            </w: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3/14/2018</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822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9,886</w:t>
            </w: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9,988</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Diversified Search LLC</w:t>
            </w:r>
          </w:p>
        </w:tc>
        <w:tc>
          <w:tcPr>
            <w:tcW w:w="1940" w:type="dxa"/>
            <w:vAlign w:val="bottom"/>
            <w:gridSpan w:val="2"/>
          </w:tcPr>
          <w:p>
            <w:pPr>
              <w:spacing w:after="0" w:line="135" w:lineRule="exact"/>
              <w:rPr>
                <w:sz w:val="20"/>
                <w:szCs w:val="20"/>
                <w:color w:val="auto"/>
              </w:rPr>
            </w:pPr>
            <w:r>
              <w:rPr>
                <w:rFonts w:ascii="Arial" w:cs="Arial" w:eastAsia="Arial" w:hAnsi="Arial"/>
                <w:sz w:val="13"/>
                <w:szCs w:val="13"/>
                <w:color w:val="auto"/>
              </w:rPr>
              <w:t>Business Services</w:t>
            </w: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(k)(r)</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6"/>
              </w:rPr>
              <w:t>(L + 5.75%) / (1.75%)</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7.69%/0.00%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2/7/2019</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2/7/2024</w:t>
            </w:r>
          </w:p>
        </w:tc>
        <w:tc>
          <w:tcPr>
            <w:tcW w:w="6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15,155</w:t>
            </w: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14,939</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15,155</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(573 units) (h)(j)</w:t>
            </w: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2/7/2019</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593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724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15,532</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15,879</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EBL, LLC (EbLens)</w:t>
            </w:r>
          </w:p>
        </w:tc>
        <w:tc>
          <w:tcPr>
            <w:tcW w:w="1940" w:type="dxa"/>
            <w:vAlign w:val="bottom"/>
            <w:gridSpan w:val="2"/>
          </w:tcPr>
          <w:p>
            <w:pPr>
              <w:spacing w:after="0" w:line="135" w:lineRule="exact"/>
              <w:rPr>
                <w:sz w:val="20"/>
                <w:szCs w:val="20"/>
                <w:color w:val="auto"/>
              </w:rPr>
            </w:pPr>
            <w:r>
              <w:rPr>
                <w:rFonts w:ascii="Arial" w:cs="Arial" w:eastAsia="Arial" w:hAnsi="Arial"/>
                <w:sz w:val="13"/>
                <w:szCs w:val="13"/>
                <w:color w:val="auto"/>
              </w:rPr>
              <w:t>Retail</w:t>
            </w: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12.00%/1.00%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7/13/2017</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1/13/2023</w:t>
            </w:r>
          </w:p>
        </w:tc>
        <w:tc>
          <w:tcPr>
            <w:tcW w:w="6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9,484</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9,433</w:t>
            </w:r>
          </w:p>
        </w:tc>
        <w:tc>
          <w:tcPr>
            <w:tcW w:w="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9,484</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(75,000 units) (j)</w:t>
            </w: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7/13/2017</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669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10,183</w:t>
            </w:r>
          </w:p>
        </w:tc>
        <w:tc>
          <w:tcPr>
            <w:tcW w:w="6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10,153</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60"/>
          </w:cols>
          <w:pgMar w:left="24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60"/>
          </w:cols>
          <w:pgMar w:left="240" w:top="459" w:right="499" w:bottom="1440" w:gutter="0" w:footer="0" w:header="0"/>
        </w:sectPr>
      </w:pPr>
    </w:p>
    <w:p>
      <w:pPr>
        <w:spacing w:after="0" w:line="139"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Portfolio Company (a)(b)</w:t>
      </w:r>
    </w:p>
    <w:p>
      <w:pPr>
        <w:ind w:left="260"/>
        <w:spacing w:after="0"/>
        <w:rPr>
          <w:sz w:val="20"/>
          <w:szCs w:val="20"/>
          <w:color w:val="auto"/>
        </w:rPr>
      </w:pPr>
      <w:r>
        <w:rPr>
          <w:rFonts w:ascii="Arial" w:cs="Arial" w:eastAsia="Arial" w:hAnsi="Arial"/>
          <w:sz w:val="13"/>
          <w:szCs w:val="13"/>
          <w:b w:val="1"/>
          <w:bCs w:val="1"/>
          <w:u w:val="single" w:color="auto"/>
          <w:color w:val="auto"/>
        </w:rPr>
        <w:t>Investment Type (c)</w:t>
      </w:r>
    </w:p>
    <w:p>
      <w:pPr>
        <w:ind w:left="260"/>
        <w:spacing w:after="0"/>
        <w:rPr>
          <w:sz w:val="20"/>
          <w:szCs w:val="20"/>
          <w:color w:val="auto"/>
        </w:rPr>
      </w:pPr>
      <w:r>
        <w:rPr>
          <w:rFonts w:ascii="Arial" w:cs="Arial" w:eastAsia="Arial" w:hAnsi="Arial"/>
          <w:sz w:val="13"/>
          <w:szCs w:val="13"/>
          <w:i w:val="1"/>
          <w:iCs w:val="1"/>
          <w:color w:val="auto"/>
        </w:rPr>
        <w:t>French Transit, LLC</w:t>
      </w:r>
    </w:p>
    <w:p>
      <w:pPr>
        <w:ind w:left="520"/>
        <w:spacing w:after="0" w:line="216" w:lineRule="auto"/>
        <w:rPr>
          <w:sz w:val="20"/>
          <w:szCs w:val="20"/>
          <w:color w:val="auto"/>
        </w:rPr>
      </w:pPr>
      <w:r>
        <w:rPr>
          <w:rFonts w:ascii="Arial" w:cs="Arial" w:eastAsia="Arial" w:hAnsi="Arial"/>
          <w:sz w:val="13"/>
          <w:szCs w:val="13"/>
          <w:color w:val="auto"/>
        </w:rPr>
        <w:t>First Lien Debt (j)</w:t>
      </w:r>
    </w:p>
    <w:p>
      <w:pPr>
        <w:jc w:val="right"/>
        <w:ind w:right="20"/>
        <w:spacing w:after="0" w:line="224" w:lineRule="auto"/>
        <w:rPr>
          <w:sz w:val="20"/>
          <w:szCs w:val="20"/>
          <w:color w:val="auto"/>
        </w:rPr>
      </w:pPr>
      <w:r>
        <w:rPr>
          <w:rFonts w:ascii="Arial" w:cs="Arial" w:eastAsia="Arial" w:hAnsi="Arial"/>
          <w:sz w:val="13"/>
          <w:szCs w:val="13"/>
          <w:color w:val="auto"/>
        </w:rPr>
        <w:t>Revolving Loan ($1,000 commitment) (j)(u)</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Variable Index</w:t>
            </w:r>
          </w:p>
        </w:tc>
        <w:tc>
          <w:tcPr>
            <w:tcW w:w="940" w:type="dxa"/>
            <w:vAlign w:val="bottom"/>
            <w:gridSpan w:val="2"/>
          </w:tcPr>
          <w:p>
            <w:pPr>
              <w:ind w:left="180"/>
              <w:spacing w:after="0"/>
              <w:rPr>
                <w:sz w:val="20"/>
                <w:szCs w:val="20"/>
                <w:color w:val="auto"/>
              </w:rPr>
            </w:pPr>
            <w:r>
              <w:rPr>
                <w:rFonts w:ascii="Arial" w:cs="Arial" w:eastAsia="Arial" w:hAnsi="Arial"/>
                <w:sz w:val="13"/>
                <w:szCs w:val="13"/>
                <w:b w:val="1"/>
                <w:bCs w:val="1"/>
                <w:color w:val="auto"/>
              </w:rPr>
              <w:t>Rate (e)</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Principal</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Fair</w:t>
            </w:r>
          </w:p>
        </w:tc>
        <w:tc>
          <w:tcPr>
            <w:tcW w:w="560" w:type="dxa"/>
            <w:vAlign w:val="bottom"/>
          </w:tcPr>
          <w:p>
            <w:pPr>
              <w:spacing w:after="0"/>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62"/>
        </w:trPr>
        <w:tc>
          <w:tcPr>
            <w:tcW w:w="1340" w:type="dxa"/>
            <w:vAlign w:val="bottom"/>
          </w:tcPr>
          <w:p>
            <w:pPr>
              <w:ind w:left="440"/>
              <w:spacing w:after="0"/>
              <w:rPr>
                <w:sz w:val="20"/>
                <w:szCs w:val="20"/>
                <w:color w:val="auto"/>
              </w:rPr>
            </w:pPr>
            <w:r>
              <w:rPr>
                <w:rFonts w:ascii="Arial" w:cs="Arial" w:eastAsia="Arial" w:hAnsi="Arial"/>
                <w:sz w:val="13"/>
                <w:szCs w:val="13"/>
                <w:b w:val="1"/>
                <w:bCs w:val="1"/>
                <w:color w:val="auto"/>
              </w:rPr>
              <w:t>Industry</w:t>
            </w: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0"/>
              </w:rPr>
              <w:t>Spread /Floor (d)</w:t>
            </w:r>
          </w:p>
        </w:tc>
        <w:tc>
          <w:tcPr>
            <w:tcW w:w="8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b w:val="1"/>
                <w:bCs w:val="1"/>
                <w:color w:val="auto"/>
              </w:rPr>
              <w:t>Cash/PIK</w:t>
            </w:r>
          </w:p>
        </w:tc>
        <w:tc>
          <w:tcPr>
            <w:tcW w:w="1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b w:val="1"/>
                <w:bCs w:val="1"/>
                <w:color w:val="auto"/>
              </w:rPr>
              <w:t>Date (f)</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420" w:type="dxa"/>
            <w:vAlign w:val="bottom"/>
          </w:tcPr>
          <w:p>
            <w:pPr>
              <w:jc w:val="right"/>
              <w:ind w:right="17"/>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Value (g)</w:t>
            </w:r>
          </w:p>
        </w:tc>
        <w:tc>
          <w:tcPr>
            <w:tcW w:w="560" w:type="dxa"/>
            <w:vAlign w:val="bottom"/>
          </w:tcPr>
          <w:p>
            <w:pPr>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340" w:type="dxa"/>
            <w:vAlign w:val="bottom"/>
          </w:tcPr>
          <w:p>
            <w:pPr>
              <w:spacing w:after="0"/>
              <w:rPr>
                <w:sz w:val="20"/>
                <w:szCs w:val="20"/>
                <w:color w:val="auto"/>
              </w:rPr>
            </w:pPr>
            <w:r>
              <w:rPr>
                <w:rFonts w:ascii="Arial" w:cs="Arial" w:eastAsia="Arial" w:hAnsi="Arial"/>
                <w:sz w:val="13"/>
                <w:szCs w:val="13"/>
                <w:color w:val="auto"/>
              </w:rPr>
              <w:t>Consumer Products</w:t>
            </w:r>
          </w:p>
        </w:tc>
        <w:tc>
          <w:tcPr>
            <w:tcW w:w="80" w:type="dxa"/>
            <w:vAlign w:val="bottom"/>
            <w:vMerge w:val="continue"/>
          </w:tcPr>
          <w:p>
            <w:pPr>
              <w:spacing w:after="0"/>
              <w:rPr>
                <w:sz w:val="13"/>
                <w:szCs w:val="13"/>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w w:val="88"/>
              </w:rPr>
              <w:t>(L + 9.00%) / (2.25%)</w:t>
            </w:r>
          </w:p>
        </w:tc>
        <w:tc>
          <w:tcPr>
            <w:tcW w:w="80" w:type="dxa"/>
            <w:vAlign w:val="bottom"/>
            <w:vMerge w:val="restart"/>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w w:val="92"/>
              </w:rPr>
              <w:t>11.25%/0.00%</w:t>
            </w:r>
          </w:p>
        </w:tc>
        <w:tc>
          <w:tcPr>
            <w:tcW w:w="140" w:type="dxa"/>
            <w:vAlign w:val="bottom"/>
            <w:vMerge w:val="restart"/>
          </w:tcPr>
          <w:p>
            <w:pPr>
              <w:spacing w:after="0"/>
              <w:rPr>
                <w:sz w:val="13"/>
                <w:szCs w:val="13"/>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auto"/>
                <w:w w:val="86"/>
              </w:rPr>
              <w:t>6/21/2019</w:t>
            </w:r>
          </w:p>
        </w:tc>
        <w:tc>
          <w:tcPr>
            <w:tcW w:w="120" w:type="dxa"/>
            <w:vAlign w:val="bottom"/>
            <w:vMerge w:val="restart"/>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6/21/2024</w:t>
            </w:r>
          </w:p>
        </w:tc>
        <w:tc>
          <w:tcPr>
            <w:tcW w:w="60" w:type="dxa"/>
            <w:vAlign w:val="bottom"/>
            <w:vMerge w:val="restart"/>
          </w:tcPr>
          <w:p>
            <w:pPr>
              <w:spacing w:after="0"/>
              <w:rPr>
                <w:sz w:val="13"/>
                <w:szCs w:val="13"/>
                <w:color w:val="auto"/>
              </w:rPr>
            </w:pPr>
          </w:p>
        </w:tc>
        <w:tc>
          <w:tcPr>
            <w:tcW w:w="680" w:type="dxa"/>
            <w:vAlign w:val="bottom"/>
            <w:gridSpan w:val="3"/>
            <w:vMerge w:val="restart"/>
          </w:tcPr>
          <w:p>
            <w:pPr>
              <w:jc w:val="center"/>
              <w:ind w:right="60"/>
              <w:spacing w:after="0"/>
              <w:rPr>
                <w:sz w:val="20"/>
                <w:szCs w:val="20"/>
                <w:color w:val="auto"/>
              </w:rPr>
            </w:pPr>
            <w:r>
              <w:rPr>
                <w:rFonts w:ascii="Arial" w:cs="Arial" w:eastAsia="Arial" w:hAnsi="Arial"/>
                <w:sz w:val="13"/>
                <w:szCs w:val="13"/>
                <w:color w:val="auto"/>
                <w:w w:val="98"/>
              </w:rPr>
              <w:t>$   8,000</w:t>
            </w: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2"/>
              </w:rPr>
              <w:t>$ 7,964</w:t>
            </w:r>
          </w:p>
        </w:tc>
        <w:tc>
          <w:tcPr>
            <w:tcW w:w="540" w:type="dxa"/>
            <w:vAlign w:val="bottom"/>
            <w:gridSpan w:val="2"/>
            <w:vMerge w:val="restart"/>
          </w:tcPr>
          <w:p>
            <w:pPr>
              <w:jc w:val="center"/>
              <w:spacing w:after="0"/>
              <w:rPr>
                <w:sz w:val="20"/>
                <w:szCs w:val="20"/>
                <w:color w:val="auto"/>
              </w:rPr>
            </w:pPr>
            <w:r>
              <w:rPr>
                <w:rFonts w:ascii="Arial" w:cs="Arial" w:eastAsia="Arial" w:hAnsi="Arial"/>
                <w:sz w:val="13"/>
                <w:szCs w:val="13"/>
                <w:color w:val="auto"/>
              </w:rPr>
              <w:t>$  8,000</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w w:val="95"/>
              </w:rPr>
              <w:t>(L + 9.00%) / (2.25%)</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11.25%/0.00%</w:t>
            </w:r>
          </w:p>
        </w:tc>
        <w:tc>
          <w:tcPr>
            <w:tcW w:w="740" w:type="dxa"/>
            <w:vAlign w:val="bottom"/>
            <w:gridSpan w:val="2"/>
          </w:tcPr>
          <w:p>
            <w:pPr>
              <w:ind w:left="100"/>
              <w:spacing w:after="0"/>
              <w:rPr>
                <w:sz w:val="20"/>
                <w:szCs w:val="20"/>
                <w:color w:val="auto"/>
              </w:rPr>
            </w:pPr>
            <w:r>
              <w:rPr>
                <w:rFonts w:ascii="Arial" w:cs="Arial" w:eastAsia="Arial" w:hAnsi="Arial"/>
                <w:sz w:val="13"/>
                <w:szCs w:val="13"/>
                <w:color w:val="auto"/>
              </w:rPr>
              <w:t>6/21/2019</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6/21/2024</w:t>
            </w:r>
          </w:p>
        </w:tc>
        <w:tc>
          <w:tcPr>
            <w:tcW w:w="60" w:type="dxa"/>
            <w:vAlign w:val="bottom"/>
          </w:tcPr>
          <w:p>
            <w:pPr>
              <w:spacing w:after="0"/>
              <w:rPr>
                <w:sz w:val="12"/>
                <w:szCs w:val="12"/>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2"/>
                <w:szCs w:val="12"/>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-265430</wp:posOffset>
            </wp:positionV>
            <wp:extent cx="6920865"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0865" cy="9461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-85090</wp:posOffset>
            </wp:positionV>
            <wp:extent cx="6920865"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0865" cy="857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80" w:space="720"/>
            <w:col w:w="7660"/>
          </w:cols>
          <w:pgMar w:left="240" w:top="459" w:right="499" w:bottom="1440" w:gutter="0" w:footer="0" w:header="0"/>
          <w:type w:val="continuous"/>
        </w:sectPr>
      </w:pPr>
    </w:p>
    <w:tbl>
      <w:tblPr>
        <w:tblLayout w:type="fixed"/>
        <w:tblInd w:w="260" w:type="dxa"/>
        <w:tblCellMar>
          <w:top w:w="0" w:type="dxa"/>
          <w:left w:w="0" w:type="dxa"/>
          <w:bottom w:w="0" w:type="dxa"/>
          <w:right w:w="0" w:type="dxa"/>
        </w:tblCellMar>
      </w:tblPr>
      <w:tr>
        <w:trPr>
          <w:trHeight w:val="142"/>
        </w:trPr>
        <w:tc>
          <w:tcPr>
            <w:tcW w:w="3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7,960</w:t>
            </w:r>
          </w:p>
        </w:tc>
        <w:tc>
          <w:tcPr>
            <w:tcW w:w="1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8,000</w:t>
            </w:r>
          </w:p>
        </w:tc>
        <w:tc>
          <w:tcPr>
            <w:tcW w:w="32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2%</w:t>
            </w:r>
          </w:p>
        </w:tc>
      </w:tr>
      <w:tr>
        <w:trPr>
          <w:trHeight w:val="121"/>
        </w:trPr>
        <w:tc>
          <w:tcPr>
            <w:tcW w:w="3080" w:type="dxa"/>
            <w:vAlign w:val="bottom"/>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Global Plasma Solutions, Inc.</w:t>
            </w:r>
          </w:p>
        </w:tc>
        <w:tc>
          <w:tcPr>
            <w:tcW w:w="286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Component</w:t>
            </w:r>
          </w:p>
        </w:tc>
        <w:tc>
          <w:tcPr>
            <w:tcW w:w="9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9"/>
        </w:trPr>
        <w:tc>
          <w:tcPr>
            <w:tcW w:w="3080" w:type="dxa"/>
            <w:vAlign w:val="bottom"/>
            <w:shd w:val="clear" w:color="auto" w:fill="CCEEFF"/>
          </w:tcPr>
          <w:p>
            <w:pPr>
              <w:spacing w:after="0"/>
              <w:rPr>
                <w:sz w:val="12"/>
                <w:szCs w:val="12"/>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Manufacturing</w:t>
            </w: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35"/>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First Lien Debt (j)(v)</w:t>
            </w:r>
          </w:p>
        </w:tc>
        <w:tc>
          <w:tcPr>
            <w:tcW w:w="2860" w:type="dxa"/>
            <w:vAlign w:val="bottom"/>
          </w:tcPr>
          <w:p>
            <w:pPr>
              <w:ind w:left="1680"/>
              <w:spacing w:after="0" w:line="135" w:lineRule="exact"/>
              <w:rPr>
                <w:sz w:val="20"/>
                <w:szCs w:val="20"/>
                <w:color w:val="auto"/>
              </w:rPr>
            </w:pPr>
            <w:r>
              <w:rPr>
                <w:rFonts w:ascii="Arial" w:cs="Arial" w:eastAsia="Arial" w:hAnsi="Arial"/>
                <w:sz w:val="13"/>
                <w:szCs w:val="13"/>
                <w:color w:val="auto"/>
                <w:w w:val="93"/>
              </w:rPr>
              <w:t>(L + 5.00%) / (2.00%)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7.10%/0.00%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9/21/2018</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9/21/2023</w:t>
            </w:r>
          </w:p>
        </w:tc>
        <w:tc>
          <w:tcPr>
            <w:tcW w:w="6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7,071</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7,013</w:t>
            </w: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7,071</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Preferred Equity (947 shares) (j)</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9/21/2018</w:t>
            </w: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360</w:t>
            </w: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399</w:t>
            </w:r>
          </w:p>
        </w:tc>
        <w:tc>
          <w:tcPr>
            <w:tcW w:w="520" w:type="dxa"/>
            <w:vAlign w:val="bottom"/>
            <w:shd w:val="clear" w:color="auto" w:fill="CCEEFF"/>
          </w:tcPr>
          <w:p>
            <w:pPr>
              <w:spacing w:after="0"/>
              <w:rPr>
                <w:sz w:val="11"/>
                <w:szCs w:val="11"/>
                <w:color w:val="auto"/>
              </w:rPr>
            </w:pPr>
          </w:p>
        </w:tc>
      </w:tr>
      <w:tr>
        <w:trPr>
          <w:trHeight w:val="142"/>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Common Equity (947 shares) (j)</w:t>
            </w: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9/21/2018</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161</w:t>
            </w:r>
          </w:p>
        </w:tc>
        <w:tc>
          <w:tcPr>
            <w:tcW w:w="520" w:type="dxa"/>
            <w:vAlign w:val="bottom"/>
          </w:tcPr>
          <w:p>
            <w:pPr>
              <w:spacing w:after="0"/>
              <w:rPr>
                <w:sz w:val="12"/>
                <w:szCs w:val="12"/>
                <w:color w:val="auto"/>
              </w:rPr>
            </w:pPr>
          </w:p>
        </w:tc>
      </w:tr>
      <w:tr>
        <w:trPr>
          <w:trHeight w:val="135"/>
        </w:trPr>
        <w:tc>
          <w:tcPr>
            <w:tcW w:w="30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7,388</w:t>
            </w:r>
          </w:p>
        </w:tc>
        <w:tc>
          <w:tcPr>
            <w:tcW w:w="1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7,631</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i w:val="1"/>
                <w:iCs w:val="1"/>
                <w:color w:val="auto"/>
              </w:rPr>
              <w:t>Gurobi Optimization, LLC</w:t>
            </w:r>
          </w:p>
        </w:tc>
        <w:tc>
          <w:tcPr>
            <w:tcW w:w="2860" w:type="dxa"/>
            <w:vAlign w:val="bottom"/>
          </w:tcPr>
          <w:p>
            <w:pPr>
              <w:ind w:left="160"/>
              <w:spacing w:after="0" w:line="135" w:lineRule="exact"/>
              <w:rPr>
                <w:sz w:val="20"/>
                <w:szCs w:val="20"/>
                <w:color w:val="auto"/>
              </w:rPr>
            </w:pPr>
            <w:r>
              <w:rPr>
                <w:rFonts w:ascii="Arial" w:cs="Arial" w:eastAsia="Arial" w:hAnsi="Arial"/>
                <w:sz w:val="13"/>
                <w:szCs w:val="13"/>
                <w:color w:val="auto"/>
              </w:rPr>
              <w:t>Information Technology Services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(5 shares)</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12/19/2017</w:t>
            </w: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3,382</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270"/>
        </w:trPr>
        <w:tc>
          <w:tcPr>
            <w:tcW w:w="3080" w:type="dxa"/>
            <w:vAlign w:val="bottom"/>
          </w:tcPr>
          <w:p>
            <w:pPr>
              <w:spacing w:after="0"/>
              <w:rPr>
                <w:sz w:val="20"/>
                <w:szCs w:val="20"/>
                <w:color w:val="auto"/>
              </w:rPr>
            </w:pPr>
            <w:r>
              <w:rPr>
                <w:rFonts w:ascii="Arial" w:cs="Arial" w:eastAsia="Arial" w:hAnsi="Arial"/>
                <w:sz w:val="13"/>
                <w:szCs w:val="13"/>
                <w:i w:val="1"/>
                <w:iCs w:val="1"/>
                <w:color w:val="auto"/>
              </w:rPr>
              <w:t>Haematologic Technologies, Inc.</w:t>
            </w:r>
          </w:p>
        </w:tc>
        <w:tc>
          <w:tcPr>
            <w:tcW w:w="2860" w:type="dxa"/>
            <w:vAlign w:val="bottom"/>
          </w:tcPr>
          <w:p>
            <w:pPr>
              <w:ind w:left="160"/>
              <w:spacing w:after="0"/>
              <w:rPr>
                <w:sz w:val="20"/>
                <w:szCs w:val="20"/>
                <w:color w:val="auto"/>
              </w:rPr>
            </w:pPr>
            <w:r>
              <w:rPr>
                <w:rFonts w:ascii="Arial" w:cs="Arial" w:eastAsia="Arial" w:hAnsi="Arial"/>
                <w:sz w:val="13"/>
                <w:szCs w:val="13"/>
                <w:color w:val="auto"/>
              </w:rPr>
              <w:t>Healthcare Services</w:t>
            </w: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First Lien Debt (x)</w:t>
            </w:r>
          </w:p>
        </w:tc>
        <w:tc>
          <w:tcPr>
            <w:tcW w:w="2860" w:type="dxa"/>
            <w:vAlign w:val="bottom"/>
            <w:shd w:val="clear" w:color="auto" w:fill="CCEEFF"/>
          </w:tcPr>
          <w:p>
            <w:pPr>
              <w:ind w:left="1680"/>
              <w:spacing w:after="0" w:line="135" w:lineRule="exact"/>
              <w:rPr>
                <w:sz w:val="20"/>
                <w:szCs w:val="20"/>
                <w:color w:val="auto"/>
              </w:rPr>
            </w:pPr>
            <w:r>
              <w:rPr>
                <w:rFonts w:ascii="Arial" w:cs="Arial" w:eastAsia="Arial" w:hAnsi="Arial"/>
                <w:sz w:val="13"/>
                <w:szCs w:val="13"/>
                <w:color w:val="auto"/>
                <w:w w:val="93"/>
              </w:rPr>
              <w:t>(L + 7.25%) / (2.00%)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9.25%/0.00%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10/11/2019</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98"/>
              </w:rPr>
              <w:t>10/11/2024</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5,500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5,461</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5,461</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42"/>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Common Equity (500 units) (j)</w:t>
            </w: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10/11/2019</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500</w:t>
            </w: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500</w:t>
            </w:r>
          </w:p>
        </w:tc>
        <w:tc>
          <w:tcPr>
            <w:tcW w:w="520" w:type="dxa"/>
            <w:vAlign w:val="bottom"/>
          </w:tcPr>
          <w:p>
            <w:pPr>
              <w:spacing w:after="0"/>
              <w:rPr>
                <w:sz w:val="12"/>
                <w:szCs w:val="12"/>
                <w:color w:val="auto"/>
              </w:rPr>
            </w:pPr>
          </w:p>
        </w:tc>
      </w:tr>
      <w:tr>
        <w:trPr>
          <w:trHeight w:val="135"/>
        </w:trPr>
        <w:tc>
          <w:tcPr>
            <w:tcW w:w="30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5,961</w:t>
            </w:r>
          </w:p>
        </w:tc>
        <w:tc>
          <w:tcPr>
            <w:tcW w:w="1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5,961</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121"/>
        </w:trPr>
        <w:tc>
          <w:tcPr>
            <w:tcW w:w="3080" w:type="dxa"/>
            <w:vAlign w:val="bottom"/>
          </w:tcPr>
          <w:p>
            <w:pPr>
              <w:spacing w:after="0" w:line="121" w:lineRule="exact"/>
              <w:rPr>
                <w:sz w:val="20"/>
                <w:szCs w:val="20"/>
                <w:color w:val="auto"/>
              </w:rPr>
            </w:pPr>
            <w:r>
              <w:rPr>
                <w:rFonts w:ascii="Arial" w:cs="Arial" w:eastAsia="Arial" w:hAnsi="Arial"/>
                <w:sz w:val="13"/>
                <w:szCs w:val="13"/>
                <w:i w:val="1"/>
                <w:iCs w:val="1"/>
                <w:color w:val="auto"/>
                <w:w w:val="98"/>
              </w:rPr>
              <w:t>Hilco Plastics Holdings, LLC (dba Hilco Technologies)</w:t>
            </w:r>
          </w:p>
        </w:tc>
        <w:tc>
          <w:tcPr>
            <w:tcW w:w="2860" w:type="dxa"/>
            <w:vAlign w:val="bottom"/>
          </w:tcPr>
          <w:p>
            <w:pPr>
              <w:ind w:left="160"/>
              <w:spacing w:after="0" w:line="121" w:lineRule="exact"/>
              <w:rPr>
                <w:sz w:val="20"/>
                <w:szCs w:val="20"/>
                <w:color w:val="auto"/>
              </w:rPr>
            </w:pPr>
            <w:r>
              <w:rPr>
                <w:rFonts w:ascii="Arial" w:cs="Arial" w:eastAsia="Arial" w:hAnsi="Arial"/>
                <w:sz w:val="13"/>
                <w:szCs w:val="13"/>
                <w:color w:val="auto"/>
              </w:rPr>
              <w:t>Component</w:t>
            </w: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9"/>
        </w:trPr>
        <w:tc>
          <w:tcPr>
            <w:tcW w:w="3080" w:type="dxa"/>
            <w:vAlign w:val="bottom"/>
          </w:tcPr>
          <w:p>
            <w:pPr>
              <w:spacing w:after="0"/>
              <w:rPr>
                <w:sz w:val="12"/>
                <w:szCs w:val="12"/>
                <w:color w:val="auto"/>
              </w:rPr>
            </w:pPr>
          </w:p>
        </w:tc>
        <w:tc>
          <w:tcPr>
            <w:tcW w:w="2860" w:type="dxa"/>
            <w:vAlign w:val="bottom"/>
          </w:tcPr>
          <w:p>
            <w:pPr>
              <w:ind w:left="160"/>
              <w:spacing w:after="0"/>
              <w:rPr>
                <w:sz w:val="20"/>
                <w:szCs w:val="20"/>
                <w:color w:val="auto"/>
              </w:rPr>
            </w:pPr>
            <w:r>
              <w:rPr>
                <w:rFonts w:ascii="Arial" w:cs="Arial" w:eastAsia="Arial" w:hAnsi="Arial"/>
                <w:sz w:val="13"/>
                <w:szCs w:val="13"/>
                <w:color w:val="auto"/>
              </w:rPr>
              <w:t>Manufacturing</w:t>
            </w: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11.50%/1.50%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9/23/2016</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98"/>
              </w:rPr>
              <w:t>12/31/2019</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10,116</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10,116</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9,057</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Revolving Loan (j)</w:t>
            </w:r>
          </w:p>
        </w:tc>
        <w:tc>
          <w:tcPr>
            <w:tcW w:w="2860" w:type="dxa"/>
            <w:vAlign w:val="bottom"/>
          </w:tcPr>
          <w:p>
            <w:pPr>
              <w:ind w:left="1680"/>
              <w:spacing w:after="0" w:line="135" w:lineRule="exact"/>
              <w:rPr>
                <w:sz w:val="20"/>
                <w:szCs w:val="20"/>
                <w:color w:val="auto"/>
              </w:rPr>
            </w:pPr>
            <w:r>
              <w:rPr>
                <w:rFonts w:ascii="Arial" w:cs="Arial" w:eastAsia="Arial" w:hAnsi="Arial"/>
                <w:sz w:val="13"/>
                <w:szCs w:val="13"/>
                <w:color w:val="auto"/>
                <w:w w:val="93"/>
              </w:rPr>
              <w:t>(L + 6.50%) / (0.00%)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8.26%/0.00%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12/20/2019</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w w:val="98"/>
              </w:rPr>
              <w:t>12/15/2019</w:t>
            </w:r>
          </w:p>
        </w:tc>
        <w:tc>
          <w:tcPr>
            <w:tcW w:w="6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5,962</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5,962</w:t>
            </w: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5,962</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First Lien Debt (j)</w:t>
            </w:r>
          </w:p>
        </w:tc>
        <w:tc>
          <w:tcPr>
            <w:tcW w:w="2860" w:type="dxa"/>
            <w:vAlign w:val="bottom"/>
            <w:shd w:val="clear" w:color="auto" w:fill="CCEEFF"/>
          </w:tcPr>
          <w:p>
            <w:pPr>
              <w:ind w:left="1680"/>
              <w:spacing w:after="0" w:line="135" w:lineRule="exact"/>
              <w:rPr>
                <w:sz w:val="20"/>
                <w:szCs w:val="20"/>
                <w:color w:val="auto"/>
              </w:rPr>
            </w:pPr>
            <w:r>
              <w:rPr>
                <w:rFonts w:ascii="Arial" w:cs="Arial" w:eastAsia="Arial" w:hAnsi="Arial"/>
                <w:sz w:val="13"/>
                <w:szCs w:val="13"/>
                <w:color w:val="auto"/>
                <w:w w:val="93"/>
              </w:rPr>
              <w:t>(L + 6.95%) / (0.00%)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8.66%/0.00%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12/20/2019</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98"/>
              </w:rPr>
              <w:t>12/15/2019</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4,812</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4,812</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4,812</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First Lien Debt (j)</w:t>
            </w:r>
          </w:p>
        </w:tc>
        <w:tc>
          <w:tcPr>
            <w:tcW w:w="2860" w:type="dxa"/>
            <w:vAlign w:val="bottom"/>
          </w:tcPr>
          <w:p>
            <w:pPr>
              <w:ind w:left="1680"/>
              <w:spacing w:after="0" w:line="135" w:lineRule="exact"/>
              <w:rPr>
                <w:sz w:val="20"/>
                <w:szCs w:val="20"/>
                <w:color w:val="auto"/>
              </w:rPr>
            </w:pPr>
            <w:r>
              <w:rPr>
                <w:rFonts w:ascii="Arial" w:cs="Arial" w:eastAsia="Arial" w:hAnsi="Arial"/>
                <w:sz w:val="13"/>
                <w:szCs w:val="13"/>
                <w:color w:val="auto"/>
                <w:w w:val="93"/>
              </w:rPr>
              <w:t>(L + 6.95%) / (0.00%)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8.64%/0.00%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12/20/2019</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w w:val="98"/>
              </w:rPr>
              <w:t>12/15/2019</w:t>
            </w:r>
          </w:p>
        </w:tc>
        <w:tc>
          <w:tcPr>
            <w:tcW w:w="6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1,815</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1,815</w:t>
            </w:r>
          </w:p>
        </w:tc>
        <w:tc>
          <w:tcPr>
            <w:tcW w:w="1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1,815</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Preferred Equity (1,000,000 units) (h)(j)</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4/18/2018</w:t>
            </w: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1"/>
                <w:szCs w:val="11"/>
                <w:color w:val="auto"/>
              </w:rPr>
            </w:pPr>
          </w:p>
        </w:tc>
      </w:tr>
      <w:tr>
        <w:trPr>
          <w:trHeight w:val="142"/>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Common Equity (72,507 units) (h)(j)</w:t>
            </w: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9/23/2016</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473</w:t>
            </w:r>
          </w:p>
        </w:tc>
        <w:tc>
          <w:tcPr>
            <w:tcW w:w="1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30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24,178</w:t>
            </w: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21,646</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i w:val="1"/>
                <w:iCs w:val="1"/>
                <w:color w:val="auto"/>
              </w:rPr>
              <w:t>Hoonuit, LLC</w:t>
            </w:r>
          </w:p>
        </w:tc>
        <w:tc>
          <w:tcPr>
            <w:tcW w:w="2860" w:type="dxa"/>
            <w:vAlign w:val="bottom"/>
          </w:tcPr>
          <w:p>
            <w:pPr>
              <w:ind w:left="160"/>
              <w:spacing w:after="0" w:line="135" w:lineRule="exact"/>
              <w:rPr>
                <w:sz w:val="20"/>
                <w:szCs w:val="20"/>
                <w:color w:val="auto"/>
              </w:rPr>
            </w:pPr>
            <w:r>
              <w:rPr>
                <w:rFonts w:ascii="Arial" w:cs="Arial" w:eastAsia="Arial" w:hAnsi="Arial"/>
                <w:sz w:val="13"/>
                <w:szCs w:val="13"/>
                <w:color w:val="auto"/>
              </w:rPr>
              <w:t>Information Technology Services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First Lien Debt</w:t>
            </w:r>
          </w:p>
        </w:tc>
        <w:tc>
          <w:tcPr>
            <w:tcW w:w="2860" w:type="dxa"/>
            <w:vAlign w:val="bottom"/>
            <w:shd w:val="clear" w:color="auto" w:fill="CCEEFF"/>
          </w:tcPr>
          <w:p>
            <w:pPr>
              <w:ind w:left="1680"/>
              <w:spacing w:after="0" w:line="135" w:lineRule="exact"/>
              <w:rPr>
                <w:sz w:val="20"/>
                <w:szCs w:val="20"/>
                <w:color w:val="auto"/>
              </w:rPr>
            </w:pPr>
            <w:r>
              <w:rPr>
                <w:rFonts w:ascii="Arial" w:cs="Arial" w:eastAsia="Arial" w:hAnsi="Arial"/>
                <w:sz w:val="13"/>
                <w:szCs w:val="13"/>
                <w:color w:val="auto"/>
                <w:w w:val="93"/>
              </w:rPr>
              <w:t>(L + 9.25%) / (2.25%)</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11.50%/0.00%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6/7/2019</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6/7/2024</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7,165</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7,121</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7,165</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42"/>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Preferred Equity (610 units) (h)(j)</w:t>
            </w: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6/20/2019</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1/1/2022</w:t>
            </w:r>
          </w:p>
        </w:tc>
        <w:tc>
          <w:tcPr>
            <w:tcW w:w="600" w:type="dxa"/>
            <w:vAlign w:val="bottom"/>
          </w:tcPr>
          <w:p>
            <w:pPr>
              <w:spacing w:after="0"/>
              <w:rPr>
                <w:sz w:val="12"/>
                <w:szCs w:val="12"/>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250</w:t>
            </w: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279</w:t>
            </w:r>
          </w:p>
        </w:tc>
        <w:tc>
          <w:tcPr>
            <w:tcW w:w="520" w:type="dxa"/>
            <w:vAlign w:val="bottom"/>
          </w:tcPr>
          <w:p>
            <w:pPr>
              <w:spacing w:after="0"/>
              <w:rPr>
                <w:sz w:val="12"/>
                <w:szCs w:val="12"/>
                <w:color w:val="auto"/>
              </w:rPr>
            </w:pPr>
          </w:p>
        </w:tc>
      </w:tr>
      <w:tr>
        <w:trPr>
          <w:trHeight w:val="135"/>
        </w:trPr>
        <w:tc>
          <w:tcPr>
            <w:tcW w:w="30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7,371</w:t>
            </w:r>
          </w:p>
        </w:tc>
        <w:tc>
          <w:tcPr>
            <w:tcW w:w="1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7,444</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i w:val="1"/>
                <w:iCs w:val="1"/>
                <w:color w:val="auto"/>
              </w:rPr>
              <w:t>Hub Acquisition Sub, LLC (dba Hub Pen)</w:t>
            </w:r>
          </w:p>
        </w:tc>
        <w:tc>
          <w:tcPr>
            <w:tcW w:w="2860" w:type="dxa"/>
            <w:vAlign w:val="bottom"/>
          </w:tcPr>
          <w:p>
            <w:pPr>
              <w:ind w:left="160"/>
              <w:spacing w:after="0" w:line="135" w:lineRule="exact"/>
              <w:rPr>
                <w:sz w:val="20"/>
                <w:szCs w:val="20"/>
                <w:color w:val="auto"/>
              </w:rPr>
            </w:pPr>
            <w:r>
              <w:rPr>
                <w:rFonts w:ascii="Arial" w:cs="Arial" w:eastAsia="Arial" w:hAnsi="Arial"/>
                <w:sz w:val="13"/>
                <w:szCs w:val="13"/>
                <w:color w:val="auto"/>
              </w:rPr>
              <w:t>Promotional products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12.25%/0.00%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3/23/2016</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9/23/2021</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25,000</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24,947</w:t>
            </w: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25,000</w:t>
            </w:r>
          </w:p>
        </w:tc>
        <w:tc>
          <w:tcPr>
            <w:tcW w:w="520" w:type="dxa"/>
            <w:vAlign w:val="bottom"/>
            <w:shd w:val="clear" w:color="auto" w:fill="CCEEFF"/>
          </w:tcPr>
          <w:p>
            <w:pPr>
              <w:spacing w:after="0"/>
              <w:rPr>
                <w:sz w:val="11"/>
                <w:szCs w:val="11"/>
                <w:color w:val="auto"/>
              </w:rPr>
            </w:pPr>
          </w:p>
        </w:tc>
      </w:tr>
      <w:tr>
        <w:trPr>
          <w:trHeight w:val="142"/>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Common Equity (7,500 units)</w:t>
            </w: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3/23/2016</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263</w:t>
            </w:r>
          </w:p>
        </w:tc>
        <w:tc>
          <w:tcPr>
            <w:tcW w:w="1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1,488</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30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25,210</w:t>
            </w: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26,488</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i w:val="1"/>
                <w:iCs w:val="1"/>
                <w:color w:val="auto"/>
              </w:rPr>
              <w:t>Hunter Defense Technologies, Inc.</w:t>
            </w:r>
          </w:p>
        </w:tc>
        <w:tc>
          <w:tcPr>
            <w:tcW w:w="2860" w:type="dxa"/>
            <w:vAlign w:val="bottom"/>
          </w:tcPr>
          <w:p>
            <w:pPr>
              <w:ind w:left="160"/>
              <w:spacing w:after="0" w:line="135" w:lineRule="exact"/>
              <w:rPr>
                <w:sz w:val="20"/>
                <w:szCs w:val="20"/>
                <w:color w:val="auto"/>
              </w:rPr>
            </w:pPr>
            <w:r>
              <w:rPr>
                <w:rFonts w:ascii="Arial" w:cs="Arial" w:eastAsia="Arial" w:hAnsi="Arial"/>
                <w:sz w:val="13"/>
                <w:szCs w:val="13"/>
                <w:color w:val="auto"/>
              </w:rPr>
              <w:t>Aerospace &amp; Defense Manufacturing</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First Lien Debt (j)</w:t>
            </w:r>
          </w:p>
        </w:tc>
        <w:tc>
          <w:tcPr>
            <w:tcW w:w="2860" w:type="dxa"/>
            <w:vAlign w:val="bottom"/>
            <w:shd w:val="clear" w:color="auto" w:fill="CCEEFF"/>
          </w:tcPr>
          <w:p>
            <w:pPr>
              <w:ind w:left="1680"/>
              <w:spacing w:after="0" w:line="135" w:lineRule="exact"/>
              <w:rPr>
                <w:sz w:val="20"/>
                <w:szCs w:val="20"/>
                <w:color w:val="auto"/>
              </w:rPr>
            </w:pPr>
            <w:r>
              <w:rPr>
                <w:rFonts w:ascii="Arial" w:cs="Arial" w:eastAsia="Arial" w:hAnsi="Arial"/>
                <w:sz w:val="13"/>
                <w:szCs w:val="13"/>
                <w:color w:val="auto"/>
                <w:w w:val="93"/>
              </w:rPr>
              <w:t>(L + 7.00%) / (1.00%)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8.94%/0.00%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9/27/2018</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3/29/2023</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9,246</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9,174</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9,246</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270"/>
        </w:trPr>
        <w:tc>
          <w:tcPr>
            <w:tcW w:w="3080" w:type="dxa"/>
            <w:vAlign w:val="bottom"/>
          </w:tcPr>
          <w:p>
            <w:pPr>
              <w:spacing w:after="0"/>
              <w:rPr>
                <w:sz w:val="20"/>
                <w:szCs w:val="20"/>
                <w:color w:val="auto"/>
              </w:rPr>
            </w:pPr>
            <w:r>
              <w:rPr>
                <w:rFonts w:ascii="Arial" w:cs="Arial" w:eastAsia="Arial" w:hAnsi="Arial"/>
                <w:sz w:val="13"/>
                <w:szCs w:val="13"/>
                <w:i w:val="1"/>
                <w:iCs w:val="1"/>
                <w:color w:val="auto"/>
              </w:rPr>
              <w:t>IBH Holdings, LLC (fka Inflexxion, Inc.)</w:t>
            </w:r>
          </w:p>
        </w:tc>
        <w:tc>
          <w:tcPr>
            <w:tcW w:w="2860" w:type="dxa"/>
            <w:vAlign w:val="bottom"/>
          </w:tcPr>
          <w:p>
            <w:pPr>
              <w:ind w:left="160"/>
              <w:spacing w:after="0"/>
              <w:rPr>
                <w:sz w:val="20"/>
                <w:szCs w:val="20"/>
                <w:color w:val="auto"/>
              </w:rPr>
            </w:pPr>
            <w:r>
              <w:rPr>
                <w:rFonts w:ascii="Arial" w:cs="Arial" w:eastAsia="Arial" w:hAnsi="Arial"/>
                <w:sz w:val="13"/>
                <w:szCs w:val="13"/>
                <w:color w:val="auto"/>
              </w:rPr>
              <w:t>Business Services</w:t>
            </w: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(150,000 units)</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6/20/2018</w:t>
            </w: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56"/>
        </w:trPr>
        <w:tc>
          <w:tcPr>
            <w:tcW w:w="3080" w:type="dxa"/>
            <w:vAlign w:val="bottom"/>
          </w:tcPr>
          <w:p>
            <w:pPr>
              <w:spacing w:after="0"/>
              <w:rPr>
                <w:sz w:val="20"/>
                <w:szCs w:val="20"/>
                <w:color w:val="auto"/>
              </w:rPr>
            </w:pPr>
            <w:r>
              <w:rPr>
                <w:rFonts w:ascii="Arial" w:cs="Arial" w:eastAsia="Arial" w:hAnsi="Arial"/>
                <w:sz w:val="13"/>
                <w:szCs w:val="13"/>
                <w:i w:val="1"/>
                <w:iCs w:val="1"/>
                <w:color w:val="auto"/>
              </w:rPr>
              <w:t>K2 Merger Agreement Agent, LLC (fka K2 Industrial</w:t>
            </w:r>
          </w:p>
        </w:tc>
        <w:tc>
          <w:tcPr>
            <w:tcW w:w="2860" w:type="dxa"/>
            <w:vAlign w:val="bottom"/>
          </w:tcPr>
          <w:p>
            <w:pPr>
              <w:ind w:left="160"/>
              <w:spacing w:after="0"/>
              <w:rPr>
                <w:sz w:val="20"/>
                <w:szCs w:val="20"/>
                <w:color w:val="auto"/>
              </w:rPr>
            </w:pPr>
            <w:r>
              <w:rPr>
                <w:rFonts w:ascii="Arial" w:cs="Arial" w:eastAsia="Arial" w:hAnsi="Arial"/>
                <w:sz w:val="13"/>
                <w:szCs w:val="13"/>
                <w:color w:val="auto"/>
              </w:rPr>
              <w:t>Industrial Cleaning &amp;</w:t>
            </w: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49"/>
        </w:trPr>
        <w:tc>
          <w:tcPr>
            <w:tcW w:w="3080" w:type="dxa"/>
            <w:vAlign w:val="bottom"/>
          </w:tcPr>
          <w:p>
            <w:pPr>
              <w:ind w:left="140"/>
              <w:spacing w:after="0"/>
              <w:rPr>
                <w:sz w:val="20"/>
                <w:szCs w:val="20"/>
                <w:color w:val="auto"/>
              </w:rPr>
            </w:pPr>
            <w:r>
              <w:rPr>
                <w:rFonts w:ascii="Arial" w:cs="Arial" w:eastAsia="Arial" w:hAnsi="Arial"/>
                <w:sz w:val="13"/>
                <w:szCs w:val="13"/>
                <w:i w:val="1"/>
                <w:iCs w:val="1"/>
                <w:color w:val="auto"/>
              </w:rPr>
              <w:t>Services, Inc.) (n)</w:t>
            </w:r>
          </w:p>
        </w:tc>
        <w:tc>
          <w:tcPr>
            <w:tcW w:w="2860" w:type="dxa"/>
            <w:vAlign w:val="bottom"/>
          </w:tcPr>
          <w:p>
            <w:pPr>
              <w:ind w:left="160"/>
              <w:spacing w:after="0"/>
              <w:rPr>
                <w:sz w:val="20"/>
                <w:szCs w:val="20"/>
                <w:color w:val="auto"/>
              </w:rPr>
            </w:pPr>
            <w:r>
              <w:rPr>
                <w:rFonts w:ascii="Arial" w:cs="Arial" w:eastAsia="Arial" w:hAnsi="Arial"/>
                <w:sz w:val="13"/>
                <w:szCs w:val="13"/>
                <w:color w:val="auto"/>
              </w:rPr>
              <w:t>Coatings</w:t>
            </w: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0.00%/10.00%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1/28/2019</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1/28/2021</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2,309</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2,309</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2,309</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270"/>
        </w:trPr>
        <w:tc>
          <w:tcPr>
            <w:tcW w:w="3080" w:type="dxa"/>
            <w:vAlign w:val="bottom"/>
          </w:tcPr>
          <w:p>
            <w:pPr>
              <w:spacing w:after="0"/>
              <w:rPr>
                <w:sz w:val="20"/>
                <w:szCs w:val="20"/>
                <w:color w:val="auto"/>
              </w:rPr>
            </w:pPr>
            <w:r>
              <w:rPr>
                <w:rFonts w:ascii="Arial" w:cs="Arial" w:eastAsia="Arial" w:hAnsi="Arial"/>
                <w:sz w:val="13"/>
                <w:szCs w:val="13"/>
                <w:i w:val="1"/>
                <w:iCs w:val="1"/>
                <w:color w:val="auto"/>
              </w:rPr>
              <w:t>The Kyjen Company, LLC (dba Outward Hound)</w:t>
            </w:r>
          </w:p>
        </w:tc>
        <w:tc>
          <w:tcPr>
            <w:tcW w:w="2860" w:type="dxa"/>
            <w:vAlign w:val="bottom"/>
          </w:tcPr>
          <w:p>
            <w:pPr>
              <w:ind w:left="160"/>
              <w:spacing w:after="0"/>
              <w:rPr>
                <w:sz w:val="20"/>
                <w:szCs w:val="20"/>
                <w:color w:val="auto"/>
              </w:rPr>
            </w:pPr>
            <w:r>
              <w:rPr>
                <w:rFonts w:ascii="Arial" w:cs="Arial" w:eastAsia="Arial" w:hAnsi="Arial"/>
                <w:sz w:val="13"/>
                <w:szCs w:val="13"/>
                <w:color w:val="auto"/>
              </w:rPr>
              <w:t>Consumer Products</w:t>
            </w: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12.00%/0.00%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12/8/2017</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6/8/2024</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15,000</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14,948</w:t>
            </w: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13,024</w:t>
            </w:r>
          </w:p>
        </w:tc>
        <w:tc>
          <w:tcPr>
            <w:tcW w:w="520" w:type="dxa"/>
            <w:vAlign w:val="bottom"/>
            <w:shd w:val="clear" w:color="auto" w:fill="CCEEFF"/>
          </w:tcPr>
          <w:p>
            <w:pPr>
              <w:spacing w:after="0"/>
              <w:rPr>
                <w:sz w:val="11"/>
                <w:szCs w:val="11"/>
                <w:color w:val="auto"/>
              </w:rPr>
            </w:pPr>
          </w:p>
        </w:tc>
      </w:tr>
      <w:tr>
        <w:trPr>
          <w:trHeight w:val="135"/>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Common Equity (765 shares) (j)</w:t>
            </w:r>
          </w:p>
        </w:tc>
        <w:tc>
          <w:tcPr>
            <w:tcW w:w="2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12/8/2017</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765</w:t>
            </w:r>
          </w:p>
        </w:tc>
        <w:tc>
          <w:tcPr>
            <w:tcW w:w="16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609</w:t>
            </w:r>
          </w:p>
        </w:tc>
        <w:tc>
          <w:tcPr>
            <w:tcW w:w="520" w:type="dxa"/>
            <w:vAlign w:val="bottom"/>
          </w:tcPr>
          <w:p>
            <w:pPr>
              <w:spacing w:after="0"/>
              <w:rPr>
                <w:sz w:val="11"/>
                <w:szCs w:val="11"/>
                <w:color w:val="auto"/>
              </w:rPr>
            </w:pPr>
          </w:p>
        </w:tc>
      </w:tr>
      <w:tr>
        <w:trPr>
          <w:trHeight w:val="27"/>
        </w:trPr>
        <w:tc>
          <w:tcPr>
            <w:tcW w:w="3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35"/>
        </w:trPr>
        <w:tc>
          <w:tcPr>
            <w:tcW w:w="30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15,713</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13,633</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i w:val="1"/>
                <w:iCs w:val="1"/>
                <w:color w:val="auto"/>
              </w:rPr>
              <w:t>LNG Indy, LLC (dba Kinetrex Energy)</w:t>
            </w:r>
          </w:p>
        </w:tc>
        <w:tc>
          <w:tcPr>
            <w:tcW w:w="2860" w:type="dxa"/>
            <w:vAlign w:val="bottom"/>
          </w:tcPr>
          <w:p>
            <w:pPr>
              <w:ind w:left="160"/>
              <w:spacing w:after="0" w:line="135" w:lineRule="exact"/>
              <w:rPr>
                <w:sz w:val="20"/>
                <w:szCs w:val="20"/>
                <w:color w:val="auto"/>
              </w:rPr>
            </w:pPr>
            <w:r>
              <w:rPr>
                <w:rFonts w:ascii="Arial" w:cs="Arial" w:eastAsia="Arial" w:hAnsi="Arial"/>
                <w:sz w:val="13"/>
                <w:szCs w:val="13"/>
                <w:color w:val="auto"/>
              </w:rPr>
              <w:t>Oil &amp; Gas Distribution</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11.50%/0.00%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12/28/2016</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98"/>
              </w:rPr>
              <w:t>11/12/2021</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4,991</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42"/>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Common Equity (1,000 units)</w:t>
            </w: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12/28/2016</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1,264</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30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5,991</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6,264</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21"/>
        </w:trPr>
        <w:tc>
          <w:tcPr>
            <w:tcW w:w="3080" w:type="dxa"/>
            <w:vAlign w:val="bottom"/>
          </w:tcPr>
          <w:p>
            <w:pPr>
              <w:spacing w:after="0" w:line="121" w:lineRule="exact"/>
              <w:rPr>
                <w:sz w:val="20"/>
                <w:szCs w:val="20"/>
                <w:color w:val="auto"/>
              </w:rPr>
            </w:pPr>
            <w:r>
              <w:rPr>
                <w:rFonts w:ascii="Arial" w:cs="Arial" w:eastAsia="Arial" w:hAnsi="Arial"/>
                <w:sz w:val="13"/>
                <w:szCs w:val="13"/>
                <w:i w:val="1"/>
                <w:iCs w:val="1"/>
                <w:color w:val="auto"/>
              </w:rPr>
              <w:t>Marco Group International OpCo, LLC</w:t>
            </w:r>
          </w:p>
        </w:tc>
        <w:tc>
          <w:tcPr>
            <w:tcW w:w="2860" w:type="dxa"/>
            <w:vAlign w:val="bottom"/>
          </w:tcPr>
          <w:p>
            <w:pPr>
              <w:ind w:left="160"/>
              <w:spacing w:after="0" w:line="121" w:lineRule="exact"/>
              <w:rPr>
                <w:sz w:val="20"/>
                <w:szCs w:val="20"/>
                <w:color w:val="auto"/>
              </w:rPr>
            </w:pPr>
            <w:r>
              <w:rPr>
                <w:rFonts w:ascii="Arial" w:cs="Arial" w:eastAsia="Arial" w:hAnsi="Arial"/>
                <w:sz w:val="13"/>
                <w:szCs w:val="13"/>
                <w:color w:val="auto"/>
              </w:rPr>
              <w:t>Industrial Cleaning &amp;</w:t>
            </w: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9"/>
        </w:trPr>
        <w:tc>
          <w:tcPr>
            <w:tcW w:w="3080" w:type="dxa"/>
            <w:vAlign w:val="bottom"/>
          </w:tcPr>
          <w:p>
            <w:pPr>
              <w:spacing w:after="0"/>
              <w:rPr>
                <w:sz w:val="12"/>
                <w:szCs w:val="12"/>
                <w:color w:val="auto"/>
              </w:rPr>
            </w:pPr>
          </w:p>
        </w:tc>
        <w:tc>
          <w:tcPr>
            <w:tcW w:w="2860" w:type="dxa"/>
            <w:vAlign w:val="bottom"/>
          </w:tcPr>
          <w:p>
            <w:pPr>
              <w:ind w:left="160"/>
              <w:spacing w:after="0"/>
              <w:rPr>
                <w:sz w:val="20"/>
                <w:szCs w:val="20"/>
                <w:color w:val="auto"/>
              </w:rPr>
            </w:pPr>
            <w:r>
              <w:rPr>
                <w:rFonts w:ascii="Arial" w:cs="Arial" w:eastAsia="Arial" w:hAnsi="Arial"/>
                <w:sz w:val="13"/>
                <w:szCs w:val="13"/>
                <w:color w:val="auto"/>
              </w:rPr>
              <w:t>Coatings</w:t>
            </w: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10.50%/0.75%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7/21/2017</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1/21/2023</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12,225</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12,192</w:t>
            </w: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12,120</w:t>
            </w:r>
          </w:p>
        </w:tc>
        <w:tc>
          <w:tcPr>
            <w:tcW w:w="520" w:type="dxa"/>
            <w:vAlign w:val="bottom"/>
            <w:shd w:val="clear" w:color="auto" w:fill="CCEEFF"/>
          </w:tcPr>
          <w:p>
            <w:pPr>
              <w:spacing w:after="0"/>
              <w:rPr>
                <w:sz w:val="11"/>
                <w:szCs w:val="11"/>
                <w:color w:val="auto"/>
              </w:rPr>
            </w:pPr>
          </w:p>
        </w:tc>
      </w:tr>
      <w:tr>
        <w:trPr>
          <w:trHeight w:val="142"/>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Common Equity (960,482 units) (h)(j)</w:t>
            </w: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7/21/2017</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960</w:t>
            </w:r>
          </w:p>
        </w:tc>
        <w:tc>
          <w:tcPr>
            <w:tcW w:w="1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1,063</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30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13,152</w:t>
            </w: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13,183</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i w:val="1"/>
                <w:iCs w:val="1"/>
                <w:color w:val="auto"/>
              </w:rPr>
              <w:t>Mesa Line Services, LLC</w:t>
            </w:r>
          </w:p>
        </w:tc>
        <w:tc>
          <w:tcPr>
            <w:tcW w:w="2860" w:type="dxa"/>
            <w:vAlign w:val="bottom"/>
          </w:tcPr>
          <w:p>
            <w:pPr>
              <w:ind w:left="160"/>
              <w:spacing w:after="0" w:line="135" w:lineRule="exact"/>
              <w:rPr>
                <w:sz w:val="20"/>
                <w:szCs w:val="20"/>
                <w:color w:val="auto"/>
              </w:rPr>
            </w:pPr>
            <w:r>
              <w:rPr>
                <w:rFonts w:ascii="Arial" w:cs="Arial" w:eastAsia="Arial" w:hAnsi="Arial"/>
                <w:sz w:val="13"/>
                <w:szCs w:val="13"/>
                <w:color w:val="auto"/>
              </w:rPr>
              <w:t>Utilities: Services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 (j)</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10.50%/1.75%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11/30/2017</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8/1/2024</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17,221</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17,133</w:t>
            </w: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17,221</w:t>
            </w:r>
          </w:p>
        </w:tc>
        <w:tc>
          <w:tcPr>
            <w:tcW w:w="520" w:type="dxa"/>
            <w:vAlign w:val="bottom"/>
            <w:shd w:val="clear" w:color="auto" w:fill="CCEEFF"/>
          </w:tcPr>
          <w:p>
            <w:pPr>
              <w:spacing w:after="0"/>
              <w:rPr>
                <w:sz w:val="11"/>
                <w:szCs w:val="11"/>
                <w:color w:val="auto"/>
              </w:rPr>
            </w:pPr>
          </w:p>
        </w:tc>
      </w:tr>
      <w:tr>
        <w:trPr>
          <w:trHeight w:val="135"/>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Common Equity (981 shares) (j)</w:t>
            </w:r>
          </w:p>
        </w:tc>
        <w:tc>
          <w:tcPr>
            <w:tcW w:w="2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11/30/2017</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1,148</w:t>
            </w:r>
          </w:p>
        </w:tc>
        <w:tc>
          <w:tcPr>
            <w:tcW w:w="16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961</w:t>
            </w:r>
          </w:p>
        </w:tc>
        <w:tc>
          <w:tcPr>
            <w:tcW w:w="520" w:type="dxa"/>
            <w:vAlign w:val="bottom"/>
          </w:tcPr>
          <w:p>
            <w:pPr>
              <w:spacing w:after="0"/>
              <w:rPr>
                <w:sz w:val="11"/>
                <w:szCs w:val="11"/>
                <w:color w:val="auto"/>
              </w:rPr>
            </w:pPr>
          </w:p>
        </w:tc>
      </w:tr>
      <w:tr>
        <w:trPr>
          <w:trHeight w:val="27"/>
        </w:trPr>
        <w:tc>
          <w:tcPr>
            <w:tcW w:w="3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35"/>
        </w:trPr>
        <w:tc>
          <w:tcPr>
            <w:tcW w:w="30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18,281</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18,182</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3"/>
                <w:szCs w:val="13"/>
                <w:i w:val="1"/>
                <w:iCs w:val="1"/>
                <w:color w:val="auto"/>
              </w:rPr>
              <w:t>Midwest Transit Equipment, Inc.</w:t>
            </w:r>
          </w:p>
        </w:tc>
        <w:tc>
          <w:tcPr>
            <w:tcW w:w="2860" w:type="dxa"/>
            <w:vAlign w:val="bottom"/>
          </w:tcPr>
          <w:p>
            <w:pPr>
              <w:ind w:left="160"/>
              <w:spacing w:after="0" w:line="135" w:lineRule="exact"/>
              <w:rPr>
                <w:sz w:val="20"/>
                <w:szCs w:val="20"/>
                <w:color w:val="auto"/>
              </w:rPr>
            </w:pPr>
            <w:r>
              <w:rPr>
                <w:rFonts w:ascii="Arial" w:cs="Arial" w:eastAsia="Arial" w:hAnsi="Arial"/>
                <w:sz w:val="13"/>
                <w:szCs w:val="13"/>
                <w:color w:val="auto"/>
              </w:rPr>
              <w:t>Transportation services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Warrant (14,384 shares) (j)(m)</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6/23/2017</w:t>
            </w: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361</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1,244</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42"/>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w w:val="93"/>
              </w:rPr>
              <w:t>Warrant (9.59% of Junior Subordinated Notes) (j)(q)</w:t>
            </w: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6/23/2017</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381</w:t>
            </w: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467</w:t>
            </w:r>
          </w:p>
        </w:tc>
        <w:tc>
          <w:tcPr>
            <w:tcW w:w="520" w:type="dxa"/>
            <w:vAlign w:val="bottom"/>
          </w:tcPr>
          <w:p>
            <w:pPr>
              <w:spacing w:after="0"/>
              <w:rPr>
                <w:sz w:val="12"/>
                <w:szCs w:val="12"/>
                <w:color w:val="auto"/>
              </w:rPr>
            </w:pPr>
          </w:p>
        </w:tc>
      </w:tr>
      <w:tr>
        <w:trPr>
          <w:trHeight w:val="135"/>
        </w:trPr>
        <w:tc>
          <w:tcPr>
            <w:tcW w:w="30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742</w:t>
            </w:r>
          </w:p>
        </w:tc>
        <w:tc>
          <w:tcPr>
            <w:tcW w:w="1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1,711</w:t>
            </w: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121"/>
        </w:trPr>
        <w:tc>
          <w:tcPr>
            <w:tcW w:w="3080" w:type="dxa"/>
            <w:vAlign w:val="bottom"/>
          </w:tcPr>
          <w:p>
            <w:pPr>
              <w:spacing w:after="0" w:line="121" w:lineRule="exact"/>
              <w:rPr>
                <w:sz w:val="20"/>
                <w:szCs w:val="20"/>
                <w:color w:val="auto"/>
              </w:rPr>
            </w:pPr>
            <w:r>
              <w:rPr>
                <w:rFonts w:ascii="Arial" w:cs="Arial" w:eastAsia="Arial" w:hAnsi="Arial"/>
                <w:sz w:val="13"/>
                <w:szCs w:val="13"/>
                <w:i w:val="1"/>
                <w:iCs w:val="1"/>
                <w:color w:val="auto"/>
                <w:w w:val="93"/>
              </w:rPr>
              <w:t>NGT Acquisition Holdings, LLC (dba Techniks Industries)</w:t>
            </w:r>
          </w:p>
        </w:tc>
        <w:tc>
          <w:tcPr>
            <w:tcW w:w="2860" w:type="dxa"/>
            <w:vAlign w:val="bottom"/>
          </w:tcPr>
          <w:p>
            <w:pPr>
              <w:ind w:left="160"/>
              <w:spacing w:after="0" w:line="121" w:lineRule="exact"/>
              <w:rPr>
                <w:sz w:val="20"/>
                <w:szCs w:val="20"/>
                <w:color w:val="auto"/>
              </w:rPr>
            </w:pPr>
            <w:r>
              <w:rPr>
                <w:rFonts w:ascii="Arial" w:cs="Arial" w:eastAsia="Arial" w:hAnsi="Arial"/>
                <w:sz w:val="13"/>
                <w:szCs w:val="13"/>
                <w:color w:val="auto"/>
              </w:rPr>
              <w:t>Component</w:t>
            </w: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9"/>
        </w:trPr>
        <w:tc>
          <w:tcPr>
            <w:tcW w:w="3080" w:type="dxa"/>
            <w:vAlign w:val="bottom"/>
          </w:tcPr>
          <w:p>
            <w:pPr>
              <w:spacing w:after="0"/>
              <w:rPr>
                <w:sz w:val="12"/>
                <w:szCs w:val="12"/>
                <w:color w:val="auto"/>
              </w:rPr>
            </w:pPr>
          </w:p>
        </w:tc>
        <w:tc>
          <w:tcPr>
            <w:tcW w:w="2860" w:type="dxa"/>
            <w:vAlign w:val="bottom"/>
          </w:tcPr>
          <w:p>
            <w:pPr>
              <w:ind w:left="160"/>
              <w:spacing w:after="0"/>
              <w:rPr>
                <w:sz w:val="20"/>
                <w:szCs w:val="20"/>
                <w:color w:val="auto"/>
              </w:rPr>
            </w:pPr>
            <w:r>
              <w:rPr>
                <w:rFonts w:ascii="Arial" w:cs="Arial" w:eastAsia="Arial" w:hAnsi="Arial"/>
                <w:sz w:val="13"/>
                <w:szCs w:val="13"/>
                <w:color w:val="auto"/>
              </w:rPr>
              <w:t>Manufacturing</w:t>
            </w: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Common Equity (378 units) (j)</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5/24/2017</w:t>
            </w: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500</w:t>
            </w: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155</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70"/>
        </w:trPr>
        <w:tc>
          <w:tcPr>
            <w:tcW w:w="3080" w:type="dxa"/>
            <w:vAlign w:val="bottom"/>
          </w:tcPr>
          <w:p>
            <w:pPr>
              <w:spacing w:after="0"/>
              <w:rPr>
                <w:sz w:val="20"/>
                <w:szCs w:val="20"/>
                <w:color w:val="auto"/>
              </w:rPr>
            </w:pPr>
            <w:r>
              <w:rPr>
                <w:rFonts w:ascii="Arial" w:cs="Arial" w:eastAsia="Arial" w:hAnsi="Arial"/>
                <w:sz w:val="13"/>
                <w:szCs w:val="13"/>
                <w:i w:val="1"/>
                <w:iCs w:val="1"/>
                <w:color w:val="auto"/>
              </w:rPr>
              <w:t>OMC Investors, LLC (dba Ohio Medical Corporation)</w:t>
            </w:r>
          </w:p>
        </w:tc>
        <w:tc>
          <w:tcPr>
            <w:tcW w:w="2860" w:type="dxa"/>
            <w:vAlign w:val="bottom"/>
          </w:tcPr>
          <w:p>
            <w:pPr>
              <w:ind w:left="160"/>
              <w:spacing w:after="0"/>
              <w:rPr>
                <w:sz w:val="20"/>
                <w:szCs w:val="20"/>
                <w:color w:val="auto"/>
              </w:rPr>
            </w:pPr>
            <w:r>
              <w:rPr>
                <w:rFonts w:ascii="Arial" w:cs="Arial" w:eastAsia="Arial" w:hAnsi="Arial"/>
                <w:sz w:val="13"/>
                <w:szCs w:val="13"/>
                <w:color w:val="auto"/>
              </w:rPr>
              <w:t>Healthcare Products</w:t>
            </w: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30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12.00%/0.00%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1/15/2016</w:t>
            </w:r>
          </w:p>
        </w:tc>
        <w:tc>
          <w:tcPr>
            <w:tcW w:w="8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7/15/2021</w:t>
            </w:r>
          </w:p>
        </w:tc>
        <w:tc>
          <w:tcPr>
            <w:tcW w:w="6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9,972</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10,000</w:t>
            </w:r>
          </w:p>
        </w:tc>
        <w:tc>
          <w:tcPr>
            <w:tcW w:w="520" w:type="dxa"/>
            <w:vAlign w:val="bottom"/>
            <w:shd w:val="clear" w:color="auto" w:fill="CCEEFF"/>
          </w:tcPr>
          <w:p>
            <w:pPr>
              <w:spacing w:after="0"/>
              <w:rPr>
                <w:sz w:val="11"/>
                <w:szCs w:val="11"/>
                <w:color w:val="auto"/>
              </w:rPr>
            </w:pPr>
          </w:p>
        </w:tc>
      </w:tr>
      <w:tr>
        <w:trPr>
          <w:trHeight w:val="135"/>
        </w:trPr>
        <w:tc>
          <w:tcPr>
            <w:tcW w:w="3080" w:type="dxa"/>
            <w:vAlign w:val="bottom"/>
          </w:tcPr>
          <w:p>
            <w:pPr>
              <w:ind w:left="260"/>
              <w:spacing w:after="0" w:line="135" w:lineRule="exact"/>
              <w:rPr>
                <w:sz w:val="20"/>
                <w:szCs w:val="20"/>
                <w:color w:val="auto"/>
              </w:rPr>
            </w:pPr>
            <w:r>
              <w:rPr>
                <w:rFonts w:ascii="Arial" w:cs="Arial" w:eastAsia="Arial" w:hAnsi="Arial"/>
                <w:sz w:val="13"/>
                <w:szCs w:val="13"/>
                <w:color w:val="auto"/>
              </w:rPr>
              <w:t>Common Equity (5,000 units)</w:t>
            </w:r>
          </w:p>
        </w:tc>
        <w:tc>
          <w:tcPr>
            <w:tcW w:w="2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1/15/2016</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500</w:t>
            </w:r>
          </w:p>
        </w:tc>
        <w:tc>
          <w:tcPr>
            <w:tcW w:w="16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475</w:t>
            </w:r>
          </w:p>
        </w:tc>
        <w:tc>
          <w:tcPr>
            <w:tcW w:w="520" w:type="dxa"/>
            <w:vAlign w:val="bottom"/>
          </w:tcPr>
          <w:p>
            <w:pPr>
              <w:spacing w:after="0"/>
              <w:rPr>
                <w:sz w:val="11"/>
                <w:szCs w:val="11"/>
                <w:color w:val="auto"/>
              </w:rPr>
            </w:pPr>
          </w:p>
        </w:tc>
      </w:tr>
      <w:tr>
        <w:trPr>
          <w:trHeight w:val="27"/>
        </w:trPr>
        <w:tc>
          <w:tcPr>
            <w:tcW w:w="3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35"/>
        </w:trPr>
        <w:tc>
          <w:tcPr>
            <w:tcW w:w="30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10,472</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10,475</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bl>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60"/>
          </w:cols>
          <w:pgMar w:left="240" w:top="459" w:right="49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44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Variable Index</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Rate (e)</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Principal</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Fair</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49"/>
        </w:trPr>
        <w:tc>
          <w:tcPr>
            <w:tcW w:w="244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160" w:type="dxa"/>
            <w:vAlign w:val="bottom"/>
          </w:tcPr>
          <w:p>
            <w:pPr>
              <w:spacing w:after="0"/>
              <w:rPr>
                <w:sz w:val="12"/>
                <w:szCs w:val="12"/>
                <w:color w:val="auto"/>
              </w:rPr>
            </w:pPr>
          </w:p>
        </w:tc>
        <w:tc>
          <w:tcPr>
            <w:tcW w:w="1880" w:type="dxa"/>
            <w:vAlign w:val="bottom"/>
            <w:gridSpan w:val="2"/>
          </w:tcPr>
          <w:p>
            <w:pPr>
              <w:ind w:left="660"/>
              <w:spacing w:after="0"/>
              <w:rPr>
                <w:sz w:val="20"/>
                <w:szCs w:val="20"/>
                <w:color w:val="auto"/>
              </w:rPr>
            </w:pPr>
            <w:r>
              <w:rPr>
                <w:rFonts w:ascii="Arial" w:cs="Arial" w:eastAsia="Arial" w:hAnsi="Arial"/>
                <w:sz w:val="13"/>
                <w:szCs w:val="13"/>
                <w:b w:val="1"/>
                <w:bCs w:val="1"/>
                <w:color w:val="auto"/>
              </w:rPr>
              <w:t>Industry</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Spread / Floor (d)</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Cash/PIK</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Date (f)</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2"/>
                <w:szCs w:val="12"/>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2"/>
                <w:szCs w:val="12"/>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Value (g)</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Palisade Company, LLC</w:t>
            </w:r>
          </w:p>
        </w:tc>
        <w:tc>
          <w:tcPr>
            <w:tcW w:w="16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w w:val="92"/>
              </w:rPr>
              <w:t>Information Technology Services</w:t>
            </w: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11.75%/0.00%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11/15/2018</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5/15/2024</w:t>
            </w:r>
          </w:p>
        </w:tc>
        <w:tc>
          <w:tcPr>
            <w:tcW w:w="80" w:type="dxa"/>
            <w:vAlign w:val="bottom"/>
          </w:tcPr>
          <w:p>
            <w:pPr>
              <w:spacing w:after="0"/>
              <w:rPr>
                <w:sz w:val="11"/>
                <w:szCs w:val="11"/>
                <w:color w:val="auto"/>
              </w:rPr>
            </w:pPr>
          </w:p>
        </w:tc>
        <w:tc>
          <w:tcPr>
            <w:tcW w:w="6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   6,500</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$ 6,474</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  6,500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 shares) (j)</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11/15/2018</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901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7,474</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7,401</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Palmetto Moon, LLC</w:t>
            </w:r>
          </w:p>
        </w:tc>
        <w:tc>
          <w:tcPr>
            <w:tcW w:w="20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Retail</w:t>
            </w: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11.50%/2.50%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11/3/2016</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10/31/2021</w:t>
            </w:r>
          </w:p>
        </w:tc>
        <w:tc>
          <w:tcPr>
            <w:tcW w:w="6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4,963</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4,949</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4,963</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(499 units) (j)</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11/3/2016</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494</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67</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5,443</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5,030</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Power Grid Components, Inc.</w:t>
            </w:r>
          </w:p>
        </w:tc>
        <w:tc>
          <w:tcPr>
            <w:tcW w:w="20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Specialty Distribution</w:t>
            </w: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11.00%/1.00%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4/12/2018</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12/2/2025</w:t>
            </w:r>
          </w:p>
        </w:tc>
        <w:tc>
          <w:tcPr>
            <w:tcW w:w="80" w:type="dxa"/>
            <w:vAlign w:val="bottom"/>
          </w:tcPr>
          <w:p>
            <w:pPr>
              <w:spacing w:after="0"/>
              <w:rPr>
                <w:sz w:val="11"/>
                <w:szCs w:val="11"/>
                <w:color w:val="auto"/>
              </w:rPr>
            </w:pPr>
          </w:p>
        </w:tc>
        <w:tc>
          <w:tcPr>
            <w:tcW w:w="6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22,207</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22,115</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22,207</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(392 shares) (j)</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4/12/2018</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392</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(48 shares) (j)</w:t>
            </w: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12/2/2019</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48</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(10,622 shares) (j)</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4/12/2018</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462</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610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23,017</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23,333</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Prime AE Group, Inc.</w:t>
            </w:r>
          </w:p>
        </w:tc>
        <w:tc>
          <w:tcPr>
            <w:tcW w:w="20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ind w:left="220"/>
              <w:spacing w:after="0" w:line="135" w:lineRule="exact"/>
              <w:rPr>
                <w:sz w:val="20"/>
                <w:szCs w:val="20"/>
                <w:color w:val="auto"/>
              </w:rPr>
            </w:pPr>
            <w:r>
              <w:rPr>
                <w:rFonts w:ascii="Arial" w:cs="Arial" w:eastAsia="Arial" w:hAnsi="Arial"/>
                <w:sz w:val="13"/>
                <w:szCs w:val="13"/>
                <w:color w:val="auto"/>
                <w:w w:val="96"/>
              </w:rPr>
              <w:t>(L + 6.25%) / (2.00%)</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8.25%/0.00%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11/25/2019</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11/25/2024</w:t>
            </w:r>
          </w:p>
        </w:tc>
        <w:tc>
          <w:tcPr>
            <w:tcW w:w="6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7,500</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7,312</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7,312</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(500,000 shares) (j)</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11/25/2019</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7,812</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7,812</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Pugh Lubricants, LLC</w:t>
            </w:r>
          </w:p>
        </w:tc>
        <w:tc>
          <w:tcPr>
            <w:tcW w:w="20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Specialty Distribution</w:t>
            </w: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12.25%/0.00%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11/10/2016</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5/10/2022</w:t>
            </w:r>
          </w:p>
        </w:tc>
        <w:tc>
          <w:tcPr>
            <w:tcW w:w="80" w:type="dxa"/>
            <w:vAlign w:val="bottom"/>
          </w:tcPr>
          <w:p>
            <w:pPr>
              <w:spacing w:after="0"/>
              <w:rPr>
                <w:sz w:val="11"/>
                <w:szCs w:val="11"/>
                <w:color w:val="auto"/>
              </w:rPr>
            </w:pPr>
          </w:p>
        </w:tc>
        <w:tc>
          <w:tcPr>
            <w:tcW w:w="6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23,581</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23,521</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23,581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(6,125 units) (h)(j)</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11/10/2016</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576</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1,199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24,097</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24,780</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Revenue Management Solutions, LLC</w:t>
            </w:r>
          </w:p>
        </w:tc>
        <w:tc>
          <w:tcPr>
            <w:tcW w:w="20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w w:val="98"/>
              </w:rPr>
              <w:t>Information Technology Services</w:t>
            </w: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2"/>
          </w:tcPr>
          <w:p>
            <w:pPr>
              <w:ind w:left="240"/>
              <w:spacing w:after="0"/>
              <w:rPr>
                <w:sz w:val="20"/>
                <w:szCs w:val="20"/>
                <w:color w:val="auto"/>
              </w:rPr>
            </w:pPr>
            <w:r>
              <w:rPr>
                <w:rFonts w:ascii="Arial" w:cs="Arial" w:eastAsia="Arial" w:hAnsi="Arial"/>
                <w:sz w:val="13"/>
                <w:szCs w:val="13"/>
                <w:color w:val="auto"/>
              </w:rPr>
              <w:t>Common Equity (2,250,000 shares)</w:t>
            </w: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1/4/2017</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3"/>
                <w:szCs w:val="13"/>
                <w:color w:val="auto"/>
              </w:rPr>
              <w:t>2,250</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5,120</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Rhino Assembly Company, LLC</w:t>
            </w:r>
          </w:p>
        </w:tc>
        <w:tc>
          <w:tcPr>
            <w:tcW w:w="20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Specialty Distribution</w:t>
            </w: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12.00%/1.00%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8/11/2017</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2/11/2023</w:t>
            </w:r>
          </w:p>
        </w:tc>
        <w:tc>
          <w:tcPr>
            <w:tcW w:w="80" w:type="dxa"/>
            <w:vAlign w:val="bottom"/>
          </w:tcPr>
          <w:p>
            <w:pPr>
              <w:spacing w:after="0"/>
              <w:rPr>
                <w:sz w:val="11"/>
                <w:szCs w:val="11"/>
                <w:color w:val="auto"/>
              </w:rPr>
            </w:pPr>
          </w:p>
        </w:tc>
        <w:tc>
          <w:tcPr>
            <w:tcW w:w="6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11,440</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11,402</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10,101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gridSpan w:val="5"/>
            <w:shd w:val="clear" w:color="auto" w:fill="CCEEFF"/>
          </w:tcPr>
          <w:p>
            <w:pPr>
              <w:ind w:left="240"/>
              <w:spacing w:after="0" w:line="135" w:lineRule="exact"/>
              <w:rPr>
                <w:sz w:val="20"/>
                <w:szCs w:val="20"/>
                <w:color w:val="auto"/>
              </w:rPr>
            </w:pPr>
            <w:r>
              <w:rPr>
                <w:rFonts w:ascii="Arial" w:cs="Arial" w:eastAsia="Arial" w:hAnsi="Arial"/>
                <w:sz w:val="13"/>
                <w:szCs w:val="13"/>
                <w:color w:val="auto"/>
              </w:rPr>
              <w:t>Delayed Draw Commitment ($875 commitment) (i)(j)</w:t>
            </w: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12.00%/1.00%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8/11/2017</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5/17/2022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(8,864 units) (h)(j)</w:t>
            </w: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8/11/2017</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944</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499</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12,346</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10,600</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Road Safety Services, Inc.</w:t>
            </w:r>
          </w:p>
        </w:tc>
        <w:tc>
          <w:tcPr>
            <w:tcW w:w="204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11.25%/1.50%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9/18/2018</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3/18/2024</w:t>
            </w: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10,222</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10,185</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10,222</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(655 units)</w:t>
            </w: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9/18/2018</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621</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680</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10,806</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10,902</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Rohrer Corporation</w:t>
            </w:r>
          </w:p>
        </w:tc>
        <w:tc>
          <w:tcPr>
            <w:tcW w:w="204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Packaging</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10.50%/1.00%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10/1/2018</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4/1/2024</w:t>
            </w:r>
          </w:p>
        </w:tc>
        <w:tc>
          <w:tcPr>
            <w:tcW w:w="6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13,875</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13,822</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13,875</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(400 shares)</w:t>
            </w: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7/18/2016</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780</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1,256</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14,602</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15,131</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SES Investors, LLC (dba SES Foam)</w:t>
            </w:r>
          </w:p>
        </w:tc>
        <w:tc>
          <w:tcPr>
            <w:tcW w:w="2040" w:type="dxa"/>
            <w:vAlign w:val="bottom"/>
            <w:gridSpan w:val="3"/>
          </w:tcPr>
          <w:p>
            <w:pPr>
              <w:ind w:left="160"/>
              <w:spacing w:after="0" w:line="135" w:lineRule="exact"/>
              <w:rPr>
                <w:sz w:val="20"/>
                <w:szCs w:val="20"/>
                <w:color w:val="auto"/>
              </w:rPr>
            </w:pPr>
            <w:r>
              <w:rPr>
                <w:rFonts w:ascii="Arial" w:cs="Arial" w:eastAsia="Arial" w:hAnsi="Arial"/>
                <w:sz w:val="13"/>
                <w:szCs w:val="13"/>
                <w:color w:val="auto"/>
                <w:w w:val="99"/>
              </w:rPr>
              <w:t>Building Products Manufacturing</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13.00%/0.00%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9/8/2016</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12/29/2020</w:t>
            </w:r>
          </w:p>
        </w:tc>
        <w:tc>
          <w:tcPr>
            <w:tcW w:w="6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3,095</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3,082</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3,095</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(6,000 units) (h)(j)</w:t>
            </w: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9/8/2016</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567</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856</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3,649</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3,951</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Software Technology, LLC</w:t>
            </w:r>
          </w:p>
        </w:tc>
        <w:tc>
          <w:tcPr>
            <w:tcW w:w="2040" w:type="dxa"/>
            <w:vAlign w:val="bottom"/>
            <w:gridSpan w:val="3"/>
          </w:tcPr>
          <w:p>
            <w:pPr>
              <w:ind w:left="160"/>
              <w:spacing w:after="0" w:line="135" w:lineRule="exact"/>
              <w:rPr>
                <w:sz w:val="20"/>
                <w:szCs w:val="20"/>
                <w:color w:val="auto"/>
              </w:rPr>
            </w:pPr>
            <w:r>
              <w:rPr>
                <w:rFonts w:ascii="Arial" w:cs="Arial" w:eastAsia="Arial" w:hAnsi="Arial"/>
                <w:sz w:val="13"/>
                <w:szCs w:val="13"/>
                <w:color w:val="auto"/>
                <w:w w:val="98"/>
              </w:rPr>
              <w:t>Information Technology Services</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11.00%/0.00%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12/23/2016</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6/23/2023</w:t>
            </w: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10,000</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9,972</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(12 shares)</w:t>
            </w: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12/23/2016</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1,291</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1,578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11,263</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11,578</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w w:val="93"/>
              </w:rPr>
              <w:t>Specialized Elevator Services Holdings, LLC</w:t>
            </w:r>
          </w:p>
        </w:tc>
        <w:tc>
          <w:tcPr>
            <w:tcW w:w="204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(j)(y)</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w w:val="96"/>
              </w:rPr>
              <w:t>(L + 5.25%) / (2.00%)</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7.25%/0.00%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5/7/2019</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5/3/2024</w:t>
            </w:r>
          </w:p>
        </w:tc>
        <w:tc>
          <w:tcPr>
            <w:tcW w:w="6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7,080</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6,985</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7,080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(500 units) (j)</w:t>
            </w: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5/8/2019</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554</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7,485</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7,634</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SpendMend LLC</w:t>
            </w:r>
          </w:p>
        </w:tc>
        <w:tc>
          <w:tcPr>
            <w:tcW w:w="204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11.00%/1.00%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1/8/2018</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7/8/2023</w:t>
            </w:r>
          </w:p>
        </w:tc>
        <w:tc>
          <w:tcPr>
            <w:tcW w:w="6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10,491</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10,456</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10,491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1/8/2018</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1,400</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11,456</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11,891</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TransGo, LLC</w:t>
            </w:r>
          </w:p>
        </w:tc>
        <w:tc>
          <w:tcPr>
            <w:tcW w:w="204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Component Manufacturing</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 units)</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2/28/2017</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998</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1,005</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70"/>
        </w:trPr>
        <w:tc>
          <w:tcPr>
            <w:tcW w:w="2440" w:type="dxa"/>
            <w:vAlign w:val="bottom"/>
            <w:gridSpan w:val="3"/>
          </w:tcPr>
          <w:p>
            <w:pPr>
              <w:spacing w:after="0"/>
              <w:rPr>
                <w:sz w:val="20"/>
                <w:szCs w:val="20"/>
                <w:color w:val="auto"/>
              </w:rPr>
            </w:pPr>
            <w:r>
              <w:rPr>
                <w:rFonts w:ascii="Arial" w:cs="Arial" w:eastAsia="Arial" w:hAnsi="Arial"/>
                <w:sz w:val="13"/>
                <w:szCs w:val="13"/>
                <w:i w:val="1"/>
                <w:iCs w:val="1"/>
                <w:color w:val="auto"/>
              </w:rPr>
              <w:t>The Tranzonic Companies</w:t>
            </w:r>
          </w:p>
        </w:tc>
        <w:tc>
          <w:tcPr>
            <w:tcW w:w="2040" w:type="dxa"/>
            <w:vAlign w:val="bottom"/>
            <w:gridSpan w:val="3"/>
          </w:tcPr>
          <w:p>
            <w:pPr>
              <w:ind w:left="160"/>
              <w:spacing w:after="0"/>
              <w:rPr>
                <w:sz w:val="20"/>
                <w:szCs w:val="20"/>
                <w:color w:val="auto"/>
              </w:rPr>
            </w:pPr>
            <w:r>
              <w:rPr>
                <w:rFonts w:ascii="Arial" w:cs="Arial" w:eastAsia="Arial" w:hAnsi="Arial"/>
                <w:sz w:val="13"/>
                <w:szCs w:val="13"/>
                <w:color w:val="auto"/>
              </w:rPr>
              <w:t>Specialty Distribution</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10.00%/1.50%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3/27/2018</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3/27/2025</w:t>
            </w:r>
          </w:p>
        </w:tc>
        <w:tc>
          <w:tcPr>
            <w:tcW w:w="8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6,922</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6,870</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6,922</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(5,653 units) (j)</w:t>
            </w: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3/27/2018</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565</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663</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 units) (j)</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3/27/2018</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7,435</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7,611</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UBEO, LLC</w:t>
            </w:r>
          </w:p>
        </w:tc>
        <w:tc>
          <w:tcPr>
            <w:tcW w:w="20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11.00%/0.00%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4/3/2018</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10/3/2024</w:t>
            </w:r>
          </w:p>
        </w:tc>
        <w:tc>
          <w:tcPr>
            <w:tcW w:w="80" w:type="dxa"/>
            <w:vAlign w:val="bottom"/>
          </w:tcPr>
          <w:p>
            <w:pPr>
              <w:spacing w:after="0"/>
              <w:rPr>
                <w:sz w:val="11"/>
                <w:szCs w:val="11"/>
                <w:color w:val="auto"/>
              </w:rPr>
            </w:pPr>
          </w:p>
        </w:tc>
        <w:tc>
          <w:tcPr>
            <w:tcW w:w="62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13,893</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13,792</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13,645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(705,000 units) (h)(j)</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4/3/2018</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705</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811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14,497</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14,456</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United Biologics, LLC</w:t>
            </w:r>
          </w:p>
        </w:tc>
        <w:tc>
          <w:tcPr>
            <w:tcW w:w="20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Healthcare Services</w:t>
            </w: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(98,377 units) (h)(j)</w:t>
            </w: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4/1/2012</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1,008</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(57,469 units) (m)</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3/5/2012</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566</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1,574</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44</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Vanguard Dealer Services, L.L.C. (n)</w:t>
            </w:r>
          </w:p>
        </w:tc>
        <w:tc>
          <w:tcPr>
            <w:tcW w:w="20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(6,000 units)</w:t>
            </w: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7/30/2015</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(2,380 units) (j)</w:t>
            </w:r>
          </w:p>
        </w:tc>
        <w:tc>
          <w:tcPr>
            <w:tcW w:w="1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2/2/2018</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4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60"/>
          </w:cols>
          <w:pgMar w:left="240" w:top="459" w:right="499" w:bottom="1440" w:gutter="0" w:footer="0" w:header="0"/>
        </w:sectPr>
      </w:pPr>
    </w:p>
    <w:bookmarkStart w:id="83" w:name="page84"/>
    <w:bookmarkEnd w:id="83"/>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50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Variable Index</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Rate (e)</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Investment</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Principal</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49"/>
        </w:trPr>
        <w:tc>
          <w:tcPr>
            <w:tcW w:w="250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1940" w:type="dxa"/>
            <w:vAlign w:val="bottom"/>
            <w:gridSpan w:val="2"/>
          </w:tcPr>
          <w:p>
            <w:pPr>
              <w:ind w:left="680"/>
              <w:spacing w:after="0"/>
              <w:rPr>
                <w:sz w:val="20"/>
                <w:szCs w:val="20"/>
                <w:color w:val="auto"/>
              </w:rPr>
            </w:pPr>
            <w:r>
              <w:rPr>
                <w:rFonts w:ascii="Arial" w:cs="Arial" w:eastAsia="Arial" w:hAnsi="Arial"/>
                <w:sz w:val="13"/>
                <w:szCs w:val="13"/>
                <w:b w:val="1"/>
                <w:bCs w:val="1"/>
                <w:color w:val="auto"/>
              </w:rPr>
              <w:t>Industry</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Spread / Floor (d)</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Cash/PIK</w:t>
            </w: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Date (f)</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4"/>
              </w:rPr>
              <w:t>Maturity</w:t>
            </w: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2"/>
                <w:szCs w:val="12"/>
                <w:color w:val="auto"/>
              </w:rPr>
            </w:pPr>
          </w:p>
        </w:tc>
        <w:tc>
          <w:tcPr>
            <w:tcW w:w="560" w:type="dxa"/>
            <w:vAlign w:val="bottom"/>
            <w:gridSpan w:val="3"/>
          </w:tcPr>
          <w:p>
            <w:pPr>
              <w:ind w:left="40"/>
              <w:spacing w:after="0"/>
              <w:rPr>
                <w:sz w:val="20"/>
                <w:szCs w:val="20"/>
                <w:color w:val="auto"/>
              </w:rPr>
            </w:pPr>
            <w:r>
              <w:rPr>
                <w:rFonts w:ascii="Arial" w:cs="Arial" w:eastAsia="Arial" w:hAnsi="Arial"/>
                <w:sz w:val="13"/>
                <w:szCs w:val="13"/>
                <w:b w:val="1"/>
                <w:bCs w:val="1"/>
                <w:color w:val="auto"/>
              </w:rPr>
              <w:t>Cost</w:t>
            </w: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Value (g)</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48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Virginia Tile Company, LLC</w:t>
            </w:r>
          </w:p>
        </w:tc>
        <w:tc>
          <w:tcPr>
            <w:tcW w:w="18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Specialty Distribution</w:t>
            </w: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89"/>
              </w:rPr>
              <w:t>12.25%/0.00%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12/19/2014</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4"/>
              </w:rPr>
              <w:t>4/7/2022</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w w:val="88"/>
              </w:rPr>
              <w:t>$  12,000</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11,989</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(17 units)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12/19/2014</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342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860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12,331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12,860</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Wheel Pros, Inc.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Specialty Distribution</w:t>
            </w: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ind w:left="220"/>
              <w:spacing w:after="0" w:line="135" w:lineRule="exact"/>
              <w:rPr>
                <w:sz w:val="20"/>
                <w:szCs w:val="20"/>
                <w:color w:val="auto"/>
              </w:rPr>
            </w:pPr>
            <w:r>
              <w:rPr>
                <w:rFonts w:ascii="Arial" w:cs="Arial" w:eastAsia="Arial" w:hAnsi="Arial"/>
                <w:sz w:val="13"/>
                <w:szCs w:val="13"/>
                <w:color w:val="auto"/>
                <w:w w:val="98"/>
              </w:rPr>
              <w:t>(L + 8.50%) / (0.00%)</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89"/>
              </w:rPr>
              <w:t>10.30%/0.00%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5/17/2019</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4"/>
              </w:rPr>
              <w:t>4/4/2026</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20,000</w:t>
            </w:r>
          </w:p>
        </w:tc>
        <w:tc>
          <w:tcPr>
            <w:tcW w:w="80" w:type="dxa"/>
            <w:vAlign w:val="bottom"/>
          </w:tcPr>
          <w:p>
            <w:pPr>
              <w:spacing w:after="0"/>
              <w:rPr>
                <w:sz w:val="11"/>
                <w:szCs w:val="11"/>
                <w:color w:val="auto"/>
              </w:rPr>
            </w:pPr>
          </w:p>
        </w:tc>
        <w:tc>
          <w:tcPr>
            <w:tcW w:w="5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19,818</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(694,444 units) (j)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5/15/2019</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1,781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21,318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21,781</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Worldwide Express Operations, LLC</w:t>
            </w:r>
          </w:p>
        </w:tc>
        <w:tc>
          <w:tcPr>
            <w:tcW w:w="19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Transportation services</w:t>
            </w: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ind w:left="220"/>
              <w:spacing w:after="0" w:line="135" w:lineRule="exact"/>
              <w:rPr>
                <w:sz w:val="20"/>
                <w:szCs w:val="20"/>
                <w:color w:val="auto"/>
              </w:rPr>
            </w:pPr>
            <w:r>
              <w:rPr>
                <w:rFonts w:ascii="Arial" w:cs="Arial" w:eastAsia="Arial" w:hAnsi="Arial"/>
                <w:sz w:val="13"/>
                <w:szCs w:val="13"/>
                <w:color w:val="auto"/>
                <w:w w:val="98"/>
              </w:rPr>
              <w:t>(L + 8.00%) / (1.00%)</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9.90%/0.00%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2/27/2017</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4"/>
              </w:rPr>
              <w:t>2/3/2025</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20,000</w:t>
            </w:r>
          </w:p>
        </w:tc>
        <w:tc>
          <w:tcPr>
            <w:tcW w:w="80" w:type="dxa"/>
            <w:vAlign w:val="bottom"/>
          </w:tcPr>
          <w:p>
            <w:pPr>
              <w:spacing w:after="0"/>
              <w:rPr>
                <w:sz w:val="11"/>
                <w:szCs w:val="11"/>
                <w:color w:val="auto"/>
              </w:rPr>
            </w:pPr>
          </w:p>
        </w:tc>
        <w:tc>
          <w:tcPr>
            <w:tcW w:w="5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19,740</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(4,000 units) (h)(j)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2/27/2017</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2,956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4,452</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22,696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24,452</w:t>
            </w:r>
          </w:p>
        </w:tc>
        <w:tc>
          <w:tcPr>
            <w:tcW w:w="140" w:type="dxa"/>
            <w:vAlign w:val="bottom"/>
          </w:tcPr>
          <w:p>
            <w:pPr>
              <w:spacing w:after="0"/>
              <w:rPr>
                <w:sz w:val="12"/>
                <w:szCs w:val="12"/>
                <w:color w:val="auto"/>
              </w:rPr>
            </w:pPr>
          </w:p>
        </w:tc>
        <w:tc>
          <w:tcPr>
            <w:tcW w:w="7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2"/>
              </w:rPr>
              <w:t>Total Non-control/Non-affiliate Investments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620,453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623,544</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20"/>
        </w:trPr>
        <w:tc>
          <w:tcPr>
            <w:tcW w:w="25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 Investments</w:t>
            </w: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186%</w:t>
            </w:r>
          </w:p>
        </w:tc>
        <w:tc>
          <w:tcPr>
            <w:tcW w:w="0" w:type="dxa"/>
            <w:vAlign w:val="bottom"/>
          </w:tcPr>
          <w:p>
            <w:pPr>
              <w:spacing w:after="0" w:line="20" w:lineRule="exact"/>
              <w:rPr>
                <w:sz w:val="1"/>
                <w:szCs w:val="1"/>
                <w:color w:val="auto"/>
              </w:rPr>
            </w:pPr>
          </w:p>
        </w:tc>
      </w:tr>
      <w:tr>
        <w:trPr>
          <w:trHeight w:val="129"/>
        </w:trPr>
        <w:tc>
          <w:tcPr>
            <w:tcW w:w="250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704,499</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766,919</w:t>
            </w: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indicated. Equity investments are non-income producing unless otherwise noted.</w:t>
      </w:r>
    </w:p>
    <w:p>
      <w:pPr>
        <w:spacing w:after="0" w:line="32" w:lineRule="exact"/>
        <w:rPr>
          <w:rFonts w:ascii="Arial" w:cs="Arial" w:eastAsia="Arial" w:hAnsi="Arial"/>
          <w:sz w:val="16"/>
          <w:szCs w:val="16"/>
          <w:color w:val="auto"/>
        </w:rPr>
      </w:pPr>
    </w:p>
    <w:p>
      <w:pPr>
        <w:ind w:left="640" w:right="140" w:hanging="436"/>
        <w:spacing w:after="0" w:line="250"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December 31, 2019.</w:t>
      </w:r>
    </w:p>
    <w:p>
      <w:pPr>
        <w:spacing w:after="0" w:line="1" w:lineRule="exact"/>
        <w:rPr>
          <w:rFonts w:ascii="Arial" w:cs="Arial" w:eastAsia="Arial" w:hAnsi="Arial"/>
          <w:sz w:val="18"/>
          <w:szCs w:val="18"/>
          <w:color w:val="auto"/>
        </w:rPr>
      </w:pPr>
    </w:p>
    <w:p>
      <w:pPr>
        <w:ind w:left="640" w:right="940" w:hanging="436"/>
        <w:spacing w:after="0" w:line="250"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December 31, 2019. Generally, payment-in-kind interest can be paid-in-kind or all in cash.</w:t>
      </w: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 date represents the date of the initial investment in the security.</w:t>
      </w:r>
    </w:p>
    <w:p>
      <w:pPr>
        <w:spacing w:after="0" w:line="9"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 is held by a Taxable Subsidiary of the Company.</w:t>
      </w:r>
    </w:p>
    <w:p>
      <w:pPr>
        <w:spacing w:after="0" w:line="9" w:lineRule="exact"/>
        <w:rPr>
          <w:rFonts w:ascii="Arial" w:cs="Arial" w:eastAsia="Arial" w:hAnsi="Arial"/>
          <w:sz w:val="18"/>
          <w:szCs w:val="18"/>
          <w:color w:val="auto"/>
        </w:rPr>
      </w:pPr>
    </w:p>
    <w:p>
      <w:pPr>
        <w:ind w:left="640" w:right="220" w:hanging="436"/>
        <w:spacing w:after="0" w:line="265" w:lineRule="auto"/>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disclosed commitment represents the unfunded amount as of December 31, 2019. The Company is earning 0.50% interest on the unfunded balance of the commitment. The interest rate disclosed represents the rate which will be earned if the commitment is funded.</w:t>
      </w:r>
    </w:p>
    <w:p>
      <w:pPr>
        <w:ind w:left="640" w:right="120" w:hanging="436"/>
        <w:spacing w:after="0" w:line="281" w:lineRule="auto"/>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6"/>
          <w:szCs w:val="16"/>
          <w:color w:val="auto"/>
        </w:rPr>
      </w:pPr>
    </w:p>
    <w:p>
      <w:pPr>
        <w:ind w:left="640" w:right="40" w:hanging="436"/>
        <w:spacing w:after="0" w:line="250"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8"/>
          <w:szCs w:val="18"/>
          <w:color w:val="auto"/>
        </w:rPr>
      </w:pPr>
    </w:p>
    <w:p>
      <w:pPr>
        <w:ind w:left="640" w:right="280" w:hanging="436"/>
        <w:spacing w:after="0" w:line="281" w:lineRule="auto"/>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2" w:lineRule="exact"/>
        <w:rPr>
          <w:rFonts w:ascii="Arial" w:cs="Arial" w:eastAsia="Arial" w:hAnsi="Arial"/>
          <w:sz w:val="16"/>
          <w:szCs w:val="16"/>
          <w:color w:val="auto"/>
        </w:rPr>
      </w:pPr>
    </w:p>
    <w:p>
      <w:pPr>
        <w:ind w:left="640" w:right="400" w:hanging="436"/>
        <w:spacing w:after="0" w:line="281" w:lineRule="auto"/>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 w:lineRule="exact"/>
        <w:rPr>
          <w:rFonts w:ascii="Arial" w:cs="Arial" w:eastAsia="Arial" w:hAnsi="Arial"/>
          <w:sz w:val="16"/>
          <w:szCs w:val="16"/>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Income producing. Maturity date, if any, represents mandatory redemption date.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Investment was on non-accrual status as of December 31, 2019, meaning the Company has ceased recognizing interest income on the investment.</w:t>
      </w:r>
    </w:p>
    <w:p>
      <w:pPr>
        <w:spacing w:after="0" w:line="32" w:lineRule="exact"/>
        <w:rPr>
          <w:rFonts w:ascii="Arial" w:cs="Arial" w:eastAsia="Arial" w:hAnsi="Arial"/>
          <w:sz w:val="16"/>
          <w:szCs w:val="16"/>
          <w:color w:val="auto"/>
        </w:rPr>
      </w:pPr>
    </w:p>
    <w:p>
      <w:pPr>
        <w:ind w:left="640" w:right="180" w:hanging="436"/>
        <w:spacing w:after="0" w:line="250"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Warrant entitles the Company to purchase 9.59% of the outstanding principal of Junior Subordinated Notes prior to exercise, and is non-income producing.</w:t>
      </w:r>
    </w:p>
    <w:p>
      <w:pPr>
        <w:ind w:left="640" w:hanging="436"/>
        <w:spacing w:after="0" w:line="250"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jc w:val="both"/>
        <w:ind w:left="640" w:right="160" w:hanging="436"/>
        <w:spacing w:after="0" w:line="250"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 w:lineRule="exact"/>
        <w:rPr>
          <w:rFonts w:ascii="Arial" w:cs="Arial" w:eastAsia="Arial" w:hAnsi="Arial"/>
          <w:sz w:val="18"/>
          <w:szCs w:val="18"/>
          <w:color w:val="auto"/>
        </w:rPr>
      </w:pPr>
    </w:p>
    <w:p>
      <w:pPr>
        <w:ind w:left="640" w:right="220" w:hanging="436"/>
        <w:spacing w:after="0" w:line="281" w:lineRule="auto"/>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disclosed commitment represents the unfunded amount as of December 31, 2019. The Company is earning 0.75% interest on the unfunded balance of the commitment. The interest rate disclosed represents the rate earned on the outstanding, funded balance of the commitment.</w:t>
      </w:r>
    </w:p>
    <w:p>
      <w:pPr>
        <w:spacing w:after="0" w:line="1" w:lineRule="exact"/>
        <w:rPr>
          <w:rFonts w:ascii="Arial" w:cs="Arial" w:eastAsia="Arial" w:hAnsi="Arial"/>
          <w:sz w:val="16"/>
          <w:szCs w:val="16"/>
          <w:color w:val="auto"/>
        </w:rPr>
      </w:pPr>
    </w:p>
    <w:p>
      <w:pPr>
        <w:ind w:left="640" w:hanging="436"/>
        <w:spacing w:after="0" w:line="250"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640" w:hanging="436"/>
        <w:spacing w:after="0" w:line="254"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2.73%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ectPr>
          <w:pgSz w:w="11900" w:h="16909" w:orient="portrait"/>
          <w:cols w:equalWidth="0" w:num="1">
            <w:col w:w="11160"/>
          </w:cols>
          <w:pgMar w:left="240" w:top="459" w:right="499" w:bottom="0" w:gutter="0" w:footer="0" w:header="0"/>
        </w:sectPr>
      </w:pPr>
    </w:p>
    <w:bookmarkStart w:id="84" w:name="page85"/>
    <w:bookmarkEnd w:id="84"/>
    <w:p>
      <w:pPr>
        <w:ind w:left="436" w:hanging="436"/>
        <w:spacing w:after="0" w:line="254" w:lineRule="auto"/>
        <w:tabs>
          <w:tab w:leader="none" w:pos="4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Arial" w:cs="Arial" w:eastAsia="Arial" w:hAnsi="Arial"/>
          <w:sz w:val="18"/>
          <w:szCs w:val="18"/>
          <w:color w:val="auto"/>
        </w:rPr>
      </w:pPr>
    </w:p>
    <w:p>
      <w:pPr>
        <w:ind w:left="436" w:hanging="436"/>
        <w:spacing w:after="0" w:line="254" w:lineRule="auto"/>
        <w:tabs>
          <w:tab w:leader="none" w:pos="4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82" w:lineRule="exact"/>
        <w:rPr>
          <w:sz w:val="20"/>
          <w:szCs w:val="20"/>
          <w:color w:val="auto"/>
        </w:rPr>
      </w:pPr>
    </w:p>
    <w:p>
      <w:pPr>
        <w:jc w:val="center"/>
        <w:ind w:right="-55"/>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56"/>
          </w:cols>
          <w:pgMar w:left="444" w:top="125"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80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Portfolio Company (a)(b)</w:t>
            </w:r>
          </w:p>
        </w:tc>
        <w:tc>
          <w:tcPr>
            <w:tcW w:w="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0"/>
              </w:rPr>
              <w:t>Variable Index</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3"/>
              </w:rPr>
              <w:t>Percent</w:t>
            </w:r>
          </w:p>
        </w:tc>
        <w:tc>
          <w:tcPr>
            <w:tcW w:w="0" w:type="dxa"/>
            <w:vAlign w:val="bottom"/>
          </w:tcPr>
          <w:p>
            <w:pPr>
              <w:spacing w:after="0"/>
              <w:rPr>
                <w:sz w:val="1"/>
                <w:szCs w:val="1"/>
                <w:color w:val="auto"/>
              </w:rPr>
            </w:pPr>
          </w:p>
        </w:tc>
      </w:tr>
      <w:tr>
        <w:trPr>
          <w:trHeight w:val="126"/>
        </w:trPr>
        <w:tc>
          <w:tcPr>
            <w:tcW w:w="280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00" w:type="dxa"/>
            <w:vAlign w:val="bottom"/>
            <w:gridSpan w:val="2"/>
          </w:tcPr>
          <w:p>
            <w:pPr>
              <w:jc w:val="right"/>
              <w:ind w:right="280"/>
              <w:spacing w:after="0" w:line="126" w:lineRule="exact"/>
              <w:rPr>
                <w:sz w:val="20"/>
                <w:szCs w:val="20"/>
                <w:color w:val="auto"/>
              </w:rPr>
            </w:pPr>
            <w:r>
              <w:rPr>
                <w:rFonts w:ascii="Arial" w:cs="Arial" w:eastAsia="Arial" w:hAnsi="Arial"/>
                <w:sz w:val="13"/>
                <w:szCs w:val="13"/>
                <w:b w:val="1"/>
                <w:bCs w:val="1"/>
                <w:color w:val="auto"/>
              </w:rPr>
              <w:t>Rate (e)</w:t>
            </w:r>
          </w:p>
        </w:tc>
        <w:tc>
          <w:tcPr>
            <w:tcW w:w="740" w:type="dxa"/>
            <w:vAlign w:val="bottom"/>
            <w:gridSpan w:val="2"/>
          </w:tcPr>
          <w:p>
            <w:pPr>
              <w:jc w:val="right"/>
              <w:ind w:right="120"/>
              <w:spacing w:after="0" w:line="126" w:lineRule="exact"/>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w w:val="98"/>
              </w:rPr>
              <w:t>Principal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280"/>
              <w:spacing w:after="0" w:line="126" w:lineRule="exact"/>
              <w:rPr>
                <w:sz w:val="20"/>
                <w:szCs w:val="20"/>
                <w:color w:val="auto"/>
              </w:rPr>
            </w:pPr>
            <w:r>
              <w:rPr>
                <w:rFonts w:ascii="Arial" w:cs="Arial" w:eastAsia="Arial" w:hAnsi="Arial"/>
                <w:sz w:val="13"/>
                <w:szCs w:val="13"/>
                <w:b w:val="1"/>
                <w:bCs w:val="1"/>
                <w:color w:val="auto"/>
              </w:rPr>
              <w:t>Fair</w:t>
            </w:r>
          </w:p>
        </w:tc>
        <w:tc>
          <w:tcPr>
            <w:tcW w:w="560" w:type="dxa"/>
            <w:vAlign w:val="bottom"/>
            <w:gridSpan w:val="2"/>
          </w:tcPr>
          <w:p>
            <w:pPr>
              <w:jc w:val="right"/>
              <w:ind w:right="200"/>
              <w:spacing w:after="0" w:line="126" w:lineRule="exact"/>
              <w:rPr>
                <w:sz w:val="20"/>
                <w:szCs w:val="20"/>
                <w:color w:val="auto"/>
              </w:rPr>
            </w:pPr>
            <w:r>
              <w:rPr>
                <w:rFonts w:ascii="Arial" w:cs="Arial" w:eastAsia="Arial" w:hAnsi="Arial"/>
                <w:sz w:val="13"/>
                <w:szCs w:val="13"/>
                <w:b w:val="1"/>
                <w:bCs w:val="1"/>
                <w:color w:val="auto"/>
                <w:w w:val="92"/>
              </w:rPr>
              <w:t>of Net</w:t>
            </w:r>
          </w:p>
        </w:tc>
        <w:tc>
          <w:tcPr>
            <w:tcW w:w="0" w:type="dxa"/>
            <w:vAlign w:val="bottom"/>
          </w:tcPr>
          <w:p>
            <w:pPr>
              <w:spacing w:after="0"/>
              <w:rPr>
                <w:sz w:val="1"/>
                <w:szCs w:val="1"/>
                <w:color w:val="auto"/>
              </w:rPr>
            </w:pPr>
          </w:p>
        </w:tc>
      </w:tr>
      <w:tr>
        <w:trPr>
          <w:trHeight w:val="149"/>
        </w:trPr>
        <w:tc>
          <w:tcPr>
            <w:tcW w:w="2800" w:type="dxa"/>
            <w:vAlign w:val="bottom"/>
            <w:gridSpan w:val="4"/>
          </w:tcPr>
          <w:p>
            <w:pPr>
              <w:spacing w:after="0"/>
              <w:rPr>
                <w:sz w:val="20"/>
                <w:szCs w:val="20"/>
                <w:color w:val="auto"/>
              </w:rPr>
            </w:pPr>
            <w:r>
              <w:rPr>
                <w:rFonts w:ascii="Arial" w:cs="Arial" w:eastAsia="Arial" w:hAnsi="Arial"/>
                <w:sz w:val="13"/>
                <w:szCs w:val="13"/>
                <w:b w:val="1"/>
                <w:bCs w:val="1"/>
                <w:color w:val="auto"/>
              </w:rPr>
              <w:t>Investment Type (c)</w:t>
            </w:r>
          </w:p>
        </w:tc>
        <w:tc>
          <w:tcPr>
            <w:tcW w:w="160" w:type="dxa"/>
            <w:vAlign w:val="bottom"/>
          </w:tcPr>
          <w:p>
            <w:pPr>
              <w:spacing w:after="0"/>
              <w:rPr>
                <w:sz w:val="12"/>
                <w:szCs w:val="12"/>
                <w:color w:val="auto"/>
              </w:rPr>
            </w:pPr>
          </w:p>
        </w:tc>
        <w:tc>
          <w:tcPr>
            <w:tcW w:w="1980" w:type="dxa"/>
            <w:vAlign w:val="bottom"/>
            <w:gridSpan w:val="2"/>
          </w:tcPr>
          <w:p>
            <w:pPr>
              <w:ind w:left="720"/>
              <w:spacing w:after="0"/>
              <w:rPr>
                <w:sz w:val="20"/>
                <w:szCs w:val="20"/>
                <w:color w:val="auto"/>
              </w:rPr>
            </w:pPr>
            <w:r>
              <w:rPr>
                <w:rFonts w:ascii="Arial" w:cs="Arial" w:eastAsia="Arial" w:hAnsi="Arial"/>
                <w:sz w:val="13"/>
                <w:szCs w:val="13"/>
                <w:b w:val="1"/>
                <w:bCs w:val="1"/>
                <w:color w:val="auto"/>
              </w:rPr>
              <w:t>Industry</w:t>
            </w:r>
          </w:p>
        </w:tc>
        <w:tc>
          <w:tcPr>
            <w:tcW w:w="12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Spread / Floor (d)</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Cash/PIK</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Date (f)</w:t>
            </w: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40" w:type="dxa"/>
            <w:vAlign w:val="bottom"/>
          </w:tcPr>
          <w:p>
            <w:pPr>
              <w:spacing w:after="0"/>
              <w:rPr>
                <w:sz w:val="12"/>
                <w:szCs w:val="12"/>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2"/>
              </w:rPr>
              <w:t>Cost</w:t>
            </w:r>
          </w:p>
        </w:tc>
        <w:tc>
          <w:tcPr>
            <w:tcW w:w="60" w:type="dxa"/>
            <w:vAlign w:val="bottom"/>
          </w:tcPr>
          <w:p>
            <w:pPr>
              <w:spacing w:after="0"/>
              <w:rPr>
                <w:sz w:val="12"/>
                <w:szCs w:val="12"/>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Value (g)</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4"/>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gridSpan w:val="3"/>
            <w:shd w:val="clear" w:color="auto" w:fill="CCEEFF"/>
          </w:tcPr>
          <w:p>
            <w:pPr>
              <w:spacing w:after="0" w:line="95" w:lineRule="exact"/>
              <w:rPr>
                <w:sz w:val="20"/>
                <w:szCs w:val="20"/>
                <w:color w:val="auto"/>
              </w:rPr>
            </w:pPr>
            <w:r>
              <w:rPr>
                <w:rFonts w:ascii="Arial" w:cs="Arial" w:eastAsia="Arial" w:hAnsi="Arial"/>
                <w:sz w:val="11"/>
                <w:szCs w:val="11"/>
                <w:b w:val="1"/>
                <w:bCs w:val="1"/>
                <w:color w:val="auto"/>
              </w:rPr>
              <w:t>Control Investments (s)</w:t>
            </w:r>
          </w:p>
        </w:tc>
        <w:tc>
          <w:tcPr>
            <w:tcW w:w="160" w:type="dxa"/>
            <w:vAlign w:val="bottom"/>
            <w:shd w:val="clear" w:color="auto" w:fill="CCEEFF"/>
          </w:tcPr>
          <w:p>
            <w:pPr>
              <w:spacing w:after="0"/>
              <w:rPr>
                <w:sz w:val="8"/>
                <w:szCs w:val="8"/>
                <w:color w:val="auto"/>
              </w:rPr>
            </w:pPr>
          </w:p>
        </w:tc>
        <w:tc>
          <w:tcPr>
            <w:tcW w:w="19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780" w:type="dxa"/>
            <w:vAlign w:val="bottom"/>
            <w:gridSpan w:val="3"/>
          </w:tcPr>
          <w:p>
            <w:pPr>
              <w:spacing w:after="0" w:line="129" w:lineRule="exact"/>
              <w:rPr>
                <w:sz w:val="20"/>
                <w:szCs w:val="20"/>
                <w:color w:val="auto"/>
              </w:rPr>
            </w:pPr>
            <w:r>
              <w:rPr>
                <w:rFonts w:ascii="Arial" w:cs="Arial" w:eastAsia="Arial" w:hAnsi="Arial"/>
                <w:sz w:val="13"/>
                <w:szCs w:val="13"/>
                <w:i w:val="1"/>
                <w:iCs w:val="1"/>
                <w:color w:val="auto"/>
                <w:w w:val="97"/>
              </w:rPr>
              <w:t>FDS Avionics Corp. (dba Flight Display Systems)</w:t>
            </w:r>
          </w:p>
        </w:tc>
        <w:tc>
          <w:tcPr>
            <w:tcW w:w="2140" w:type="dxa"/>
            <w:vAlign w:val="bottom"/>
            <w:gridSpan w:val="3"/>
          </w:tcPr>
          <w:p>
            <w:pPr>
              <w:ind w:left="160"/>
              <w:spacing w:after="0" w:line="129" w:lineRule="exact"/>
              <w:rPr>
                <w:sz w:val="20"/>
                <w:szCs w:val="20"/>
                <w:color w:val="auto"/>
              </w:rPr>
            </w:pPr>
            <w:r>
              <w:rPr>
                <w:rFonts w:ascii="Arial" w:cs="Arial" w:eastAsia="Arial" w:hAnsi="Arial"/>
                <w:sz w:val="13"/>
                <w:szCs w:val="13"/>
                <w:color w:val="auto"/>
                <w:w w:val="92"/>
              </w:rPr>
              <w:t>Aerospace &amp; Defense Manufacturing</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4.00%/11.00%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11/5/2014</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4/1/2020</w:t>
            </w:r>
          </w:p>
        </w:tc>
        <w:tc>
          <w:tcPr>
            <w:tcW w:w="1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6,203</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8"/>
              </w:rPr>
              <w:t>6,196</w:t>
            </w:r>
          </w:p>
        </w:tc>
        <w:tc>
          <w:tcPr>
            <w:tcW w:w="1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5,397</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Revolving Loan ($50 commitment)</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4.00%/11.00%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4/12/2018</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4/1/2020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215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215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215</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(7,478 shares) (j)</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11/10/2017</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748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8"/>
              </w:rPr>
              <w:t>7,159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5,612</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K2 Industrial Services, Inc.</w:t>
            </w:r>
          </w:p>
        </w:tc>
        <w:tc>
          <w:tcPr>
            <w:tcW w:w="21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Industrial Cleaning &amp; Coatings</w:t>
            </w: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(p)</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0.00%/15.00%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10/25/2016</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6/25/2020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0"/>
              </w:rPr>
              <w:t>10,453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0"/>
              </w:rPr>
              <w:t>10,423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10,453</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(p)</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0.00%/12.00%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10/25/2016</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6/25/2020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2,261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8"/>
              </w:rPr>
              <w:t>2,255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1,155</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(p)</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0.00%/19.00%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10/17/2018</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6/25/2020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8"/>
              </w:rPr>
              <w:t>1,592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1,600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(1,673 shares)</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9/30/2016</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8"/>
              </w:rPr>
              <w:t>1,268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0"/>
              </w:rPr>
              <w:t>15,538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13,208</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Control Investments</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0"/>
              </w:rPr>
              <w:t>22,697</w:t>
            </w:r>
          </w:p>
        </w:tc>
        <w:tc>
          <w:tcPr>
            <w:tcW w:w="1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18,820</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280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Affiliate Investments (l)</w:t>
            </w: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80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top w:val="single" w:sz="8" w:color="auto"/>
              <w:right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i w:val="1"/>
                <w:iCs w:val="1"/>
                <w:color w:val="auto"/>
                <w:w w:val="94"/>
              </w:rPr>
              <w:t>FAR Research Inc. (n)</w:t>
            </w:r>
          </w:p>
        </w:tc>
        <w:tc>
          <w:tcPr>
            <w:tcW w:w="1520" w:type="dxa"/>
            <w:vAlign w:val="bottom"/>
            <w:shd w:val="clear" w:color="auto" w:fill="CCEEFF"/>
          </w:tcPr>
          <w:p>
            <w:pPr>
              <w:spacing w:after="0"/>
              <w:rPr>
                <w:sz w:val="11"/>
                <w:szCs w:val="11"/>
                <w:color w:val="auto"/>
              </w:rPr>
            </w:pPr>
          </w:p>
        </w:tc>
        <w:tc>
          <w:tcPr>
            <w:tcW w:w="2140" w:type="dxa"/>
            <w:vAlign w:val="bottom"/>
            <w:gridSpan w:val="3"/>
            <w:shd w:val="clear" w:color="auto" w:fill="CCEEFF"/>
          </w:tcPr>
          <w:p>
            <w:pPr>
              <w:ind w:left="160"/>
              <w:spacing w:after="0" w:line="129" w:lineRule="exact"/>
              <w:rPr>
                <w:sz w:val="20"/>
                <w:szCs w:val="20"/>
                <w:color w:val="auto"/>
              </w:rPr>
            </w:pPr>
            <w:r>
              <w:rPr>
                <w:rFonts w:ascii="Arial" w:cs="Arial" w:eastAsia="Arial" w:hAnsi="Arial"/>
                <w:sz w:val="13"/>
                <w:szCs w:val="13"/>
                <w:color w:val="auto"/>
              </w:rPr>
              <w:t>Specialty Chemicals</w:t>
            </w: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80" w:type="dxa"/>
            <w:vAlign w:val="bottom"/>
            <w:gridSpan w:val="3"/>
          </w:tcPr>
          <w:p>
            <w:pPr>
              <w:ind w:left="240"/>
              <w:spacing w:after="0"/>
              <w:rPr>
                <w:sz w:val="20"/>
                <w:szCs w:val="20"/>
                <w:color w:val="auto"/>
              </w:rPr>
            </w:pPr>
            <w:r>
              <w:rPr>
                <w:rFonts w:ascii="Arial" w:cs="Arial" w:eastAsia="Arial" w:hAnsi="Arial"/>
                <w:sz w:val="13"/>
                <w:szCs w:val="13"/>
                <w:color w:val="auto"/>
              </w:rPr>
              <w:t>Common Equity (1,396 units)</w:t>
            </w:r>
          </w:p>
        </w:tc>
        <w:tc>
          <w:tcPr>
            <w:tcW w:w="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3/31/2014</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116</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Fiber Materials, Inc.</w:t>
            </w:r>
          </w:p>
        </w:tc>
        <w:tc>
          <w:tcPr>
            <w:tcW w:w="21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w w:val="92"/>
              </w:rPr>
              <w:t>Aerospace &amp; Defense Manufacturing</w:t>
            </w: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12.00%/0.00%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11/30/2016</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5/30/2022</w:t>
            </w:r>
          </w:p>
        </w:tc>
        <w:tc>
          <w:tcPr>
            <w:tcW w:w="1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4,044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8"/>
              </w:rPr>
              <w:t>4,032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4,044</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 units)</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11/30/2016</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8"/>
              </w:rPr>
              <w:t>1,000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2,104</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8"/>
              </w:rPr>
              <w:t>5,032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6,148</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Medsurant Holdings, LLC</w:t>
            </w:r>
          </w:p>
        </w:tc>
        <w:tc>
          <w:tcPr>
            <w:tcW w:w="21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Healthcare Services</w:t>
            </w: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13.00%/0.00%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12/18/2015</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6/30/2020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8,823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8"/>
              </w:rPr>
              <w:t>8,795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8,823</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(126,662 units) (h)</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4/12/2011</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8"/>
              </w:rPr>
              <w:t>1,346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2,703</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Warrant (505,176 units) (h)(m)</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4/12/2011</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8"/>
              </w:rPr>
              <w:t>4,516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9,820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0"/>
              </w:rPr>
              <w:t>14,657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21,346</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spacing w:after="0" w:line="135" w:lineRule="exact"/>
              <w:rPr>
                <w:sz w:val="20"/>
                <w:szCs w:val="20"/>
                <w:color w:val="auto"/>
              </w:rPr>
            </w:pPr>
            <w:r>
              <w:rPr>
                <w:rFonts w:ascii="Arial" w:cs="Arial" w:eastAsia="Arial" w:hAnsi="Arial"/>
                <w:sz w:val="13"/>
                <w:szCs w:val="13"/>
                <w:color w:val="auto"/>
              </w:rPr>
              <w:t>M</w:t>
            </w:r>
            <w:r>
              <w:rPr>
                <w:rFonts w:ascii="Arial" w:cs="Arial" w:eastAsia="Arial" w:hAnsi="Arial"/>
                <w:sz w:val="13"/>
                <w:szCs w:val="13"/>
                <w:i w:val="1"/>
                <w:iCs w:val="1"/>
                <w:color w:val="auto"/>
              </w:rPr>
              <w:t>icrobiology Research Associates, Inc.</w:t>
            </w:r>
          </w:p>
        </w:tc>
        <w:tc>
          <w:tcPr>
            <w:tcW w:w="214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Healthcare Services</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11.00%/1.50%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5/13/2015</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3/13/2022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8,798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8"/>
              </w:rPr>
              <w:t>8,783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8,122</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(1,625,731 units) (j)</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5/13/2015</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8"/>
              </w:rPr>
              <w:t>1,938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1,924</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0"/>
              </w:rPr>
              <w:t>10,721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10,046</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214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Utility Equipment Manufacturing</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80" w:type="dxa"/>
            <w:vAlign w:val="bottom"/>
            <w:gridSpan w:val="3"/>
            <w:shd w:val="clear" w:color="auto" w:fill="CCEEFF"/>
          </w:tcPr>
          <w:p>
            <w:pPr>
              <w:ind w:left="240"/>
              <w:spacing w:after="0" w:line="121" w:lineRule="exact"/>
              <w:rPr>
                <w:sz w:val="20"/>
                <w:szCs w:val="20"/>
                <w:color w:val="auto"/>
              </w:rPr>
            </w:pPr>
            <w:r>
              <w:rPr>
                <w:rFonts w:ascii="Arial" w:cs="Arial" w:eastAsia="Arial" w:hAnsi="Arial"/>
                <w:sz w:val="13"/>
                <w:szCs w:val="13"/>
                <w:color w:val="auto"/>
              </w:rPr>
              <w:t>Second Lien Debt (k)</w:t>
            </w:r>
          </w:p>
        </w:tc>
        <w:tc>
          <w:tcPr>
            <w:tcW w:w="1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(L + 11.50%) /</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13.85%/1.50%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11/25/2015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2"/>
              </w:rPr>
              <w:t>11/25/2020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8"/>
              </w:rPr>
              <w:t>6,075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6,109</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(2,500,000 shares) (o)</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11/25/2015</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8"/>
              </w:rPr>
              <w:t>2,179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3,174</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8"/>
              </w:rPr>
              <w:t>8,254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9,283</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214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Healthcare Products</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10.50%/0.00%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3/29/2013</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9/29/2022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6,208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8"/>
              </w:rPr>
              <w:t>6,197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6,208</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(8,500 units) (j)</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3/29/2013</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13,815</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8"/>
              </w:rPr>
              <w:t>7,047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20,023</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Pinnergy, Ltd.</w:t>
            </w:r>
          </w:p>
        </w:tc>
        <w:tc>
          <w:tcPr>
            <w:tcW w:w="214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Oil &amp; Gas Services</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12.00%/0.00%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10/13/2016</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1/24/2020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8"/>
              </w:rPr>
              <w:t>3,993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4,000</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w w:val="96"/>
              </w:rPr>
              <w:t>Common Equity - Class A-2 (42,500 units) (k)</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10/13/2016</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8"/>
              </w:rPr>
              <w:t>3,000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33,878</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 Class B (1,000 units) (k)</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10/13/2016</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8"/>
              </w:rPr>
              <w:t>3,000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3,000</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8"/>
              </w:rPr>
              <w:t>9,993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40,878</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2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0"/>
              </w:rPr>
              <w:t xml:space="preserve">Steward Holding LLC (dba Steward Advanced Materials) </w:t>
            </w:r>
            <w:r>
              <w:rPr>
                <w:rFonts w:ascii="Arial" w:cs="Arial" w:eastAsia="Arial" w:hAnsi="Arial"/>
                <w:sz w:val="13"/>
                <w:szCs w:val="13"/>
                <w:color w:val="auto"/>
                <w:w w:val="90"/>
              </w:rPr>
              <w:t>Aerospace &amp; Defense Manufacturing</w:t>
            </w: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12.00%/1.50%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11/12/2015</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5/12/2021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7,553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8"/>
              </w:rPr>
              <w:t>7,538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7,553</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11/12/2015</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8"/>
              </w:rPr>
              <w:t>1,000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1,357</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8"/>
              </w:rPr>
              <w:t>8,538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8,910</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Trantech Radiator Products, Inc.</w:t>
            </w:r>
          </w:p>
        </w:tc>
        <w:tc>
          <w:tcPr>
            <w:tcW w:w="21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Utility Equipment Manufacturing</w:t>
            </w: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13.75%/0.00%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11/4/2011</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2"/>
              </w:rPr>
              <w:t>12/31/2019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5,994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8"/>
              </w:rPr>
              <w:t>5,994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5,994</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(6,875 shares) (j)</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11/4/2011</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688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307</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8"/>
              </w:rPr>
              <w:t>6,682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6,301</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0"/>
              </w:rPr>
              <w:t>70,924</w:t>
            </w:r>
          </w:p>
        </w:tc>
        <w:tc>
          <w:tcPr>
            <w:tcW w:w="1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5"/>
              </w:rPr>
              <w:t>123,051</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60"/>
          </w:cols>
          <w:pgMar w:left="24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9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Portfolio Company (a)(b)</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Variable Index</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3"/>
              </w:rPr>
              <w:t>Percent</w:t>
            </w:r>
          </w:p>
        </w:tc>
        <w:tc>
          <w:tcPr>
            <w:tcW w:w="0" w:type="dxa"/>
            <w:vAlign w:val="bottom"/>
          </w:tcPr>
          <w:p>
            <w:pPr>
              <w:spacing w:after="0"/>
              <w:rPr>
                <w:sz w:val="1"/>
                <w:szCs w:val="1"/>
                <w:color w:val="auto"/>
              </w:rPr>
            </w:pPr>
          </w:p>
        </w:tc>
      </w:tr>
      <w:tr>
        <w:trPr>
          <w:trHeight w:val="126"/>
        </w:trPr>
        <w:tc>
          <w:tcPr>
            <w:tcW w:w="2980" w:type="dxa"/>
            <w:vAlign w:val="bottom"/>
            <w:gridSpan w:val="4"/>
            <w:vMerge w:val="continue"/>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40" w:type="dxa"/>
            <w:vAlign w:val="bottom"/>
            <w:gridSpan w:val="2"/>
          </w:tcPr>
          <w:p>
            <w:pPr>
              <w:jc w:val="right"/>
              <w:ind w:right="320"/>
              <w:spacing w:after="0" w:line="126" w:lineRule="exact"/>
              <w:rPr>
                <w:sz w:val="20"/>
                <w:szCs w:val="20"/>
                <w:color w:val="auto"/>
              </w:rPr>
            </w:pPr>
            <w:r>
              <w:rPr>
                <w:rFonts w:ascii="Arial" w:cs="Arial" w:eastAsia="Arial" w:hAnsi="Arial"/>
                <w:sz w:val="13"/>
                <w:szCs w:val="13"/>
                <w:b w:val="1"/>
                <w:bCs w:val="1"/>
                <w:color w:val="auto"/>
              </w:rPr>
              <w:t>Rate (e)</w:t>
            </w:r>
          </w:p>
        </w:tc>
        <w:tc>
          <w:tcPr>
            <w:tcW w:w="760" w:type="dxa"/>
            <w:vAlign w:val="bottom"/>
            <w:gridSpan w:val="2"/>
          </w:tcPr>
          <w:p>
            <w:pPr>
              <w:jc w:val="right"/>
              <w:ind w:right="140"/>
              <w:spacing w:after="0" w:line="126" w:lineRule="exact"/>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90"/>
              </w:rPr>
              <w:t>Principal</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280"/>
              <w:spacing w:after="0" w:line="126" w:lineRule="exact"/>
              <w:rPr>
                <w:sz w:val="20"/>
                <w:szCs w:val="20"/>
                <w:color w:val="auto"/>
              </w:rPr>
            </w:pPr>
            <w:r>
              <w:rPr>
                <w:rFonts w:ascii="Arial" w:cs="Arial" w:eastAsia="Arial" w:hAnsi="Arial"/>
                <w:sz w:val="13"/>
                <w:szCs w:val="13"/>
                <w:b w:val="1"/>
                <w:bCs w:val="1"/>
                <w:color w:val="auto"/>
              </w:rPr>
              <w:t>Fair</w:t>
            </w:r>
          </w:p>
        </w:tc>
        <w:tc>
          <w:tcPr>
            <w:tcW w:w="560" w:type="dxa"/>
            <w:vAlign w:val="bottom"/>
            <w:gridSpan w:val="2"/>
          </w:tcPr>
          <w:p>
            <w:pPr>
              <w:jc w:val="right"/>
              <w:ind w:right="200"/>
              <w:spacing w:after="0" w:line="126" w:lineRule="exact"/>
              <w:rPr>
                <w:sz w:val="20"/>
                <w:szCs w:val="20"/>
                <w:color w:val="auto"/>
              </w:rPr>
            </w:pPr>
            <w:r>
              <w:rPr>
                <w:rFonts w:ascii="Arial" w:cs="Arial" w:eastAsia="Arial" w:hAnsi="Arial"/>
                <w:sz w:val="13"/>
                <w:szCs w:val="13"/>
                <w:b w:val="1"/>
                <w:bCs w:val="1"/>
                <w:color w:val="auto"/>
                <w:w w:val="92"/>
              </w:rPr>
              <w:t>of Net</w:t>
            </w:r>
          </w:p>
        </w:tc>
        <w:tc>
          <w:tcPr>
            <w:tcW w:w="0" w:type="dxa"/>
            <w:vAlign w:val="bottom"/>
          </w:tcPr>
          <w:p>
            <w:pPr>
              <w:spacing w:after="0"/>
              <w:rPr>
                <w:sz w:val="1"/>
                <w:szCs w:val="1"/>
                <w:color w:val="auto"/>
              </w:rPr>
            </w:pPr>
          </w:p>
        </w:tc>
      </w:tr>
      <w:tr>
        <w:trPr>
          <w:trHeight w:val="149"/>
        </w:trPr>
        <w:tc>
          <w:tcPr>
            <w:tcW w:w="2980" w:type="dxa"/>
            <w:vAlign w:val="bottom"/>
            <w:gridSpan w:val="4"/>
          </w:tcPr>
          <w:p>
            <w:pPr>
              <w:spacing w:after="0"/>
              <w:rPr>
                <w:sz w:val="20"/>
                <w:szCs w:val="20"/>
                <w:color w:val="auto"/>
              </w:rPr>
            </w:pPr>
            <w:r>
              <w:rPr>
                <w:rFonts w:ascii="Arial" w:cs="Arial" w:eastAsia="Arial" w:hAnsi="Arial"/>
                <w:sz w:val="13"/>
                <w:szCs w:val="13"/>
                <w:b w:val="1"/>
                <w:bCs w:val="1"/>
                <w:color w:val="auto"/>
              </w:rPr>
              <w:t>Investment Type (c)</w:t>
            </w:r>
          </w:p>
        </w:tc>
        <w:tc>
          <w:tcPr>
            <w:tcW w:w="1800" w:type="dxa"/>
            <w:vAlign w:val="bottom"/>
            <w:gridSpan w:val="3"/>
          </w:tcPr>
          <w:p>
            <w:pPr>
              <w:ind w:left="540"/>
              <w:spacing w:after="0"/>
              <w:rPr>
                <w:sz w:val="20"/>
                <w:szCs w:val="20"/>
                <w:color w:val="auto"/>
              </w:rPr>
            </w:pPr>
            <w:r>
              <w:rPr>
                <w:rFonts w:ascii="Arial" w:cs="Arial" w:eastAsia="Arial" w:hAnsi="Arial"/>
                <w:sz w:val="13"/>
                <w:szCs w:val="13"/>
                <w:b w:val="1"/>
                <w:bCs w:val="1"/>
                <w:color w:val="auto"/>
              </w:rPr>
              <w:t>Industry</w:t>
            </w:r>
          </w:p>
        </w:tc>
        <w:tc>
          <w:tcPr>
            <w:tcW w:w="1240" w:type="dxa"/>
            <w:vAlign w:val="bottom"/>
            <w:gridSpan w:val="2"/>
          </w:tcPr>
          <w:p>
            <w:pPr>
              <w:ind w:left="20"/>
              <w:spacing w:after="0"/>
              <w:rPr>
                <w:sz w:val="20"/>
                <w:szCs w:val="20"/>
                <w:color w:val="auto"/>
              </w:rPr>
            </w:pPr>
            <w:r>
              <w:rPr>
                <w:rFonts w:ascii="Arial" w:cs="Arial" w:eastAsia="Arial" w:hAnsi="Arial"/>
                <w:sz w:val="13"/>
                <w:szCs w:val="13"/>
                <w:b w:val="1"/>
                <w:bCs w:val="1"/>
                <w:color w:val="auto"/>
              </w:rPr>
              <w:t>Spread / Floor (d)</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Cash/PIK</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Date (f)</w:t>
            </w: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8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Amount</w:t>
            </w:r>
          </w:p>
        </w:tc>
        <w:tc>
          <w:tcPr>
            <w:tcW w:w="6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Cost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3"/>
              </w:rPr>
              <w:t>Value (g)</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4"/>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gridSpan w:val="3"/>
            <w:shd w:val="clear" w:color="auto" w:fill="CCEEFF"/>
          </w:tcPr>
          <w:p>
            <w:pPr>
              <w:spacing w:after="0" w:line="95" w:lineRule="exact"/>
              <w:rPr>
                <w:sz w:val="20"/>
                <w:szCs w:val="20"/>
                <w:color w:val="auto"/>
              </w:rPr>
            </w:pPr>
            <w:r>
              <w:rPr>
                <w:rFonts w:ascii="Arial" w:cs="Arial" w:eastAsia="Arial" w:hAnsi="Arial"/>
                <w:sz w:val="11"/>
                <w:szCs w:val="11"/>
                <w:b w:val="1"/>
                <w:bCs w:val="1"/>
                <w:color w:val="auto"/>
              </w:rPr>
              <w:t>Non-control/Non-affiliate Investments</w:t>
            </w:r>
          </w:p>
        </w:tc>
        <w:tc>
          <w:tcPr>
            <w:tcW w:w="1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i w:val="1"/>
                <w:iCs w:val="1"/>
                <w:color w:val="auto"/>
              </w:rPr>
              <w:t>Accent Food Services, LLC</w:t>
            </w:r>
          </w:p>
        </w:tc>
        <w:tc>
          <w:tcPr>
            <w:tcW w:w="940" w:type="dxa"/>
            <w:vAlign w:val="bottom"/>
            <w:tcBorders>
              <w:top w:val="single" w:sz="8" w:color="CCEEFF"/>
            </w:tcBorders>
          </w:tcPr>
          <w:p>
            <w:pPr>
              <w:spacing w:after="0"/>
              <w:rPr>
                <w:sz w:val="11"/>
                <w:szCs w:val="11"/>
                <w:color w:val="auto"/>
              </w:rPr>
            </w:pPr>
          </w:p>
        </w:tc>
        <w:tc>
          <w:tcPr>
            <w:tcW w:w="1800" w:type="dxa"/>
            <w:vAlign w:val="bottom"/>
            <w:tcBorders>
              <w:top w:val="single" w:sz="8" w:color="CCEEFF"/>
            </w:tcBorders>
            <w:gridSpan w:val="3"/>
          </w:tcPr>
          <w:p>
            <w:pPr>
              <w:spacing w:after="0" w:line="129" w:lineRule="exact"/>
              <w:rPr>
                <w:sz w:val="20"/>
                <w:szCs w:val="20"/>
                <w:color w:val="auto"/>
              </w:rPr>
            </w:pPr>
            <w:r>
              <w:rPr>
                <w:rFonts w:ascii="Arial" w:cs="Arial" w:eastAsia="Arial" w:hAnsi="Arial"/>
                <w:sz w:val="13"/>
                <w:szCs w:val="13"/>
                <w:color w:val="auto"/>
                <w:w w:val="89"/>
              </w:rPr>
              <w:t>Vending Equipment Manufacturing</w:t>
            </w:r>
          </w:p>
        </w:tc>
        <w:tc>
          <w:tcPr>
            <w:tcW w:w="1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10.00%/5.00%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11/30/2016</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5/30/2022</w:t>
            </w:r>
          </w:p>
        </w:tc>
        <w:tc>
          <w:tcPr>
            <w:tcW w:w="7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  30,312</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5"/>
              </w:rPr>
              <w:t>$30,205</w:t>
            </w: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0"/>
              </w:rPr>
              <w:t>$ 28,879</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(7,885 units) (h)(j)</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11/30/2016</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800</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462</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31,005</w:t>
            </w: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29,341</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Allied 100 Group, Inc.</w:t>
            </w:r>
          </w:p>
        </w:tc>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Healthcare Products</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(1,250,000 units) (j)</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11/26/2014</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1,250</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1,744</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70"/>
        </w:trPr>
        <w:tc>
          <w:tcPr>
            <w:tcW w:w="2980" w:type="dxa"/>
            <w:vAlign w:val="bottom"/>
            <w:gridSpan w:val="4"/>
          </w:tcPr>
          <w:p>
            <w:pPr>
              <w:spacing w:after="0"/>
              <w:rPr>
                <w:sz w:val="20"/>
                <w:szCs w:val="20"/>
                <w:color w:val="auto"/>
              </w:rPr>
            </w:pPr>
            <w:r>
              <w:rPr>
                <w:rFonts w:ascii="Arial" w:cs="Arial" w:eastAsia="Arial" w:hAnsi="Arial"/>
                <w:sz w:val="13"/>
                <w:szCs w:val="13"/>
                <w:i w:val="1"/>
                <w:iCs w:val="1"/>
                <w:color w:val="auto"/>
              </w:rPr>
              <w:t>Alzheimer’s Research and Treatment Center</w:t>
            </w:r>
          </w:p>
        </w:tc>
        <w:tc>
          <w:tcPr>
            <w:tcW w:w="1800" w:type="dxa"/>
            <w:vAlign w:val="bottom"/>
            <w:gridSpan w:val="3"/>
          </w:tcPr>
          <w:p>
            <w:pPr>
              <w:spacing w:after="0"/>
              <w:rPr>
                <w:sz w:val="20"/>
                <w:szCs w:val="20"/>
                <w:color w:val="auto"/>
              </w:rPr>
            </w:pPr>
            <w:r>
              <w:rPr>
                <w:rFonts w:ascii="Arial" w:cs="Arial" w:eastAsia="Arial" w:hAnsi="Arial"/>
                <w:sz w:val="13"/>
                <w:szCs w:val="13"/>
                <w:color w:val="auto"/>
              </w:rPr>
              <w:t>Healthcare Services</w:t>
            </w: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(j)(v)</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w w:val="96"/>
              </w:rPr>
              <w:t>(L + 5.75%) / (2.00%)</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8.23%/0.00%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10/23/2018</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2"/>
              </w:rPr>
              <w:t>10/23/2023</w:t>
            </w:r>
          </w:p>
        </w:tc>
        <w:tc>
          <w:tcPr>
            <w:tcW w:w="7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6,500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6,451</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6,451</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(1,000 units) (h)(j)</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10/23/2018</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1,000</w:t>
            </w:r>
          </w:p>
        </w:tc>
        <w:tc>
          <w:tcPr>
            <w:tcW w:w="1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7,451</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7,451</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60" w:type="dxa"/>
            <w:vAlign w:val="bottom"/>
            <w:gridSpan w:val="3"/>
          </w:tcPr>
          <w:p>
            <w:pPr>
              <w:spacing w:after="0" w:line="121" w:lineRule="exact"/>
              <w:rPr>
                <w:sz w:val="20"/>
                <w:szCs w:val="20"/>
                <w:color w:val="auto"/>
              </w:rPr>
            </w:pPr>
            <w:r>
              <w:rPr>
                <w:rFonts w:ascii="Arial" w:cs="Arial" w:eastAsia="Arial" w:hAnsi="Arial"/>
                <w:sz w:val="13"/>
                <w:szCs w:val="13"/>
                <w:i w:val="1"/>
                <w:iCs w:val="1"/>
                <w:color w:val="auto"/>
                <w:w w:val="97"/>
              </w:rPr>
              <w:t>American AllWaste LLC (dba WasteWater Transport</w:t>
            </w: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3"/>
          </w:tcPr>
          <w:p>
            <w:pPr>
              <w:ind w:left="120"/>
              <w:spacing w:after="0"/>
              <w:rPr>
                <w:sz w:val="20"/>
                <w:szCs w:val="20"/>
                <w:color w:val="auto"/>
              </w:rPr>
            </w:pPr>
            <w:r>
              <w:rPr>
                <w:rFonts w:ascii="Arial" w:cs="Arial" w:eastAsia="Arial" w:hAnsi="Arial"/>
                <w:sz w:val="13"/>
                <w:szCs w:val="13"/>
                <w:i w:val="1"/>
                <w:iCs w:val="1"/>
                <w:color w:val="auto"/>
              </w:rPr>
              <w:t>Services)</w:t>
            </w:r>
          </w:p>
        </w:tc>
        <w:tc>
          <w:tcPr>
            <w:tcW w:w="1800" w:type="dxa"/>
            <w:vAlign w:val="bottom"/>
            <w:gridSpan w:val="3"/>
          </w:tcPr>
          <w:p>
            <w:pPr>
              <w:spacing w:after="0"/>
              <w:rPr>
                <w:sz w:val="20"/>
                <w:szCs w:val="20"/>
                <w:color w:val="auto"/>
              </w:rPr>
            </w:pPr>
            <w:r>
              <w:rPr>
                <w:rFonts w:ascii="Arial" w:cs="Arial" w:eastAsia="Arial" w:hAnsi="Arial"/>
                <w:sz w:val="13"/>
                <w:szCs w:val="13"/>
                <w:color w:val="auto"/>
              </w:rPr>
              <w:t>Environmental Industries</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11.00%/1.50%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5/31/2018</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2"/>
              </w:rPr>
              <w:t>11/30/2023</w:t>
            </w:r>
          </w:p>
        </w:tc>
        <w:tc>
          <w:tcPr>
            <w:tcW w:w="7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11,826</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11,765</w:t>
            </w: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11,826</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gridSpan w:val="6"/>
          </w:tcPr>
          <w:p>
            <w:pPr>
              <w:ind w:left="240"/>
              <w:spacing w:after="0" w:line="135" w:lineRule="exact"/>
              <w:rPr>
                <w:sz w:val="20"/>
                <w:szCs w:val="20"/>
                <w:color w:val="auto"/>
              </w:rPr>
            </w:pPr>
            <w:r>
              <w:rPr>
                <w:rFonts w:ascii="Arial" w:cs="Arial" w:eastAsia="Arial" w:hAnsi="Arial"/>
                <w:sz w:val="13"/>
                <w:szCs w:val="13"/>
                <w:color w:val="auto"/>
              </w:rPr>
              <w:t>Delayed Draw Commitment ($2,276 commitment) (i)(j)</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11.00%/1.50%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5/31/2018</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2"/>
              </w:rPr>
              <w:t>11/30/2019</w:t>
            </w:r>
          </w:p>
        </w:tc>
        <w:tc>
          <w:tcPr>
            <w:tcW w:w="80" w:type="dxa"/>
            <w:vAlign w:val="bottom"/>
          </w:tcPr>
          <w:p>
            <w:pPr>
              <w:spacing w:after="0"/>
              <w:rPr>
                <w:sz w:val="11"/>
                <w:szCs w:val="11"/>
                <w:color w:val="auto"/>
              </w:rPr>
            </w:pPr>
          </w:p>
        </w:tc>
        <w:tc>
          <w:tcPr>
            <w:tcW w:w="62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w:t>
            </w: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(500 units) (j)</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5/31/2018</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500</w:t>
            </w: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615</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12,258</w:t>
            </w:r>
          </w:p>
        </w:tc>
        <w:tc>
          <w:tcPr>
            <w:tcW w:w="18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12,441</w:t>
            </w: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Argo Turboserve Corporation</w:t>
            </w:r>
          </w:p>
        </w:tc>
        <w:tc>
          <w:tcPr>
            <w:tcW w:w="18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60" w:type="dxa"/>
            <w:vAlign w:val="bottom"/>
            <w:gridSpan w:val="3"/>
          </w:tcPr>
          <w:p>
            <w:pPr>
              <w:ind w:left="240"/>
              <w:spacing w:after="0"/>
              <w:rPr>
                <w:sz w:val="20"/>
                <w:szCs w:val="20"/>
                <w:color w:val="auto"/>
              </w:rPr>
            </w:pPr>
            <w:r>
              <w:rPr>
                <w:rFonts w:ascii="Arial" w:cs="Arial" w:eastAsia="Arial" w:hAnsi="Arial"/>
                <w:sz w:val="13"/>
                <w:szCs w:val="13"/>
                <w:color w:val="auto"/>
              </w:rPr>
              <w:t>Second Lien Debt (j)</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w w:val="96"/>
              </w:rPr>
              <w:t>(L + 9.75%) / (2.00%)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12.56%/0.00%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12/26/2018</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6/28/2023</w:t>
            </w:r>
          </w:p>
        </w:tc>
        <w:tc>
          <w:tcPr>
            <w:tcW w:w="700" w:type="dxa"/>
            <w:vAlign w:val="bottom"/>
            <w:gridSpan w:val="3"/>
          </w:tcPr>
          <w:p>
            <w:pPr>
              <w:jc w:val="right"/>
              <w:ind w:right="120"/>
              <w:spacing w:after="0"/>
              <w:rPr>
                <w:sz w:val="20"/>
                <w:szCs w:val="20"/>
                <w:color w:val="auto"/>
              </w:rPr>
            </w:pPr>
            <w:r>
              <w:rPr>
                <w:rFonts w:ascii="Arial" w:cs="Arial" w:eastAsia="Arial" w:hAnsi="Arial"/>
                <w:sz w:val="13"/>
                <w:szCs w:val="13"/>
                <w:color w:val="auto"/>
              </w:rPr>
              <w:t>15,000</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14,925</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14,925</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AVC Investors, LLC (dba Auveco)</w:t>
            </w:r>
          </w:p>
        </w:tc>
        <w:tc>
          <w:tcPr>
            <w:tcW w:w="18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Specialty Distribution</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11.50%/0.00%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1/3/2018</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7/3/2023</w:t>
            </w:r>
          </w:p>
        </w:tc>
        <w:tc>
          <w:tcPr>
            <w:tcW w:w="7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22,500</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22,406</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22,500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(5,000 units) (j)</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1/3/2018</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500</w:t>
            </w: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682</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22,906</w:t>
            </w:r>
          </w:p>
        </w:tc>
        <w:tc>
          <w:tcPr>
            <w:tcW w:w="18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23,182</w:t>
            </w: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B&amp;B Roadway and Security Solutions, LLC</w:t>
            </w:r>
          </w:p>
        </w:tc>
        <w:tc>
          <w:tcPr>
            <w:tcW w:w="18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Component Manufacturing</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10.50%/1.50%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2/27/2018</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8/27/2023</w:t>
            </w:r>
          </w:p>
        </w:tc>
        <w:tc>
          <w:tcPr>
            <w:tcW w:w="7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10,129</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10,080</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9,524</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gridSpan w:val="6"/>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(50,000 units) ($133 commitment) (h)(j)</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2/27/2018</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500</w:t>
            </w: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304</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10,580</w:t>
            </w:r>
          </w:p>
        </w:tc>
        <w:tc>
          <w:tcPr>
            <w:tcW w:w="18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9,828</w:t>
            </w: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5"/>
              </w:rPr>
              <w:t>Cardboard Box LLC (dba Anthony’s Coal Fired Pizza)</w:t>
            </w:r>
          </w:p>
        </w:tc>
        <w:tc>
          <w:tcPr>
            <w:tcW w:w="18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Restaurants</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60" w:type="dxa"/>
            <w:vAlign w:val="bottom"/>
            <w:gridSpan w:val="3"/>
          </w:tcPr>
          <w:p>
            <w:pPr>
              <w:ind w:left="240"/>
              <w:spacing w:after="0"/>
              <w:rPr>
                <w:sz w:val="20"/>
                <w:szCs w:val="20"/>
                <w:color w:val="auto"/>
              </w:rPr>
            </w:pPr>
            <w:r>
              <w:rPr>
                <w:rFonts w:ascii="Arial" w:cs="Arial" w:eastAsia="Arial" w:hAnsi="Arial"/>
                <w:sz w:val="13"/>
                <w:szCs w:val="13"/>
                <w:color w:val="auto"/>
              </w:rPr>
              <w:t>Common Equity (521,021 units) (j)</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12/15/2015</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521</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108</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Consolidated Infrastructure Group Holdings, LP</w:t>
            </w:r>
          </w:p>
        </w:tc>
        <w:tc>
          <w:tcPr>
            <w:tcW w:w="18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60" w:type="dxa"/>
            <w:vAlign w:val="bottom"/>
            <w:gridSpan w:val="3"/>
          </w:tcPr>
          <w:p>
            <w:pPr>
              <w:ind w:left="240"/>
              <w:spacing w:after="0"/>
              <w:rPr>
                <w:sz w:val="20"/>
                <w:szCs w:val="20"/>
                <w:color w:val="auto"/>
              </w:rPr>
            </w:pPr>
            <w:r>
              <w:rPr>
                <w:rFonts w:ascii="Arial" w:cs="Arial" w:eastAsia="Arial" w:hAnsi="Arial"/>
                <w:sz w:val="13"/>
                <w:szCs w:val="13"/>
                <w:color w:val="auto"/>
              </w:rPr>
              <w:t>Common Equity (298 units)</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11/30/2017</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378</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49</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9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ControlScan, Inc.</w:t>
            </w:r>
          </w:p>
        </w:tc>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Information Technology</w:t>
            </w: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Services</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11.00%/0.00%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7/28/2017</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1/28/2023</w:t>
            </w:r>
          </w:p>
        </w:tc>
        <w:tc>
          <w:tcPr>
            <w:tcW w:w="7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6,750</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6,725</w:t>
            </w:r>
          </w:p>
        </w:tc>
        <w:tc>
          <w:tcPr>
            <w:tcW w:w="1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6,750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(3,704 shares) (j)</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7/28/2017</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620</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(100 shares) (j)</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7/28/2017</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996</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996</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7,725</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8,366</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CRS Solutions Holdings, LLC (dba CRS Texas)</w:t>
            </w:r>
          </w:p>
        </w:tc>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Business Services</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10.50%/1.00%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3/14/2018</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9/14/2023</w:t>
            </w:r>
          </w:p>
        </w:tc>
        <w:tc>
          <w:tcPr>
            <w:tcW w:w="7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9,073</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9,035</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9,073</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(750,000 units) (j)</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3/14/2018</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750</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757</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9,785</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9,830</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EBL, LLC (EbLens)</w:t>
            </w:r>
          </w:p>
        </w:tc>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Retail</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12.00%/1.00%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7/13/2017</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1/13/2023</w:t>
            </w:r>
          </w:p>
        </w:tc>
        <w:tc>
          <w:tcPr>
            <w:tcW w:w="7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9,389</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9,321</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9,389</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(75,000 units) (j)</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7/13/2017</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750</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742</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10,071</w:t>
            </w: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10,131</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Global Plasma Solutions, Inc.</w:t>
            </w:r>
          </w:p>
        </w:tc>
        <w:tc>
          <w:tcPr>
            <w:tcW w:w="1800" w:type="dxa"/>
            <w:vAlign w:val="bottom"/>
            <w:gridSpan w:val="3"/>
          </w:tcPr>
          <w:p>
            <w:pPr>
              <w:spacing w:after="0" w:line="135" w:lineRule="exact"/>
              <w:rPr>
                <w:sz w:val="20"/>
                <w:szCs w:val="20"/>
                <w:color w:val="auto"/>
              </w:rPr>
            </w:pPr>
            <w:r>
              <w:rPr>
                <w:rFonts w:ascii="Arial" w:cs="Arial" w:eastAsia="Arial" w:hAnsi="Arial"/>
                <w:sz w:val="13"/>
                <w:szCs w:val="13"/>
                <w:color w:val="auto"/>
              </w:rPr>
              <w:t>Component Manufacturing</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(j)(u)</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w w:val="96"/>
              </w:rPr>
              <w:t>(L + 5.00%) / (2.00%)</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7.40%/0.00%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9/21/2018</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9/21/2023</w:t>
            </w:r>
          </w:p>
        </w:tc>
        <w:tc>
          <w:tcPr>
            <w:tcW w:w="7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8,703</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8,629</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8,629</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(947 shares) (j)</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9/21/2018</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360</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360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(947 shares) (j)</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9/21/2018</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9,004</w:t>
            </w:r>
          </w:p>
        </w:tc>
        <w:tc>
          <w:tcPr>
            <w:tcW w:w="18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9,004</w:t>
            </w: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6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Gurobi Optimization, LLC</w:t>
            </w:r>
          </w:p>
        </w:tc>
        <w:tc>
          <w:tcPr>
            <w:tcW w:w="18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Information Technology</w:t>
            </w: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Services</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11.00%/0.00%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12/19/2017</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6/19/2023</w:t>
            </w:r>
          </w:p>
        </w:tc>
        <w:tc>
          <w:tcPr>
            <w:tcW w:w="7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20,000</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19,920</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20,400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 shares)</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12/19/2017</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2,323</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21,420</w:t>
            </w:r>
          </w:p>
        </w:tc>
        <w:tc>
          <w:tcPr>
            <w:tcW w:w="18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22,723</w:t>
            </w: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4"/>
              </w:rPr>
              <w:t>Hil</w:t>
            </w:r>
            <w:r>
              <w:rPr>
                <w:rFonts w:ascii="Arial" w:cs="Arial" w:eastAsia="Arial" w:hAnsi="Arial"/>
                <w:sz w:val="13"/>
                <w:szCs w:val="13"/>
                <w:i w:val="1"/>
                <w:iCs w:val="1"/>
                <w:color w:val="auto"/>
                <w:w w:val="94"/>
              </w:rPr>
              <w:t>co Plastics Holdings, LLC (dba Hilco Technologies)</w:t>
            </w:r>
          </w:p>
        </w:tc>
        <w:tc>
          <w:tcPr>
            <w:tcW w:w="18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Component Manufacturing</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11.50%/1.50%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9/23/2016</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2"/>
              </w:rPr>
              <w:t>12/31/2019</w:t>
            </w:r>
          </w:p>
        </w:tc>
        <w:tc>
          <w:tcPr>
            <w:tcW w:w="7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9,940</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9,922</w:t>
            </w:r>
          </w:p>
        </w:tc>
        <w:tc>
          <w:tcPr>
            <w:tcW w:w="1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9,439</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(1,000,000 units) (h)(j)</w:t>
            </w: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4/18/2018</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1,112</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(72,507 units) (h)(j)</w:t>
            </w: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9/23/2016</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473</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227</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11,395</w:t>
            </w: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10,778</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60"/>
          </w:cols>
          <w:pgMar w:left="24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3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(a)(b)</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Variable Index</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3"/>
              </w:rPr>
              <w:t>Percent</w:t>
            </w:r>
          </w:p>
        </w:tc>
        <w:tc>
          <w:tcPr>
            <w:tcW w:w="0" w:type="dxa"/>
            <w:vAlign w:val="bottom"/>
          </w:tcPr>
          <w:p>
            <w:pPr>
              <w:spacing w:after="0"/>
              <w:rPr>
                <w:sz w:val="1"/>
                <w:szCs w:val="1"/>
                <w:color w:val="auto"/>
              </w:rPr>
            </w:pPr>
          </w:p>
        </w:tc>
      </w:tr>
      <w:tr>
        <w:trPr>
          <w:trHeight w:val="126"/>
        </w:trPr>
        <w:tc>
          <w:tcPr>
            <w:tcW w:w="3020" w:type="dxa"/>
            <w:vAlign w:val="bottom"/>
            <w:gridSpan w:val="3"/>
            <w:vMerge w:val="continue"/>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980" w:type="dxa"/>
            <w:vAlign w:val="bottom"/>
            <w:gridSpan w:val="2"/>
          </w:tcPr>
          <w:p>
            <w:pPr>
              <w:jc w:val="right"/>
              <w:ind w:right="340"/>
              <w:spacing w:after="0" w:line="126" w:lineRule="exact"/>
              <w:rPr>
                <w:sz w:val="20"/>
                <w:szCs w:val="20"/>
                <w:color w:val="auto"/>
              </w:rPr>
            </w:pPr>
            <w:r>
              <w:rPr>
                <w:rFonts w:ascii="Arial" w:cs="Arial" w:eastAsia="Arial" w:hAnsi="Arial"/>
                <w:sz w:val="13"/>
                <w:szCs w:val="13"/>
                <w:b w:val="1"/>
                <w:bCs w:val="1"/>
                <w:color w:val="auto"/>
              </w:rPr>
              <w:t>Rate (e)</w:t>
            </w:r>
          </w:p>
        </w:tc>
        <w:tc>
          <w:tcPr>
            <w:tcW w:w="760" w:type="dxa"/>
            <w:vAlign w:val="bottom"/>
            <w:gridSpan w:val="2"/>
          </w:tcPr>
          <w:p>
            <w:pPr>
              <w:jc w:val="right"/>
              <w:ind w:right="140"/>
              <w:spacing w:after="0" w:line="126" w:lineRule="exact"/>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2"/>
          </w:tcPr>
          <w:p>
            <w:pPr>
              <w:jc w:val="center"/>
              <w:ind w:right="60"/>
              <w:spacing w:after="0" w:line="126" w:lineRule="exact"/>
              <w:rPr>
                <w:sz w:val="20"/>
                <w:szCs w:val="20"/>
                <w:color w:val="auto"/>
              </w:rPr>
            </w:pPr>
            <w:r>
              <w:rPr>
                <w:rFonts w:ascii="Arial" w:cs="Arial" w:eastAsia="Arial" w:hAnsi="Arial"/>
                <w:sz w:val="13"/>
                <w:szCs w:val="13"/>
                <w:b w:val="1"/>
                <w:bCs w:val="1"/>
                <w:color w:val="auto"/>
                <w:w w:val="90"/>
              </w:rPr>
              <w:t>Principal</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rPr>
              <w:t>Fair</w:t>
            </w:r>
          </w:p>
        </w:tc>
        <w:tc>
          <w:tcPr>
            <w:tcW w:w="560" w:type="dxa"/>
            <w:vAlign w:val="bottom"/>
            <w:gridSpan w:val="2"/>
          </w:tcPr>
          <w:p>
            <w:pPr>
              <w:jc w:val="right"/>
              <w:ind w:right="200"/>
              <w:spacing w:after="0" w:line="126" w:lineRule="exact"/>
              <w:rPr>
                <w:sz w:val="20"/>
                <w:szCs w:val="20"/>
                <w:color w:val="auto"/>
              </w:rPr>
            </w:pPr>
            <w:r>
              <w:rPr>
                <w:rFonts w:ascii="Arial" w:cs="Arial" w:eastAsia="Arial" w:hAnsi="Arial"/>
                <w:sz w:val="13"/>
                <w:szCs w:val="13"/>
                <w:b w:val="1"/>
                <w:bCs w:val="1"/>
                <w:color w:val="auto"/>
                <w:w w:val="92"/>
              </w:rPr>
              <w:t>of Net</w:t>
            </w:r>
          </w:p>
        </w:tc>
        <w:tc>
          <w:tcPr>
            <w:tcW w:w="0" w:type="dxa"/>
            <w:vAlign w:val="bottom"/>
          </w:tcPr>
          <w:p>
            <w:pPr>
              <w:spacing w:after="0"/>
              <w:rPr>
                <w:sz w:val="1"/>
                <w:szCs w:val="1"/>
                <w:color w:val="auto"/>
              </w:rPr>
            </w:pPr>
          </w:p>
        </w:tc>
      </w:tr>
      <w:tr>
        <w:trPr>
          <w:trHeight w:val="149"/>
        </w:trPr>
        <w:tc>
          <w:tcPr>
            <w:tcW w:w="302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1560" w:type="dxa"/>
            <w:vAlign w:val="bottom"/>
            <w:gridSpan w:val="2"/>
          </w:tcPr>
          <w:p>
            <w:pPr>
              <w:ind w:left="500"/>
              <w:spacing w:after="0"/>
              <w:rPr>
                <w:sz w:val="20"/>
                <w:szCs w:val="20"/>
                <w:color w:val="auto"/>
              </w:rPr>
            </w:pPr>
            <w:r>
              <w:rPr>
                <w:rFonts w:ascii="Arial" w:cs="Arial" w:eastAsia="Arial" w:hAnsi="Arial"/>
                <w:sz w:val="13"/>
                <w:szCs w:val="13"/>
                <w:b w:val="1"/>
                <w:bCs w:val="1"/>
                <w:color w:val="auto"/>
              </w:rPr>
              <w:t>Industry</w:t>
            </w:r>
          </w:p>
        </w:tc>
        <w:tc>
          <w:tcPr>
            <w:tcW w:w="1380" w:type="dxa"/>
            <w:vAlign w:val="bottom"/>
            <w:gridSpan w:val="2"/>
          </w:tcPr>
          <w:p>
            <w:pPr>
              <w:ind w:left="180"/>
              <w:spacing w:after="0"/>
              <w:rPr>
                <w:sz w:val="20"/>
                <w:szCs w:val="20"/>
                <w:color w:val="auto"/>
              </w:rPr>
            </w:pPr>
            <w:r>
              <w:rPr>
                <w:rFonts w:ascii="Arial" w:cs="Arial" w:eastAsia="Arial" w:hAnsi="Arial"/>
                <w:sz w:val="13"/>
                <w:szCs w:val="13"/>
                <w:b w:val="1"/>
                <w:bCs w:val="1"/>
                <w:color w:val="auto"/>
              </w:rPr>
              <w:t>Spread / Floor (d)</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Cash/PIK</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Date (f)</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Maturity</w:t>
            </w:r>
          </w:p>
        </w:tc>
        <w:tc>
          <w:tcPr>
            <w:tcW w:w="5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3"/>
              </w:rPr>
              <w:t>Value (g)</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4"/>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Hub Acquisition Sub, LLC (dba Hub Pen)</w:t>
            </w:r>
          </w:p>
        </w:tc>
        <w:tc>
          <w:tcPr>
            <w:tcW w:w="148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Promotional products</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9"/>
              </w:rPr>
              <w:t>12.25%/0.00%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3/23/2016</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9/23/2021</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8"/>
              </w:rPr>
              <w:t>$  25,000</w:t>
            </w:r>
          </w:p>
        </w:tc>
        <w:tc>
          <w:tcPr>
            <w:tcW w:w="6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w w:val="98"/>
              </w:rPr>
              <w:t>$ 24,918</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$ 25,000</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 units)</w:t>
            </w: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3/23/2016</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249</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1,417</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25,167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26,417</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Hunter Defense Technologies, Inc.</w:t>
            </w:r>
          </w:p>
        </w:tc>
        <w:tc>
          <w:tcPr>
            <w:tcW w:w="294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Aerospace &amp; Defense Manufacturing</w:t>
            </w: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0" w:type="dxa"/>
            <w:vAlign w:val="bottom"/>
            <w:gridSpan w:val="2"/>
          </w:tcPr>
          <w:p>
            <w:pPr>
              <w:ind w:left="240"/>
              <w:spacing w:after="0"/>
              <w:rPr>
                <w:sz w:val="20"/>
                <w:szCs w:val="20"/>
                <w:color w:val="auto"/>
              </w:rPr>
            </w:pPr>
            <w:r>
              <w:rPr>
                <w:rFonts w:ascii="Arial" w:cs="Arial" w:eastAsia="Arial" w:hAnsi="Arial"/>
                <w:sz w:val="13"/>
                <w:szCs w:val="13"/>
                <w:color w:val="auto"/>
              </w:rPr>
              <w:t>First Lien Debt (j)</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Arial" w:cs="Arial" w:eastAsia="Arial" w:hAnsi="Arial"/>
                <w:sz w:val="13"/>
                <w:szCs w:val="13"/>
                <w:color w:val="auto"/>
                <w:w w:val="95"/>
              </w:rPr>
              <w:t>(L + 7.00%) / (1.00%)</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9.80%/0.00%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9/27/2018</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3/29/2023</w:t>
            </w:r>
          </w:p>
        </w:tc>
        <w:tc>
          <w:tcPr>
            <w:tcW w:w="500" w:type="dxa"/>
            <w:vAlign w:val="bottom"/>
          </w:tcPr>
          <w:p>
            <w:pPr>
              <w:jc w:val="right"/>
              <w:spacing w:after="0"/>
              <w:rPr>
                <w:sz w:val="20"/>
                <w:szCs w:val="20"/>
                <w:color w:val="auto"/>
              </w:rPr>
            </w:pPr>
            <w:r>
              <w:rPr>
                <w:rFonts w:ascii="Arial" w:cs="Arial" w:eastAsia="Arial" w:hAnsi="Arial"/>
                <w:sz w:val="13"/>
                <w:szCs w:val="13"/>
                <w:color w:val="auto"/>
              </w:rPr>
              <w:t>9,747</w:t>
            </w:r>
          </w:p>
        </w:tc>
        <w:tc>
          <w:tcPr>
            <w:tcW w:w="60" w:type="dxa"/>
            <w:vAlign w:val="bottom"/>
          </w:tcPr>
          <w:p>
            <w:pPr>
              <w:spacing w:after="0"/>
              <w:rPr>
                <w:sz w:val="13"/>
                <w:szCs w:val="1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3"/>
                <w:szCs w:val="13"/>
                <w:color w:val="auto"/>
              </w:rPr>
              <w:t>9,653</w:t>
            </w:r>
          </w:p>
        </w:tc>
        <w:tc>
          <w:tcPr>
            <w:tcW w:w="700" w:type="dxa"/>
            <w:vAlign w:val="bottom"/>
            <w:gridSpan w:val="3"/>
          </w:tcPr>
          <w:p>
            <w:pPr>
              <w:jc w:val="right"/>
              <w:ind w:right="140"/>
              <w:spacing w:after="0"/>
              <w:rPr>
                <w:sz w:val="20"/>
                <w:szCs w:val="20"/>
                <w:color w:val="auto"/>
              </w:rPr>
            </w:pPr>
            <w:r>
              <w:rPr>
                <w:rFonts w:ascii="Arial" w:cs="Arial" w:eastAsia="Arial" w:hAnsi="Arial"/>
                <w:sz w:val="13"/>
                <w:szCs w:val="13"/>
                <w:color w:val="auto"/>
              </w:rPr>
              <w:t>9,653</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IBH Holdings, LLC (fka Inflexxion, Inc.)</w:t>
            </w:r>
          </w:p>
        </w:tc>
        <w:tc>
          <w:tcPr>
            <w:tcW w:w="15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0" w:type="dxa"/>
            <w:vAlign w:val="bottom"/>
            <w:gridSpan w:val="2"/>
          </w:tcPr>
          <w:p>
            <w:pPr>
              <w:ind w:left="240"/>
              <w:spacing w:after="0"/>
              <w:rPr>
                <w:sz w:val="20"/>
                <w:szCs w:val="20"/>
                <w:color w:val="auto"/>
              </w:rPr>
            </w:pPr>
            <w:r>
              <w:rPr>
                <w:rFonts w:ascii="Arial" w:cs="Arial" w:eastAsia="Arial" w:hAnsi="Arial"/>
                <w:sz w:val="13"/>
                <w:szCs w:val="13"/>
                <w:color w:val="auto"/>
              </w:rPr>
              <w:t>Common Equity (150,000 units)</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6/20/2018</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0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inthinc Technology Solutions, Inc. (n)</w:t>
            </w:r>
          </w:p>
        </w:tc>
        <w:tc>
          <w:tcPr>
            <w:tcW w:w="1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Information Technology</w:t>
            </w: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Services</w:t>
            </w: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0" w:type="dxa"/>
            <w:vAlign w:val="bottom"/>
            <w:gridSpan w:val="2"/>
          </w:tcPr>
          <w:p>
            <w:pPr>
              <w:ind w:left="240"/>
              <w:spacing w:after="0"/>
              <w:rPr>
                <w:sz w:val="20"/>
                <w:szCs w:val="20"/>
                <w:color w:val="auto"/>
              </w:rPr>
            </w:pPr>
            <w:r>
              <w:rPr>
                <w:rFonts w:ascii="Arial" w:cs="Arial" w:eastAsia="Arial" w:hAnsi="Arial"/>
                <w:sz w:val="13"/>
                <w:szCs w:val="13"/>
                <w:color w:val="auto"/>
              </w:rPr>
              <w:t>Royalty Rights</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10/15/2015</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4/24/2020</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3"/>
                <w:szCs w:val="13"/>
                <w:color w:val="auto"/>
              </w:rPr>
              <w:t>185</w:t>
            </w: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The Kyjen Company, LLC (dba Outward Hound)</w:t>
            </w:r>
          </w:p>
        </w:tc>
        <w:tc>
          <w:tcPr>
            <w:tcW w:w="15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9"/>
              </w:rPr>
              <w:t>12.00%/0.00%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12/8/2017</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6/8/2024</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15,000</w:t>
            </w:r>
          </w:p>
        </w:tc>
        <w:tc>
          <w:tcPr>
            <w:tcW w:w="6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14,937</w:t>
            </w: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13,950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(765 shares) (j)</w:t>
            </w: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12/8/2017</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765</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754</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15,702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14,704</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LNG Indy, LLC (dba Kinetrex Energy)</w:t>
            </w:r>
          </w:p>
        </w:tc>
        <w:tc>
          <w:tcPr>
            <w:tcW w:w="15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Oil &amp; Gas Distribution</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9"/>
              </w:rPr>
              <w:t>11.50%/0.00%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12/28/2016</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9/28/2021</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5,000</w:t>
            </w:r>
          </w:p>
        </w:tc>
        <w:tc>
          <w:tcPr>
            <w:tcW w:w="60" w:type="dxa"/>
            <w:vAlign w:val="bottom"/>
          </w:tcPr>
          <w:p>
            <w:pPr>
              <w:spacing w:after="0"/>
              <w:rPr>
                <w:sz w:val="11"/>
                <w:szCs w:val="11"/>
                <w:color w:val="auto"/>
              </w:rPr>
            </w:pPr>
          </w:p>
        </w:tc>
        <w:tc>
          <w:tcPr>
            <w:tcW w:w="6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4,985</w:t>
            </w: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5,000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 units)</w:t>
            </w: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12/28/2016</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1,000</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1,561</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5,985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6,561</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Marco Group International OpCo, LLC</w:t>
            </w:r>
          </w:p>
        </w:tc>
        <w:tc>
          <w:tcPr>
            <w:tcW w:w="15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Industrial Cleaning &amp;</w:t>
            </w: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Coatings</w:t>
            </w: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9"/>
              </w:rPr>
              <w:t>10.50%/0.75%</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7/21/2017</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1/21/2023</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12,133</w:t>
            </w:r>
          </w:p>
        </w:tc>
        <w:tc>
          <w:tcPr>
            <w:tcW w:w="6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12,089</w:t>
            </w: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12,133</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(750,000 units) (h)(j)</w:t>
            </w: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7/21/2017</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750</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800</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12,839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12,933</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Mesa Line Services, LLC</w:t>
            </w:r>
          </w:p>
        </w:tc>
        <w:tc>
          <w:tcPr>
            <w:tcW w:w="15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Utilities: Services</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9"/>
              </w:rPr>
              <w:t>10.50%/0.50%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11/30/2017</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5/31/2023</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10,014</w:t>
            </w:r>
          </w:p>
        </w:tc>
        <w:tc>
          <w:tcPr>
            <w:tcW w:w="6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9,963</w:t>
            </w: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10,014</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Delayed Draw Commitment ($3,160 commitment) (i)(j)</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9"/>
              </w:rPr>
              <w:t>10.50%/0.50%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11/30/2017</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5/31/2019</w:t>
            </w:r>
          </w:p>
        </w:tc>
        <w:tc>
          <w:tcPr>
            <w:tcW w:w="56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(500 shares) (j)</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11/30/2017</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676</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10,459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10,690</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Midwest Transit Equipment, Inc.</w:t>
            </w:r>
          </w:p>
        </w:tc>
        <w:tc>
          <w:tcPr>
            <w:tcW w:w="1560" w:type="dxa"/>
            <w:vAlign w:val="bottom"/>
            <w:gridSpan w:val="2"/>
          </w:tcPr>
          <w:p>
            <w:pPr>
              <w:spacing w:after="0" w:line="135" w:lineRule="exact"/>
              <w:rPr>
                <w:sz w:val="20"/>
                <w:szCs w:val="20"/>
                <w:color w:val="auto"/>
              </w:rPr>
            </w:pPr>
            <w:r>
              <w:rPr>
                <w:rFonts w:ascii="Arial" w:cs="Arial" w:eastAsia="Arial" w:hAnsi="Arial"/>
                <w:sz w:val="13"/>
                <w:szCs w:val="13"/>
                <w:color w:val="auto"/>
              </w:rPr>
              <w:t>Transportation services</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(14,384 shares) (j)(m)</w:t>
            </w: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6/23/2017</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361</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436</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ind w:left="240"/>
              <w:spacing w:after="0" w:line="135" w:lineRule="exact"/>
              <w:rPr>
                <w:sz w:val="20"/>
                <w:szCs w:val="20"/>
                <w:color w:val="auto"/>
              </w:rPr>
            </w:pPr>
            <w:r>
              <w:rPr>
                <w:rFonts w:ascii="Arial" w:cs="Arial" w:eastAsia="Arial" w:hAnsi="Arial"/>
                <w:sz w:val="13"/>
                <w:szCs w:val="13"/>
                <w:color w:val="auto"/>
                <w:w w:val="91"/>
              </w:rPr>
              <w:t>Warrant (9.59% of Junior Subordinated Notes) (j)(q)</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6/23/2017</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381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398</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834</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00" w:type="dxa"/>
            <w:vAlign w:val="bottom"/>
            <w:gridSpan w:val="2"/>
          </w:tcPr>
          <w:p>
            <w:pPr>
              <w:spacing w:after="0" w:line="121" w:lineRule="exact"/>
              <w:rPr>
                <w:sz w:val="20"/>
                <w:szCs w:val="20"/>
                <w:color w:val="auto"/>
              </w:rPr>
            </w:pPr>
            <w:r>
              <w:rPr>
                <w:rFonts w:ascii="Arial" w:cs="Arial" w:eastAsia="Arial" w:hAnsi="Arial"/>
                <w:sz w:val="13"/>
                <w:szCs w:val="13"/>
                <w:i w:val="1"/>
                <w:iCs w:val="1"/>
                <w:color w:val="auto"/>
              </w:rPr>
              <w:t>New Era Technology, Inc.</w:t>
            </w:r>
          </w:p>
        </w:tc>
        <w:tc>
          <w:tcPr>
            <w:tcW w:w="1560" w:type="dxa"/>
            <w:vAlign w:val="bottom"/>
            <w:gridSpan w:val="2"/>
          </w:tcPr>
          <w:p>
            <w:pPr>
              <w:spacing w:after="0" w:line="121" w:lineRule="exact"/>
              <w:rPr>
                <w:sz w:val="20"/>
                <w:szCs w:val="20"/>
                <w:color w:val="auto"/>
              </w:rPr>
            </w:pPr>
            <w:r>
              <w:rPr>
                <w:rFonts w:ascii="Arial" w:cs="Arial" w:eastAsia="Arial" w:hAnsi="Arial"/>
                <w:sz w:val="13"/>
                <w:szCs w:val="13"/>
                <w:color w:val="auto"/>
              </w:rPr>
              <w:t>Information Technology</w:t>
            </w: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60" w:type="dxa"/>
            <w:vAlign w:val="bottom"/>
            <w:gridSpan w:val="2"/>
          </w:tcPr>
          <w:p>
            <w:pPr>
              <w:spacing w:after="0"/>
              <w:rPr>
                <w:sz w:val="20"/>
                <w:szCs w:val="20"/>
                <w:color w:val="auto"/>
              </w:rPr>
            </w:pPr>
            <w:r>
              <w:rPr>
                <w:rFonts w:ascii="Arial" w:cs="Arial" w:eastAsia="Arial" w:hAnsi="Arial"/>
                <w:sz w:val="13"/>
                <w:szCs w:val="13"/>
                <w:color w:val="auto"/>
              </w:rPr>
              <w:t>Services</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(197,369 shares) (j)</w:t>
            </w: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3/3/2017</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750</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990</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70"/>
        </w:trPr>
        <w:tc>
          <w:tcPr>
            <w:tcW w:w="3020" w:type="dxa"/>
            <w:vAlign w:val="bottom"/>
            <w:gridSpan w:val="3"/>
          </w:tcPr>
          <w:p>
            <w:pPr>
              <w:spacing w:after="0"/>
              <w:rPr>
                <w:sz w:val="20"/>
                <w:szCs w:val="20"/>
                <w:color w:val="auto"/>
              </w:rPr>
            </w:pPr>
            <w:r>
              <w:rPr>
                <w:rFonts w:ascii="Arial" w:cs="Arial" w:eastAsia="Arial" w:hAnsi="Arial"/>
                <w:sz w:val="13"/>
                <w:szCs w:val="13"/>
                <w:i w:val="1"/>
                <w:iCs w:val="1"/>
                <w:color w:val="auto"/>
                <w:w w:val="91"/>
              </w:rPr>
              <w:t>NGT Acquisition Holdings, LLC (dba Techniks Industries)</w:t>
            </w:r>
          </w:p>
        </w:tc>
        <w:tc>
          <w:tcPr>
            <w:tcW w:w="1560" w:type="dxa"/>
            <w:vAlign w:val="bottom"/>
            <w:gridSpan w:val="2"/>
          </w:tcPr>
          <w:p>
            <w:pPr>
              <w:spacing w:after="0"/>
              <w:rPr>
                <w:sz w:val="20"/>
                <w:szCs w:val="20"/>
                <w:color w:val="auto"/>
              </w:rPr>
            </w:pPr>
            <w:r>
              <w:rPr>
                <w:rFonts w:ascii="Arial" w:cs="Arial" w:eastAsia="Arial" w:hAnsi="Arial"/>
                <w:sz w:val="13"/>
                <w:szCs w:val="13"/>
                <w:color w:val="auto"/>
              </w:rPr>
              <w:t>Component Manufacturing</w:t>
            </w: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9"/>
              </w:rPr>
              <w:t>12.50%/2.00%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5/24/2017</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3/21/2022</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11,579</w:t>
            </w:r>
          </w:p>
        </w:tc>
        <w:tc>
          <w:tcPr>
            <w:tcW w:w="6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11,542</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10,460</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(378 units) (j)</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5/24/2017</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72</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12,042</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10,532</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00" w:type="dxa"/>
            <w:vAlign w:val="bottom"/>
            <w:gridSpan w:val="2"/>
          </w:tcPr>
          <w:p>
            <w:pPr>
              <w:spacing w:after="0" w:line="121" w:lineRule="exact"/>
              <w:rPr>
                <w:sz w:val="20"/>
                <w:szCs w:val="20"/>
                <w:color w:val="auto"/>
              </w:rPr>
            </w:pPr>
            <w:r>
              <w:rPr>
                <w:rFonts w:ascii="Arial" w:cs="Arial" w:eastAsia="Arial" w:hAnsi="Arial"/>
                <w:sz w:val="13"/>
                <w:szCs w:val="13"/>
                <w:i w:val="1"/>
                <w:iCs w:val="1"/>
                <w:color w:val="auto"/>
                <w:w w:val="96"/>
              </w:rPr>
              <w:t>Oaktree Medical Centre, P.C. (dba Pain Management</w:t>
            </w: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2"/>
          </w:tcPr>
          <w:p>
            <w:pPr>
              <w:ind w:left="120"/>
              <w:spacing w:after="0"/>
              <w:rPr>
                <w:sz w:val="20"/>
                <w:szCs w:val="20"/>
                <w:color w:val="auto"/>
              </w:rPr>
            </w:pPr>
            <w:r>
              <w:rPr>
                <w:rFonts w:ascii="Arial" w:cs="Arial" w:eastAsia="Arial" w:hAnsi="Arial"/>
                <w:sz w:val="13"/>
                <w:szCs w:val="13"/>
                <w:i w:val="1"/>
                <w:iCs w:val="1"/>
                <w:color w:val="auto"/>
              </w:rPr>
              <w:t>Associates)</w:t>
            </w:r>
          </w:p>
        </w:tc>
        <w:tc>
          <w:tcPr>
            <w:tcW w:w="1560" w:type="dxa"/>
            <w:vAlign w:val="bottom"/>
            <w:gridSpan w:val="2"/>
          </w:tcPr>
          <w:p>
            <w:pPr>
              <w:spacing w:after="0"/>
              <w:rPr>
                <w:sz w:val="20"/>
                <w:szCs w:val="20"/>
                <w:color w:val="auto"/>
              </w:rPr>
            </w:pPr>
            <w:r>
              <w:rPr>
                <w:rFonts w:ascii="Arial" w:cs="Arial" w:eastAsia="Arial" w:hAnsi="Arial"/>
                <w:sz w:val="13"/>
                <w:szCs w:val="13"/>
                <w:color w:val="auto"/>
              </w:rPr>
              <w:t>Healthcare Services</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(j)(t)</w:t>
            </w: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9"/>
              </w:rPr>
              <w:t>14.50%/0.00%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5/6/2014</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1/1/2018</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571</w:t>
            </w:r>
          </w:p>
        </w:tc>
        <w:tc>
          <w:tcPr>
            <w:tcW w:w="6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649</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566</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(j)(t)</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1"/>
              </w:rPr>
              <w:t>10.00%/12.00%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5/6/2014</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1/1/2018</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7,751</w:t>
            </w:r>
          </w:p>
        </w:tc>
        <w:tc>
          <w:tcPr>
            <w:tcW w:w="60" w:type="dxa"/>
            <w:vAlign w:val="bottom"/>
          </w:tcPr>
          <w:p>
            <w:pPr>
              <w:spacing w:after="0"/>
              <w:rPr>
                <w:sz w:val="11"/>
                <w:szCs w:val="11"/>
                <w:color w:val="auto"/>
              </w:rPr>
            </w:pPr>
          </w:p>
        </w:tc>
        <w:tc>
          <w:tcPr>
            <w:tcW w:w="6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8,338</w:t>
            </w: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8,133</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Revolving Loan (j)(t)</w:t>
            </w: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9"/>
              </w:rPr>
              <w:t>14.50%/0.00%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5/6/2014</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1/1/2018</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2,500</w:t>
            </w: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2,699</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2,490</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Revolving Loan (j)(t)</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9"/>
              </w:rPr>
              <w:t>14.50%/0.00%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12/31/2018</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1/31/2019</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200</w:t>
            </w: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11,886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11,389</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w w:val="98"/>
              </w:rPr>
              <w:t>OMC Investors, LLC (dba Ohio Medical Corporation)</w:t>
            </w:r>
          </w:p>
        </w:tc>
        <w:tc>
          <w:tcPr>
            <w:tcW w:w="1560" w:type="dxa"/>
            <w:vAlign w:val="bottom"/>
            <w:gridSpan w:val="2"/>
          </w:tcPr>
          <w:p>
            <w:pPr>
              <w:spacing w:after="0" w:line="135" w:lineRule="exact"/>
              <w:rPr>
                <w:sz w:val="20"/>
                <w:szCs w:val="20"/>
                <w:color w:val="auto"/>
              </w:rPr>
            </w:pPr>
            <w:r>
              <w:rPr>
                <w:rFonts w:ascii="Arial" w:cs="Arial" w:eastAsia="Arial" w:hAnsi="Arial"/>
                <w:sz w:val="13"/>
                <w:szCs w:val="13"/>
                <w:color w:val="auto"/>
              </w:rPr>
              <w:t>Healthcare Products</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9"/>
              </w:rPr>
              <w:t>12.00%/0.00%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1/15/2016</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7/15/2021</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10,000</w:t>
            </w:r>
          </w:p>
        </w:tc>
        <w:tc>
          <w:tcPr>
            <w:tcW w:w="6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9,954</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8,748</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(5,000 units)</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1/15/2016</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139</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10,454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8,887</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00" w:type="dxa"/>
            <w:vAlign w:val="bottom"/>
            <w:gridSpan w:val="2"/>
          </w:tcPr>
          <w:p>
            <w:pPr>
              <w:spacing w:after="0" w:line="121" w:lineRule="exact"/>
              <w:rPr>
                <w:sz w:val="20"/>
                <w:szCs w:val="20"/>
                <w:color w:val="auto"/>
              </w:rPr>
            </w:pPr>
            <w:r>
              <w:rPr>
                <w:rFonts w:ascii="Arial" w:cs="Arial" w:eastAsia="Arial" w:hAnsi="Arial"/>
                <w:sz w:val="13"/>
                <w:szCs w:val="13"/>
                <w:color w:val="auto"/>
              </w:rPr>
              <w:t>P</w:t>
            </w:r>
            <w:r>
              <w:rPr>
                <w:rFonts w:ascii="Arial" w:cs="Arial" w:eastAsia="Arial" w:hAnsi="Arial"/>
                <w:sz w:val="13"/>
                <w:szCs w:val="13"/>
                <w:i w:val="1"/>
                <w:iCs w:val="1"/>
                <w:color w:val="auto"/>
              </w:rPr>
              <w:t>alisade Company, LLC</w:t>
            </w:r>
          </w:p>
        </w:tc>
        <w:tc>
          <w:tcPr>
            <w:tcW w:w="1560" w:type="dxa"/>
            <w:vAlign w:val="bottom"/>
            <w:gridSpan w:val="2"/>
          </w:tcPr>
          <w:p>
            <w:pPr>
              <w:spacing w:after="0" w:line="121" w:lineRule="exact"/>
              <w:rPr>
                <w:sz w:val="20"/>
                <w:szCs w:val="20"/>
                <w:color w:val="auto"/>
              </w:rPr>
            </w:pPr>
            <w:r>
              <w:rPr>
                <w:rFonts w:ascii="Arial" w:cs="Arial" w:eastAsia="Arial" w:hAnsi="Arial"/>
                <w:sz w:val="13"/>
                <w:szCs w:val="13"/>
                <w:color w:val="auto"/>
              </w:rPr>
              <w:t>Information Technology</w:t>
            </w: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60" w:type="dxa"/>
            <w:vAlign w:val="bottom"/>
            <w:gridSpan w:val="2"/>
          </w:tcPr>
          <w:p>
            <w:pPr>
              <w:spacing w:after="0"/>
              <w:rPr>
                <w:sz w:val="20"/>
                <w:szCs w:val="20"/>
                <w:color w:val="auto"/>
              </w:rPr>
            </w:pPr>
            <w:r>
              <w:rPr>
                <w:rFonts w:ascii="Arial" w:cs="Arial" w:eastAsia="Arial" w:hAnsi="Arial"/>
                <w:sz w:val="13"/>
                <w:szCs w:val="13"/>
                <w:color w:val="auto"/>
              </w:rPr>
              <w:t>Services</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9"/>
              </w:rPr>
              <w:t>11.75%/0.00%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11/15/2018</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5/15/2024</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6,500</w:t>
            </w: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6,468</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6,468</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(100 shares) (j)</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11/15/2018</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1,000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7,468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7,468</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Palmetto Moon, LLC</w:t>
            </w:r>
          </w:p>
        </w:tc>
        <w:tc>
          <w:tcPr>
            <w:tcW w:w="1560" w:type="dxa"/>
            <w:vAlign w:val="bottom"/>
            <w:gridSpan w:val="2"/>
          </w:tcPr>
          <w:p>
            <w:pPr>
              <w:spacing w:after="0" w:line="135" w:lineRule="exact"/>
              <w:rPr>
                <w:sz w:val="20"/>
                <w:szCs w:val="20"/>
                <w:color w:val="auto"/>
              </w:rPr>
            </w:pPr>
            <w:r>
              <w:rPr>
                <w:rFonts w:ascii="Arial" w:cs="Arial" w:eastAsia="Arial" w:hAnsi="Arial"/>
                <w:sz w:val="13"/>
                <w:szCs w:val="13"/>
                <w:color w:val="auto"/>
              </w:rPr>
              <w:t>Retail</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9"/>
              </w:rPr>
              <w:t>11.50%/2.50%</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11/3/2016</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10/31/2021</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5,512</w:t>
            </w: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5,490</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5,512</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(499 units) (j)</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11/3/2016</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494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108</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5,984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5,620</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60"/>
          </w:cols>
          <w:pgMar w:left="240" w:top="459"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60"/>
          </w:cols>
          <w:pgMar w:left="240" w:top="459" w:right="499" w:bottom="1440" w:gutter="0" w:footer="0" w:header="0"/>
        </w:sectPr>
      </w:pP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36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0"/>
              </w:rPr>
              <w:t>Variable Index</w:t>
            </w:r>
          </w:p>
        </w:tc>
      </w:tr>
      <w:tr>
        <w:trPr>
          <w:trHeight w:val="173"/>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Investment Type (c)</w:t>
            </w: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2"/>
          </w:tcPr>
          <w:p>
            <w:pPr>
              <w:ind w:left="760"/>
              <w:spacing w:after="0"/>
              <w:rPr>
                <w:sz w:val="20"/>
                <w:szCs w:val="20"/>
                <w:color w:val="auto"/>
              </w:rPr>
            </w:pPr>
            <w:r>
              <w:rPr>
                <w:rFonts w:ascii="Arial" w:cs="Arial" w:eastAsia="Arial" w:hAnsi="Arial"/>
                <w:sz w:val="13"/>
                <w:szCs w:val="13"/>
                <w:b w:val="1"/>
                <w:bCs w:val="1"/>
                <w:color w:val="auto"/>
              </w:rPr>
              <w:t>Industry</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Spread / Floor (d)</w:t>
            </w:r>
          </w:p>
        </w:tc>
      </w:tr>
      <w:tr>
        <w:trPr>
          <w:trHeight w:val="108"/>
        </w:trPr>
        <w:tc>
          <w:tcPr>
            <w:tcW w:w="2360" w:type="dxa"/>
            <w:vAlign w:val="bottom"/>
            <w:gridSpan w:val="2"/>
          </w:tcPr>
          <w:p>
            <w:pPr>
              <w:spacing w:after="0" w:line="108" w:lineRule="exact"/>
              <w:rPr>
                <w:sz w:val="20"/>
                <w:szCs w:val="20"/>
                <w:color w:val="auto"/>
              </w:rPr>
            </w:pPr>
            <w:r>
              <w:rPr>
                <w:rFonts w:ascii="Arial" w:cs="Arial" w:eastAsia="Arial" w:hAnsi="Arial"/>
                <w:sz w:val="12"/>
                <w:szCs w:val="12"/>
                <w:i w:val="1"/>
                <w:iCs w:val="1"/>
                <w:color w:val="auto"/>
              </w:rPr>
              <w:t>Power Grid Components, Inc.</w:t>
            </w:r>
          </w:p>
        </w:tc>
        <w:tc>
          <w:tcPr>
            <w:tcW w:w="300" w:type="dxa"/>
            <w:vAlign w:val="bottom"/>
          </w:tcPr>
          <w:p>
            <w:pPr>
              <w:spacing w:after="0"/>
              <w:rPr>
                <w:sz w:val="9"/>
                <w:szCs w:val="9"/>
                <w:color w:val="auto"/>
              </w:rPr>
            </w:pPr>
          </w:p>
        </w:tc>
        <w:tc>
          <w:tcPr>
            <w:tcW w:w="2000" w:type="dxa"/>
            <w:vAlign w:val="bottom"/>
            <w:tcBorders>
              <w:top w:val="single" w:sz="8" w:color="auto"/>
            </w:tcBorders>
          </w:tcPr>
          <w:p>
            <w:pPr>
              <w:spacing w:after="0" w:line="108" w:lineRule="exact"/>
              <w:rPr>
                <w:sz w:val="20"/>
                <w:szCs w:val="20"/>
                <w:color w:val="auto"/>
              </w:rPr>
            </w:pPr>
            <w:r>
              <w:rPr>
                <w:rFonts w:ascii="Arial" w:cs="Arial" w:eastAsia="Arial" w:hAnsi="Arial"/>
                <w:sz w:val="12"/>
                <w:szCs w:val="12"/>
                <w:color w:val="auto"/>
              </w:rPr>
              <w:t>Specialty Distribution</w:t>
            </w:r>
          </w:p>
        </w:tc>
        <w:tc>
          <w:tcPr>
            <w:tcW w:w="8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r>
      <w:tr>
        <w:trPr>
          <w:trHeight w:val="135"/>
        </w:trPr>
        <w:tc>
          <w:tcPr>
            <w:tcW w:w="23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35"/>
        </w:trPr>
        <w:tc>
          <w:tcPr>
            <w:tcW w:w="23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Preferred Equity (392 shares) (j)</w:t>
            </w: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60"/>
        </w:trPr>
        <w:tc>
          <w:tcPr>
            <w:tcW w:w="2360" w:type="dxa"/>
            <w:vAlign w:val="bottom"/>
            <w:gridSpan w:val="2"/>
          </w:tcPr>
          <w:p>
            <w:pPr>
              <w:ind w:left="260"/>
              <w:spacing w:after="0"/>
              <w:rPr>
                <w:sz w:val="20"/>
                <w:szCs w:val="20"/>
                <w:color w:val="auto"/>
              </w:rPr>
            </w:pPr>
            <w:r>
              <w:rPr>
                <w:rFonts w:ascii="Arial" w:cs="Arial" w:eastAsia="Arial" w:hAnsi="Arial"/>
                <w:sz w:val="13"/>
                <w:szCs w:val="13"/>
                <w:color w:val="auto"/>
              </w:rPr>
              <w:t>Common Equity (9,695 shares) (j)</w:t>
            </w: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72"/>
        </w:trPr>
        <w:tc>
          <w:tcPr>
            <w:tcW w:w="2360" w:type="dxa"/>
            <w:vAlign w:val="bottom"/>
            <w:gridSpan w:val="2"/>
          </w:tcPr>
          <w:p>
            <w:pPr>
              <w:spacing w:after="0"/>
              <w:rPr>
                <w:sz w:val="20"/>
                <w:szCs w:val="20"/>
                <w:color w:val="auto"/>
              </w:rPr>
            </w:pPr>
            <w:r>
              <w:rPr>
                <w:rFonts w:ascii="Arial" w:cs="Arial" w:eastAsia="Arial" w:hAnsi="Arial"/>
                <w:sz w:val="13"/>
                <w:szCs w:val="13"/>
                <w:i w:val="1"/>
                <w:iCs w:val="1"/>
                <w:color w:val="auto"/>
              </w:rPr>
              <w:t>Pugh Lubricants, LLC</w:t>
            </w:r>
          </w:p>
        </w:tc>
        <w:tc>
          <w:tcPr>
            <w:tcW w:w="2380" w:type="dxa"/>
            <w:vAlign w:val="bottom"/>
            <w:gridSpan w:val="3"/>
          </w:tcPr>
          <w:p>
            <w:pPr>
              <w:ind w:left="300"/>
              <w:spacing w:after="0"/>
              <w:rPr>
                <w:sz w:val="20"/>
                <w:szCs w:val="20"/>
                <w:color w:val="auto"/>
              </w:rPr>
            </w:pPr>
            <w:r>
              <w:rPr>
                <w:rFonts w:ascii="Arial" w:cs="Arial" w:eastAsia="Arial" w:hAnsi="Arial"/>
                <w:sz w:val="13"/>
                <w:szCs w:val="13"/>
                <w:color w:val="auto"/>
              </w:rPr>
              <w:t>Specialty Distribution</w:t>
            </w:r>
          </w:p>
        </w:tc>
        <w:tc>
          <w:tcPr>
            <w:tcW w:w="1200" w:type="dxa"/>
            <w:vAlign w:val="bottom"/>
          </w:tcPr>
          <w:p>
            <w:pPr>
              <w:spacing w:after="0"/>
              <w:rPr>
                <w:sz w:val="23"/>
                <w:szCs w:val="23"/>
                <w:color w:val="auto"/>
              </w:rPr>
            </w:pPr>
          </w:p>
        </w:tc>
      </w:tr>
      <w:tr>
        <w:trPr>
          <w:trHeight w:val="135"/>
        </w:trPr>
        <w:tc>
          <w:tcPr>
            <w:tcW w:w="23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60"/>
        </w:trPr>
        <w:tc>
          <w:tcPr>
            <w:tcW w:w="2360" w:type="dxa"/>
            <w:vAlign w:val="bottom"/>
            <w:gridSpan w:val="2"/>
          </w:tcPr>
          <w:p>
            <w:pPr>
              <w:ind w:left="260"/>
              <w:spacing w:after="0"/>
              <w:rPr>
                <w:sz w:val="20"/>
                <w:szCs w:val="20"/>
                <w:color w:val="auto"/>
              </w:rPr>
            </w:pPr>
            <w:r>
              <w:rPr>
                <w:rFonts w:ascii="Arial" w:cs="Arial" w:eastAsia="Arial" w:hAnsi="Arial"/>
                <w:sz w:val="13"/>
                <w:szCs w:val="13"/>
                <w:color w:val="auto"/>
              </w:rPr>
              <w:t>Common Equity (6,125 units) (h)(j)</w:t>
            </w: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72"/>
        </w:trPr>
        <w:tc>
          <w:tcPr>
            <w:tcW w:w="2360" w:type="dxa"/>
            <w:vAlign w:val="bottom"/>
            <w:gridSpan w:val="2"/>
          </w:tcPr>
          <w:p>
            <w:pPr>
              <w:spacing w:after="0"/>
              <w:rPr>
                <w:sz w:val="20"/>
                <w:szCs w:val="20"/>
                <w:color w:val="auto"/>
              </w:rPr>
            </w:pPr>
            <w:r>
              <w:rPr>
                <w:rFonts w:ascii="Arial" w:cs="Arial" w:eastAsia="Arial" w:hAnsi="Arial"/>
                <w:sz w:val="13"/>
                <w:szCs w:val="13"/>
                <w:i w:val="1"/>
                <w:iCs w:val="1"/>
                <w:color w:val="auto"/>
              </w:rPr>
              <w:t>Revenue Management Solutions, LLC</w:t>
            </w:r>
          </w:p>
        </w:tc>
        <w:tc>
          <w:tcPr>
            <w:tcW w:w="2380" w:type="dxa"/>
            <w:vAlign w:val="bottom"/>
            <w:gridSpan w:val="3"/>
          </w:tcPr>
          <w:p>
            <w:pPr>
              <w:ind w:left="300"/>
              <w:spacing w:after="0"/>
              <w:rPr>
                <w:sz w:val="20"/>
                <w:szCs w:val="20"/>
                <w:color w:val="auto"/>
              </w:rPr>
            </w:pPr>
            <w:r>
              <w:rPr>
                <w:rFonts w:ascii="Arial" w:cs="Arial" w:eastAsia="Arial" w:hAnsi="Arial"/>
                <w:sz w:val="13"/>
                <w:szCs w:val="13"/>
                <w:color w:val="auto"/>
              </w:rPr>
              <w:t>Information Technology Services</w:t>
            </w:r>
          </w:p>
        </w:tc>
        <w:tc>
          <w:tcPr>
            <w:tcW w:w="1200" w:type="dxa"/>
            <w:vAlign w:val="bottom"/>
          </w:tcPr>
          <w:p>
            <w:pPr>
              <w:spacing w:after="0"/>
              <w:rPr>
                <w:sz w:val="23"/>
                <w:szCs w:val="23"/>
                <w:color w:val="auto"/>
              </w:rPr>
            </w:pPr>
          </w:p>
        </w:tc>
      </w:tr>
      <w:tr>
        <w:trPr>
          <w:trHeight w:val="160"/>
        </w:trPr>
        <w:tc>
          <w:tcPr>
            <w:tcW w:w="2360" w:type="dxa"/>
            <w:vAlign w:val="bottom"/>
            <w:gridSpan w:val="2"/>
          </w:tcPr>
          <w:p>
            <w:pPr>
              <w:ind w:left="260"/>
              <w:spacing w:after="0"/>
              <w:rPr>
                <w:sz w:val="20"/>
                <w:szCs w:val="20"/>
                <w:color w:val="auto"/>
              </w:rPr>
            </w:pPr>
            <w:r>
              <w:rPr>
                <w:rFonts w:ascii="Arial" w:cs="Arial" w:eastAsia="Arial" w:hAnsi="Arial"/>
                <w:sz w:val="13"/>
                <w:szCs w:val="13"/>
                <w:color w:val="auto"/>
              </w:rPr>
              <w:t>Common Equity (2,250,000 shares)</w:t>
            </w: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45"/>
        </w:trPr>
        <w:tc>
          <w:tcPr>
            <w:tcW w:w="2360" w:type="dxa"/>
            <w:vAlign w:val="bottom"/>
            <w:gridSpan w:val="2"/>
          </w:tcPr>
          <w:p>
            <w:pPr>
              <w:spacing w:after="0"/>
              <w:rPr>
                <w:sz w:val="20"/>
                <w:szCs w:val="20"/>
                <w:color w:val="auto"/>
              </w:rPr>
            </w:pPr>
            <w:r>
              <w:rPr>
                <w:rFonts w:ascii="Arial" w:cs="Arial" w:eastAsia="Arial" w:hAnsi="Arial"/>
                <w:sz w:val="13"/>
                <w:szCs w:val="13"/>
                <w:i w:val="1"/>
                <w:iCs w:val="1"/>
                <w:color w:val="auto"/>
              </w:rPr>
              <w:t>Rhino Assembly Company, LLC</w:t>
            </w:r>
          </w:p>
        </w:tc>
        <w:tc>
          <w:tcPr>
            <w:tcW w:w="2380" w:type="dxa"/>
            <w:vAlign w:val="bottom"/>
            <w:gridSpan w:val="3"/>
          </w:tcPr>
          <w:p>
            <w:pPr>
              <w:ind w:left="300"/>
              <w:spacing w:after="0"/>
              <w:rPr>
                <w:sz w:val="20"/>
                <w:szCs w:val="20"/>
                <w:color w:val="auto"/>
              </w:rPr>
            </w:pPr>
            <w:r>
              <w:rPr>
                <w:rFonts w:ascii="Arial" w:cs="Arial" w:eastAsia="Arial" w:hAnsi="Arial"/>
                <w:sz w:val="13"/>
                <w:szCs w:val="13"/>
                <w:color w:val="auto"/>
              </w:rPr>
              <w:t>Specialty Distribution</w:t>
            </w:r>
          </w:p>
        </w:tc>
        <w:tc>
          <w:tcPr>
            <w:tcW w:w="1200" w:type="dxa"/>
            <w:vAlign w:val="bottom"/>
          </w:tcPr>
          <w:p>
            <w:pPr>
              <w:spacing w:after="0"/>
              <w:rPr>
                <w:sz w:val="21"/>
                <w:szCs w:val="21"/>
                <w:color w:val="auto"/>
              </w:rPr>
            </w:pPr>
          </w:p>
        </w:tc>
      </w:tr>
      <w:tr>
        <w:trPr>
          <w:trHeight w:val="135"/>
        </w:trPr>
        <w:tc>
          <w:tcPr>
            <w:tcW w:w="23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35"/>
        </w:trPr>
        <w:tc>
          <w:tcPr>
            <w:tcW w:w="4740" w:type="dxa"/>
            <w:vAlign w:val="bottom"/>
            <w:gridSpan w:val="5"/>
          </w:tcPr>
          <w:p>
            <w:pPr>
              <w:ind w:left="260"/>
              <w:spacing w:after="0" w:line="135" w:lineRule="exact"/>
              <w:rPr>
                <w:sz w:val="20"/>
                <w:szCs w:val="20"/>
                <w:color w:val="auto"/>
              </w:rPr>
            </w:pPr>
            <w:r>
              <w:rPr>
                <w:rFonts w:ascii="Arial" w:cs="Arial" w:eastAsia="Arial" w:hAnsi="Arial"/>
                <w:sz w:val="13"/>
                <w:szCs w:val="13"/>
                <w:color w:val="auto"/>
              </w:rPr>
              <w:t>Delayed Draw Commitment ($875 commitment) (i)(j)</w:t>
            </w:r>
          </w:p>
        </w:tc>
        <w:tc>
          <w:tcPr>
            <w:tcW w:w="1200" w:type="dxa"/>
            <w:vAlign w:val="bottom"/>
          </w:tcPr>
          <w:p>
            <w:pPr>
              <w:spacing w:after="0"/>
              <w:rPr>
                <w:sz w:val="11"/>
                <w:szCs w:val="11"/>
                <w:color w:val="auto"/>
              </w:rPr>
            </w:pPr>
          </w:p>
        </w:tc>
      </w:tr>
      <w:tr>
        <w:trPr>
          <w:trHeight w:val="160"/>
        </w:trPr>
        <w:tc>
          <w:tcPr>
            <w:tcW w:w="2360" w:type="dxa"/>
            <w:vAlign w:val="bottom"/>
            <w:gridSpan w:val="2"/>
          </w:tcPr>
          <w:p>
            <w:pPr>
              <w:ind w:left="260"/>
              <w:spacing w:after="0"/>
              <w:rPr>
                <w:sz w:val="20"/>
                <w:szCs w:val="20"/>
                <w:color w:val="auto"/>
              </w:rPr>
            </w:pPr>
            <w:r>
              <w:rPr>
                <w:rFonts w:ascii="Arial" w:cs="Arial" w:eastAsia="Arial" w:hAnsi="Arial"/>
                <w:sz w:val="13"/>
                <w:szCs w:val="13"/>
                <w:color w:val="auto"/>
              </w:rPr>
              <w:t>Preferred Equity (8,864 units) (j)(r)</w:t>
            </w: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72"/>
        </w:trPr>
        <w:tc>
          <w:tcPr>
            <w:tcW w:w="2360" w:type="dxa"/>
            <w:vAlign w:val="bottom"/>
            <w:gridSpan w:val="2"/>
          </w:tcPr>
          <w:p>
            <w:pPr>
              <w:spacing w:after="0"/>
              <w:rPr>
                <w:sz w:val="20"/>
                <w:szCs w:val="20"/>
                <w:color w:val="auto"/>
              </w:rPr>
            </w:pPr>
            <w:r>
              <w:rPr>
                <w:rFonts w:ascii="Arial" w:cs="Arial" w:eastAsia="Arial" w:hAnsi="Arial"/>
                <w:sz w:val="13"/>
                <w:szCs w:val="13"/>
                <w:i w:val="1"/>
                <w:iCs w:val="1"/>
                <w:color w:val="auto"/>
              </w:rPr>
              <w:t>Road Safety Services, Inc.</w:t>
            </w:r>
          </w:p>
        </w:tc>
        <w:tc>
          <w:tcPr>
            <w:tcW w:w="2380" w:type="dxa"/>
            <w:vAlign w:val="bottom"/>
            <w:gridSpan w:val="3"/>
          </w:tcPr>
          <w:p>
            <w:pPr>
              <w:ind w:left="300"/>
              <w:spacing w:after="0"/>
              <w:rPr>
                <w:sz w:val="20"/>
                <w:szCs w:val="20"/>
                <w:color w:val="auto"/>
              </w:rPr>
            </w:pPr>
            <w:r>
              <w:rPr>
                <w:rFonts w:ascii="Arial" w:cs="Arial" w:eastAsia="Arial" w:hAnsi="Arial"/>
                <w:sz w:val="13"/>
                <w:szCs w:val="13"/>
                <w:color w:val="auto"/>
              </w:rPr>
              <w:t>Business Services</w:t>
            </w:r>
          </w:p>
        </w:tc>
        <w:tc>
          <w:tcPr>
            <w:tcW w:w="1200" w:type="dxa"/>
            <w:vAlign w:val="bottom"/>
          </w:tcPr>
          <w:p>
            <w:pPr>
              <w:spacing w:after="0"/>
              <w:rPr>
                <w:sz w:val="23"/>
                <w:szCs w:val="23"/>
                <w:color w:val="auto"/>
              </w:rPr>
            </w:pPr>
          </w:p>
        </w:tc>
      </w:tr>
      <w:tr>
        <w:trPr>
          <w:trHeight w:val="135"/>
        </w:trPr>
        <w:tc>
          <w:tcPr>
            <w:tcW w:w="23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60"/>
        </w:trPr>
        <w:tc>
          <w:tcPr>
            <w:tcW w:w="2360" w:type="dxa"/>
            <w:vAlign w:val="bottom"/>
            <w:gridSpan w:val="2"/>
          </w:tcPr>
          <w:p>
            <w:pPr>
              <w:ind w:left="260"/>
              <w:spacing w:after="0"/>
              <w:rPr>
                <w:sz w:val="20"/>
                <w:szCs w:val="20"/>
                <w:color w:val="auto"/>
              </w:rPr>
            </w:pPr>
            <w:r>
              <w:rPr>
                <w:rFonts w:ascii="Arial" w:cs="Arial" w:eastAsia="Arial" w:hAnsi="Arial"/>
                <w:sz w:val="13"/>
                <w:szCs w:val="13"/>
                <w:color w:val="auto"/>
              </w:rPr>
              <w:t>Common Equity (655 units)</w:t>
            </w: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72"/>
        </w:trPr>
        <w:tc>
          <w:tcPr>
            <w:tcW w:w="2360" w:type="dxa"/>
            <w:vAlign w:val="bottom"/>
            <w:gridSpan w:val="2"/>
          </w:tcPr>
          <w:p>
            <w:pPr>
              <w:spacing w:after="0"/>
              <w:rPr>
                <w:sz w:val="20"/>
                <w:szCs w:val="20"/>
                <w:color w:val="auto"/>
              </w:rPr>
            </w:pPr>
            <w:r>
              <w:rPr>
                <w:rFonts w:ascii="Arial" w:cs="Arial" w:eastAsia="Arial" w:hAnsi="Arial"/>
                <w:sz w:val="13"/>
                <w:szCs w:val="13"/>
                <w:i w:val="1"/>
                <w:iCs w:val="1"/>
                <w:color w:val="auto"/>
              </w:rPr>
              <w:t>Rohrer Corporation</w:t>
            </w:r>
          </w:p>
        </w:tc>
        <w:tc>
          <w:tcPr>
            <w:tcW w:w="2380" w:type="dxa"/>
            <w:vAlign w:val="bottom"/>
            <w:gridSpan w:val="3"/>
          </w:tcPr>
          <w:p>
            <w:pPr>
              <w:ind w:left="300"/>
              <w:spacing w:after="0"/>
              <w:rPr>
                <w:sz w:val="20"/>
                <w:szCs w:val="20"/>
                <w:color w:val="auto"/>
              </w:rPr>
            </w:pPr>
            <w:r>
              <w:rPr>
                <w:rFonts w:ascii="Arial" w:cs="Arial" w:eastAsia="Arial" w:hAnsi="Arial"/>
                <w:sz w:val="13"/>
                <w:szCs w:val="13"/>
                <w:color w:val="auto"/>
              </w:rPr>
              <w:t>Packaging</w:t>
            </w:r>
          </w:p>
        </w:tc>
        <w:tc>
          <w:tcPr>
            <w:tcW w:w="1200" w:type="dxa"/>
            <w:vAlign w:val="bottom"/>
          </w:tcPr>
          <w:p>
            <w:pPr>
              <w:spacing w:after="0"/>
              <w:rPr>
                <w:sz w:val="23"/>
                <w:szCs w:val="23"/>
                <w:color w:val="auto"/>
              </w:rPr>
            </w:pPr>
          </w:p>
        </w:tc>
      </w:tr>
      <w:tr>
        <w:trPr>
          <w:trHeight w:val="135"/>
        </w:trPr>
        <w:tc>
          <w:tcPr>
            <w:tcW w:w="23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Subordinated Debt (j)</w:t>
            </w: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60"/>
        </w:trPr>
        <w:tc>
          <w:tcPr>
            <w:tcW w:w="2360" w:type="dxa"/>
            <w:vAlign w:val="bottom"/>
            <w:gridSpan w:val="2"/>
          </w:tcPr>
          <w:p>
            <w:pPr>
              <w:ind w:left="260"/>
              <w:spacing w:after="0"/>
              <w:rPr>
                <w:sz w:val="20"/>
                <w:szCs w:val="20"/>
                <w:color w:val="auto"/>
              </w:rPr>
            </w:pPr>
            <w:r>
              <w:rPr>
                <w:rFonts w:ascii="Arial" w:cs="Arial" w:eastAsia="Arial" w:hAnsi="Arial"/>
                <w:sz w:val="13"/>
                <w:szCs w:val="13"/>
                <w:color w:val="auto"/>
              </w:rPr>
              <w:t>Common Equity (400 shares)</w:t>
            </w: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72"/>
        </w:trPr>
        <w:tc>
          <w:tcPr>
            <w:tcW w:w="2360" w:type="dxa"/>
            <w:vAlign w:val="bottom"/>
            <w:gridSpan w:val="2"/>
          </w:tcPr>
          <w:p>
            <w:pPr>
              <w:spacing w:after="0"/>
              <w:rPr>
                <w:sz w:val="20"/>
                <w:szCs w:val="20"/>
                <w:color w:val="auto"/>
              </w:rPr>
            </w:pPr>
            <w:r>
              <w:rPr>
                <w:rFonts w:ascii="Arial" w:cs="Arial" w:eastAsia="Arial" w:hAnsi="Arial"/>
                <w:sz w:val="13"/>
                <w:szCs w:val="13"/>
                <w:i w:val="1"/>
                <w:iCs w:val="1"/>
                <w:color w:val="auto"/>
              </w:rPr>
              <w:t>SES Investors, LLC (dba SES Foam)</w:t>
            </w:r>
          </w:p>
        </w:tc>
        <w:tc>
          <w:tcPr>
            <w:tcW w:w="2380" w:type="dxa"/>
            <w:vAlign w:val="bottom"/>
            <w:gridSpan w:val="3"/>
          </w:tcPr>
          <w:p>
            <w:pPr>
              <w:ind w:left="300"/>
              <w:spacing w:after="0"/>
              <w:rPr>
                <w:sz w:val="20"/>
                <w:szCs w:val="20"/>
                <w:color w:val="auto"/>
              </w:rPr>
            </w:pPr>
            <w:r>
              <w:rPr>
                <w:rFonts w:ascii="Arial" w:cs="Arial" w:eastAsia="Arial" w:hAnsi="Arial"/>
                <w:sz w:val="13"/>
                <w:szCs w:val="13"/>
                <w:color w:val="auto"/>
              </w:rPr>
              <w:t>Building Products Manufacturing</w:t>
            </w:r>
          </w:p>
        </w:tc>
        <w:tc>
          <w:tcPr>
            <w:tcW w:w="1200" w:type="dxa"/>
            <w:vAlign w:val="bottom"/>
          </w:tcPr>
          <w:p>
            <w:pPr>
              <w:spacing w:after="0"/>
              <w:rPr>
                <w:sz w:val="23"/>
                <w:szCs w:val="23"/>
                <w:color w:val="auto"/>
              </w:rPr>
            </w:pPr>
          </w:p>
        </w:tc>
      </w:tr>
      <w:tr>
        <w:trPr>
          <w:trHeight w:val="135"/>
        </w:trPr>
        <w:tc>
          <w:tcPr>
            <w:tcW w:w="23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w:t>
            </w: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60"/>
        </w:trPr>
        <w:tc>
          <w:tcPr>
            <w:tcW w:w="2360" w:type="dxa"/>
            <w:vAlign w:val="bottom"/>
            <w:gridSpan w:val="2"/>
          </w:tcPr>
          <w:p>
            <w:pPr>
              <w:ind w:left="260"/>
              <w:spacing w:after="0"/>
              <w:rPr>
                <w:sz w:val="20"/>
                <w:szCs w:val="20"/>
                <w:color w:val="auto"/>
              </w:rPr>
            </w:pPr>
            <w:r>
              <w:rPr>
                <w:rFonts w:ascii="Arial" w:cs="Arial" w:eastAsia="Arial" w:hAnsi="Arial"/>
                <w:sz w:val="13"/>
                <w:szCs w:val="13"/>
                <w:color w:val="auto"/>
              </w:rPr>
              <w:t>Common Equity (6,000 units) (h)(j)</w:t>
            </w: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72"/>
        </w:trPr>
        <w:tc>
          <w:tcPr>
            <w:tcW w:w="2360" w:type="dxa"/>
            <w:vAlign w:val="bottom"/>
            <w:gridSpan w:val="2"/>
          </w:tcPr>
          <w:p>
            <w:pPr>
              <w:spacing w:after="0"/>
              <w:rPr>
                <w:sz w:val="20"/>
                <w:szCs w:val="20"/>
                <w:color w:val="auto"/>
              </w:rPr>
            </w:pPr>
            <w:r>
              <w:rPr>
                <w:rFonts w:ascii="Arial" w:cs="Arial" w:eastAsia="Arial" w:hAnsi="Arial"/>
                <w:sz w:val="13"/>
                <w:szCs w:val="13"/>
                <w:i w:val="1"/>
                <w:iCs w:val="1"/>
                <w:color w:val="auto"/>
              </w:rPr>
              <w:t>Simplex Manufacturing Co.</w:t>
            </w:r>
          </w:p>
        </w:tc>
        <w:tc>
          <w:tcPr>
            <w:tcW w:w="2380" w:type="dxa"/>
            <w:vAlign w:val="bottom"/>
            <w:gridSpan w:val="3"/>
          </w:tcPr>
          <w:p>
            <w:pPr>
              <w:ind w:left="300"/>
              <w:spacing w:after="0"/>
              <w:rPr>
                <w:sz w:val="20"/>
                <w:szCs w:val="20"/>
                <w:color w:val="auto"/>
              </w:rPr>
            </w:pPr>
            <w:r>
              <w:rPr>
                <w:rFonts w:ascii="Arial" w:cs="Arial" w:eastAsia="Arial" w:hAnsi="Arial"/>
                <w:sz w:val="13"/>
                <w:szCs w:val="13"/>
                <w:color w:val="auto"/>
                <w:w w:val="96"/>
              </w:rPr>
              <w:t>Aerospace &amp; Defense Manufacturing</w:t>
            </w:r>
          </w:p>
        </w:tc>
        <w:tc>
          <w:tcPr>
            <w:tcW w:w="1200" w:type="dxa"/>
            <w:vAlign w:val="bottom"/>
          </w:tcPr>
          <w:p>
            <w:pPr>
              <w:spacing w:after="0"/>
              <w:rPr>
                <w:sz w:val="23"/>
                <w:szCs w:val="23"/>
                <w:color w:val="auto"/>
              </w:rPr>
            </w:pPr>
          </w:p>
        </w:tc>
      </w:tr>
      <w:tr>
        <w:trPr>
          <w:trHeight w:val="135"/>
        </w:trPr>
        <w:tc>
          <w:tcPr>
            <w:tcW w:w="23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Subordinated Debt</w:t>
            </w: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60"/>
        </w:trPr>
        <w:tc>
          <w:tcPr>
            <w:tcW w:w="2360" w:type="dxa"/>
            <w:vAlign w:val="bottom"/>
            <w:gridSpan w:val="2"/>
          </w:tcPr>
          <w:p>
            <w:pPr>
              <w:ind w:left="260"/>
              <w:spacing w:after="0"/>
              <w:rPr>
                <w:sz w:val="20"/>
                <w:szCs w:val="20"/>
                <w:color w:val="auto"/>
              </w:rPr>
            </w:pPr>
            <w:r>
              <w:rPr>
                <w:rFonts w:ascii="Arial" w:cs="Arial" w:eastAsia="Arial" w:hAnsi="Arial"/>
                <w:sz w:val="13"/>
                <w:szCs w:val="13"/>
                <w:color w:val="auto"/>
              </w:rPr>
              <w:t>Warrant (29 shares) (m)</w:t>
            </w: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72"/>
        </w:trPr>
        <w:tc>
          <w:tcPr>
            <w:tcW w:w="2360" w:type="dxa"/>
            <w:vAlign w:val="bottom"/>
            <w:gridSpan w:val="2"/>
          </w:tcPr>
          <w:p>
            <w:pPr>
              <w:spacing w:after="0"/>
              <w:rPr>
                <w:sz w:val="20"/>
                <w:szCs w:val="20"/>
                <w:color w:val="auto"/>
              </w:rPr>
            </w:pPr>
            <w:r>
              <w:rPr>
                <w:rFonts w:ascii="Arial" w:cs="Arial" w:eastAsia="Arial" w:hAnsi="Arial"/>
                <w:sz w:val="13"/>
                <w:szCs w:val="13"/>
                <w:i w:val="1"/>
                <w:iCs w:val="1"/>
                <w:color w:val="auto"/>
              </w:rPr>
              <w:t>Software Technology, LLC</w:t>
            </w:r>
          </w:p>
        </w:tc>
        <w:tc>
          <w:tcPr>
            <w:tcW w:w="2380" w:type="dxa"/>
            <w:vAlign w:val="bottom"/>
            <w:gridSpan w:val="3"/>
          </w:tcPr>
          <w:p>
            <w:pPr>
              <w:ind w:left="300"/>
              <w:spacing w:after="0"/>
              <w:rPr>
                <w:sz w:val="20"/>
                <w:szCs w:val="20"/>
                <w:color w:val="auto"/>
              </w:rPr>
            </w:pPr>
            <w:r>
              <w:rPr>
                <w:rFonts w:ascii="Arial" w:cs="Arial" w:eastAsia="Arial" w:hAnsi="Arial"/>
                <w:sz w:val="13"/>
                <w:szCs w:val="13"/>
                <w:color w:val="auto"/>
              </w:rPr>
              <w:t>Information Technology Services</w:t>
            </w:r>
          </w:p>
        </w:tc>
        <w:tc>
          <w:tcPr>
            <w:tcW w:w="1200" w:type="dxa"/>
            <w:vAlign w:val="bottom"/>
          </w:tcPr>
          <w:p>
            <w:pPr>
              <w:spacing w:after="0"/>
              <w:rPr>
                <w:sz w:val="23"/>
                <w:szCs w:val="23"/>
                <w:color w:val="auto"/>
              </w:rPr>
            </w:pPr>
          </w:p>
        </w:tc>
      </w:tr>
      <w:tr>
        <w:trPr>
          <w:trHeight w:val="135"/>
        </w:trPr>
        <w:tc>
          <w:tcPr>
            <w:tcW w:w="23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Subordinated Debt (k)</w:t>
            </w: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60"/>
        </w:trPr>
        <w:tc>
          <w:tcPr>
            <w:tcW w:w="2360" w:type="dxa"/>
            <w:vAlign w:val="bottom"/>
            <w:gridSpan w:val="2"/>
          </w:tcPr>
          <w:p>
            <w:pPr>
              <w:ind w:left="260"/>
              <w:spacing w:after="0"/>
              <w:rPr>
                <w:sz w:val="20"/>
                <w:szCs w:val="20"/>
                <w:color w:val="auto"/>
              </w:rPr>
            </w:pPr>
            <w:r>
              <w:rPr>
                <w:rFonts w:ascii="Arial" w:cs="Arial" w:eastAsia="Arial" w:hAnsi="Arial"/>
                <w:sz w:val="13"/>
                <w:szCs w:val="13"/>
                <w:color w:val="auto"/>
              </w:rPr>
              <w:t>Common Equity (12 shares)</w:t>
            </w: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72"/>
        </w:trPr>
        <w:tc>
          <w:tcPr>
            <w:tcW w:w="2360" w:type="dxa"/>
            <w:vAlign w:val="bottom"/>
            <w:gridSpan w:val="2"/>
          </w:tcPr>
          <w:p>
            <w:pPr>
              <w:spacing w:after="0"/>
              <w:rPr>
                <w:sz w:val="20"/>
                <w:szCs w:val="20"/>
                <w:color w:val="auto"/>
              </w:rPr>
            </w:pPr>
            <w:r>
              <w:rPr>
                <w:rFonts w:ascii="Arial" w:cs="Arial" w:eastAsia="Arial" w:hAnsi="Arial"/>
                <w:sz w:val="13"/>
                <w:szCs w:val="13"/>
                <w:i w:val="1"/>
                <w:iCs w:val="1"/>
                <w:color w:val="auto"/>
              </w:rPr>
              <w:t>SpendMend LLC</w:t>
            </w:r>
          </w:p>
        </w:tc>
        <w:tc>
          <w:tcPr>
            <w:tcW w:w="2380" w:type="dxa"/>
            <w:vAlign w:val="bottom"/>
            <w:gridSpan w:val="3"/>
          </w:tcPr>
          <w:p>
            <w:pPr>
              <w:ind w:left="300"/>
              <w:spacing w:after="0"/>
              <w:rPr>
                <w:sz w:val="20"/>
                <w:szCs w:val="20"/>
                <w:color w:val="auto"/>
              </w:rPr>
            </w:pPr>
            <w:r>
              <w:rPr>
                <w:rFonts w:ascii="Arial" w:cs="Arial" w:eastAsia="Arial" w:hAnsi="Arial"/>
                <w:sz w:val="13"/>
                <w:szCs w:val="13"/>
                <w:color w:val="auto"/>
              </w:rPr>
              <w:t>Business Services</w:t>
            </w:r>
          </w:p>
        </w:tc>
        <w:tc>
          <w:tcPr>
            <w:tcW w:w="1200" w:type="dxa"/>
            <w:vAlign w:val="bottom"/>
          </w:tcPr>
          <w:p>
            <w:pPr>
              <w:spacing w:after="0"/>
              <w:rPr>
                <w:sz w:val="23"/>
                <w:szCs w:val="23"/>
                <w:color w:val="auto"/>
              </w:rPr>
            </w:pPr>
          </w:p>
        </w:tc>
      </w:tr>
      <w:tr>
        <w:trPr>
          <w:trHeight w:val="135"/>
        </w:trPr>
        <w:tc>
          <w:tcPr>
            <w:tcW w:w="23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Second Lien Debt (k)</w:t>
            </w: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49"/>
        </w:trPr>
        <w:tc>
          <w:tcPr>
            <w:tcW w:w="2360" w:type="dxa"/>
            <w:vAlign w:val="bottom"/>
            <w:gridSpan w:val="2"/>
          </w:tcPr>
          <w:p>
            <w:pPr>
              <w:ind w:left="260"/>
              <w:spacing w:after="0"/>
              <w:rPr>
                <w:sz w:val="20"/>
                <w:szCs w:val="20"/>
                <w:color w:val="auto"/>
              </w:rPr>
            </w:pPr>
            <w:r>
              <w:rPr>
                <w:rFonts w:ascii="Arial" w:cs="Arial" w:eastAsia="Arial" w:hAnsi="Arial"/>
                <w:sz w:val="13"/>
                <w:szCs w:val="13"/>
                <w:color w:val="auto"/>
              </w:rPr>
              <w:t>Common Equity (1,000,000 units)</w:t>
            </w: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-3575685</wp:posOffset>
            </wp:positionV>
            <wp:extent cx="6920865"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0865" cy="9461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-3395345</wp:posOffset>
            </wp:positionV>
            <wp:extent cx="6920865"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-3206750</wp:posOffset>
            </wp:positionV>
            <wp:extent cx="6920865"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-3035300</wp:posOffset>
            </wp:positionV>
            <wp:extent cx="6920865"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-2846705</wp:posOffset>
            </wp:positionV>
            <wp:extent cx="6920865"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-2675255</wp:posOffset>
            </wp:positionV>
            <wp:extent cx="6920865"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-2417445</wp:posOffset>
            </wp:positionV>
            <wp:extent cx="6920865"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-2245995</wp:posOffset>
            </wp:positionV>
            <wp:extent cx="6920865"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-2057400</wp:posOffset>
            </wp:positionV>
            <wp:extent cx="6920865"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-1885950</wp:posOffset>
            </wp:positionV>
            <wp:extent cx="6920865"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-1697355</wp:posOffset>
            </wp:positionV>
            <wp:extent cx="6920865"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-1525905</wp:posOffset>
            </wp:positionV>
            <wp:extent cx="6920865"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-1337310</wp:posOffset>
            </wp:positionV>
            <wp:extent cx="6920865"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-1165860</wp:posOffset>
            </wp:positionV>
            <wp:extent cx="6920865"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-977265</wp:posOffset>
            </wp:positionV>
            <wp:extent cx="6920865"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-805180</wp:posOffset>
            </wp:positionV>
            <wp:extent cx="6920865"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-616585</wp:posOffset>
            </wp:positionV>
            <wp:extent cx="6920865"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-445135</wp:posOffset>
            </wp:positionV>
            <wp:extent cx="6920865"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-256540</wp:posOffset>
            </wp:positionV>
            <wp:extent cx="6920865"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0865" cy="8572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-85090</wp:posOffset>
            </wp:positionV>
            <wp:extent cx="6920865"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0865"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3"/>
              </w:rPr>
              <w:t>Percent</w:t>
            </w:r>
          </w:p>
        </w:tc>
      </w:tr>
      <w:tr>
        <w:trPr>
          <w:trHeight w:val="135"/>
        </w:trPr>
        <w:tc>
          <w:tcPr>
            <w:tcW w:w="92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Rate (e)</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8"/>
              </w:rPr>
              <w:t>Principal</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Fair</w:t>
            </w: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92"/>
              </w:rPr>
              <w:t>of Net</w:t>
            </w:r>
          </w:p>
        </w:tc>
      </w:tr>
      <w:tr>
        <w:trPr>
          <w:trHeight w:val="153"/>
        </w:trPr>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Cash/PIK</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Date (f)</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Maturity</w:t>
            </w:r>
          </w:p>
        </w:tc>
        <w:tc>
          <w:tcPr>
            <w:tcW w:w="14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Cost</w:t>
            </w: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3"/>
              </w:rPr>
              <w:t>Value (g)</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4"/>
              </w:rPr>
              <w:t>Assets</w:t>
            </w:r>
          </w:p>
        </w:tc>
        <w:tc>
          <w:tcPr>
            <w:tcW w:w="100" w:type="dxa"/>
            <w:vAlign w:val="bottom"/>
          </w:tcPr>
          <w:p>
            <w:pPr>
              <w:spacing w:after="0"/>
              <w:rPr>
                <w:sz w:val="13"/>
                <w:szCs w:val="13"/>
                <w:color w:val="auto"/>
              </w:rPr>
            </w:pPr>
          </w:p>
        </w:tc>
      </w:tr>
      <w:tr>
        <w:trPr>
          <w:trHeight w:val="249"/>
        </w:trPr>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11.00%/1.00%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4/12/2018</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5/20/2023</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w w:val="88"/>
              </w:rPr>
              <w:t>$  11,282</w:t>
            </w:r>
          </w:p>
        </w:tc>
        <w:tc>
          <w:tcPr>
            <w:tcW w:w="600" w:type="dxa"/>
            <w:vAlign w:val="bottom"/>
            <w:gridSpan w:val="4"/>
          </w:tcPr>
          <w:p>
            <w:pPr>
              <w:jc w:val="right"/>
              <w:ind w:right="80"/>
              <w:spacing w:after="0"/>
              <w:rPr>
                <w:sz w:val="20"/>
                <w:szCs w:val="20"/>
                <w:color w:val="auto"/>
              </w:rPr>
            </w:pPr>
            <w:r>
              <w:rPr>
                <w:rFonts w:ascii="Arial" w:cs="Arial" w:eastAsia="Arial" w:hAnsi="Arial"/>
                <w:sz w:val="13"/>
                <w:szCs w:val="13"/>
                <w:color w:val="auto"/>
                <w:w w:val="98"/>
              </w:rPr>
              <w:t>$ 11,234</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$ 11,282</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5"/>
        </w:trPr>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4/12/2018</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392</w:t>
            </w:r>
          </w:p>
        </w:tc>
        <w:tc>
          <w:tcPr>
            <w:tcW w:w="60" w:type="dxa"/>
            <w:vAlign w:val="bottom"/>
          </w:tcPr>
          <w:p>
            <w:pPr>
              <w:spacing w:after="0"/>
              <w:rPr>
                <w:sz w:val="11"/>
                <w:szCs w:val="11"/>
                <w:color w:val="auto"/>
              </w:rPr>
            </w:pPr>
          </w:p>
        </w:tc>
        <w:tc>
          <w:tcPr>
            <w:tcW w:w="7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422</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4/12/2018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358</w:t>
            </w:r>
          </w:p>
        </w:tc>
        <w:tc>
          <w:tcPr>
            <w:tcW w:w="6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260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11,984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11,964</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4"/>
        </w:trPr>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12.25%/0.00%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11/10/2016</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5/10/2022</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18,581</w:t>
            </w:r>
          </w:p>
        </w:tc>
        <w:tc>
          <w:tcPr>
            <w:tcW w:w="600" w:type="dxa"/>
            <w:vAlign w:val="bottom"/>
            <w:gridSpan w:val="4"/>
          </w:tcPr>
          <w:p>
            <w:pPr>
              <w:jc w:val="right"/>
              <w:ind w:right="80"/>
              <w:spacing w:after="0"/>
              <w:rPr>
                <w:sz w:val="20"/>
                <w:szCs w:val="20"/>
                <w:color w:val="auto"/>
              </w:rPr>
            </w:pPr>
            <w:r>
              <w:rPr>
                <w:rFonts w:ascii="Arial" w:cs="Arial" w:eastAsia="Arial" w:hAnsi="Arial"/>
                <w:sz w:val="13"/>
                <w:szCs w:val="13"/>
                <w:color w:val="auto"/>
              </w:rPr>
              <w:t>18,523</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18,581</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11/10/2016</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612</w:t>
            </w:r>
          </w:p>
        </w:tc>
        <w:tc>
          <w:tcPr>
            <w:tcW w:w="6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1,000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19,135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19,581</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5%</w:t>
            </w:r>
          </w:p>
        </w:tc>
      </w:tr>
      <w:tr>
        <w:trPr>
          <w:trHeight w:val="269"/>
        </w:trPr>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1/4/2017</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2,250</w:t>
            </w:r>
          </w:p>
        </w:tc>
        <w:tc>
          <w:tcPr>
            <w:tcW w:w="60" w:type="dxa"/>
            <w:vAlign w:val="bottom"/>
          </w:tcPr>
          <w:p>
            <w:pPr>
              <w:spacing w:after="0"/>
              <w:rPr>
                <w:sz w:val="23"/>
                <w:szCs w:val="23"/>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3,888</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380"/>
        </w:trPr>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12.00%/1.00%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8/11/2017</w:t>
            </w:r>
          </w:p>
        </w:tc>
        <w:tc>
          <w:tcPr>
            <w:tcW w:w="620" w:type="dxa"/>
            <w:vAlign w:val="bottom"/>
          </w:tcPr>
          <w:p>
            <w:pPr>
              <w:jc w:val="right"/>
              <w:spacing w:after="0"/>
              <w:rPr>
                <w:sz w:val="20"/>
                <w:szCs w:val="20"/>
                <w:color w:val="auto"/>
              </w:rPr>
            </w:pPr>
            <w:r>
              <w:rPr>
                <w:rFonts w:ascii="Arial" w:cs="Arial" w:eastAsia="Arial" w:hAnsi="Arial"/>
                <w:sz w:val="13"/>
                <w:szCs w:val="13"/>
                <w:color w:val="auto"/>
              </w:rPr>
              <w:t>2/11/2023</w:t>
            </w:r>
          </w:p>
        </w:tc>
        <w:tc>
          <w:tcPr>
            <w:tcW w:w="14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11,324</w:t>
            </w: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11,275</w:t>
            </w:r>
          </w:p>
        </w:tc>
        <w:tc>
          <w:tcPr>
            <w:tcW w:w="60" w:type="dxa"/>
            <w:vAlign w:val="bottom"/>
          </w:tcPr>
          <w:p>
            <w:pPr>
              <w:spacing w:after="0"/>
              <w:rPr>
                <w:sz w:val="24"/>
                <w:szCs w:val="2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11,324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12.00%/1.00%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8/11/2017</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5/17/2022</w:t>
            </w:r>
          </w:p>
        </w:tc>
        <w:tc>
          <w:tcPr>
            <w:tcW w:w="56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8/11/2017</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945</w:t>
            </w:r>
          </w:p>
        </w:tc>
        <w:tc>
          <w:tcPr>
            <w:tcW w:w="6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1,272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12,220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12,596</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4"/>
        </w:trPr>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11.25%/1.50%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9/18/2018</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3/18/2024</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10,068</w:t>
            </w:r>
          </w:p>
        </w:tc>
        <w:tc>
          <w:tcPr>
            <w:tcW w:w="600" w:type="dxa"/>
            <w:vAlign w:val="bottom"/>
            <w:gridSpan w:val="4"/>
          </w:tcPr>
          <w:p>
            <w:pPr>
              <w:jc w:val="right"/>
              <w:ind w:right="80"/>
              <w:spacing w:after="0"/>
              <w:rPr>
                <w:sz w:val="20"/>
                <w:szCs w:val="20"/>
                <w:color w:val="auto"/>
              </w:rPr>
            </w:pPr>
            <w:r>
              <w:rPr>
                <w:rFonts w:ascii="Arial" w:cs="Arial" w:eastAsia="Arial" w:hAnsi="Arial"/>
                <w:sz w:val="13"/>
                <w:szCs w:val="13"/>
                <w:color w:val="auto"/>
              </w:rPr>
              <w:t>10,022</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10,022</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9/18/2018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621</w:t>
            </w:r>
          </w:p>
        </w:tc>
        <w:tc>
          <w:tcPr>
            <w:tcW w:w="6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621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10,643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10,643</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4"/>
        </w:trPr>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10.50%/1.00%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10/1/2018</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4/1/2024</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13,735</w:t>
            </w:r>
          </w:p>
        </w:tc>
        <w:tc>
          <w:tcPr>
            <w:tcW w:w="600" w:type="dxa"/>
            <w:vAlign w:val="bottom"/>
            <w:gridSpan w:val="4"/>
          </w:tcPr>
          <w:p>
            <w:pPr>
              <w:jc w:val="right"/>
              <w:ind w:right="80"/>
              <w:spacing w:after="0"/>
              <w:rPr>
                <w:sz w:val="20"/>
                <w:szCs w:val="20"/>
                <w:color w:val="auto"/>
              </w:rPr>
            </w:pPr>
            <w:r>
              <w:rPr>
                <w:rFonts w:ascii="Arial" w:cs="Arial" w:eastAsia="Arial" w:hAnsi="Arial"/>
                <w:sz w:val="13"/>
                <w:szCs w:val="13"/>
                <w:color w:val="auto"/>
              </w:rPr>
              <w:t>13,670</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13,670</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7/18/2016</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780</w:t>
            </w:r>
          </w:p>
        </w:tc>
        <w:tc>
          <w:tcPr>
            <w:tcW w:w="6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724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14,450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14,394</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244"/>
        </w:trPr>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15.00%/0.00%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9/8/2016</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12/29/2020</w:t>
            </w:r>
          </w:p>
        </w:tc>
        <w:tc>
          <w:tcPr>
            <w:tcW w:w="500" w:type="dxa"/>
            <w:vAlign w:val="bottom"/>
          </w:tcPr>
          <w:p>
            <w:pPr>
              <w:jc w:val="right"/>
              <w:spacing w:after="0"/>
              <w:rPr>
                <w:sz w:val="20"/>
                <w:szCs w:val="20"/>
                <w:color w:val="auto"/>
              </w:rPr>
            </w:pPr>
            <w:r>
              <w:rPr>
                <w:rFonts w:ascii="Arial" w:cs="Arial" w:eastAsia="Arial" w:hAnsi="Arial"/>
                <w:sz w:val="13"/>
                <w:szCs w:val="13"/>
                <w:color w:val="auto"/>
              </w:rPr>
              <w:t>3,095</w:t>
            </w:r>
          </w:p>
        </w:tc>
        <w:tc>
          <w:tcPr>
            <w:tcW w:w="6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3,069</w:t>
            </w:r>
          </w:p>
        </w:tc>
        <w:tc>
          <w:tcPr>
            <w:tcW w:w="60" w:type="dxa"/>
            <w:vAlign w:val="bottom"/>
          </w:tcPr>
          <w:p>
            <w:pPr>
              <w:spacing w:after="0"/>
              <w:rPr>
                <w:sz w:val="21"/>
                <w:szCs w:val="21"/>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2,703</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9/8/2016</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600</w:t>
            </w:r>
          </w:p>
        </w:tc>
        <w:tc>
          <w:tcPr>
            <w:tcW w:w="6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167</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3,669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2,870</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44"/>
        </w:trPr>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14.00%/0.00%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10/31/2007</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7/31/2019</w:t>
            </w:r>
          </w:p>
        </w:tc>
        <w:tc>
          <w:tcPr>
            <w:tcW w:w="500" w:type="dxa"/>
            <w:vAlign w:val="bottom"/>
          </w:tcPr>
          <w:p>
            <w:pPr>
              <w:jc w:val="right"/>
              <w:spacing w:after="0"/>
              <w:rPr>
                <w:sz w:val="20"/>
                <w:szCs w:val="20"/>
                <w:color w:val="auto"/>
              </w:rPr>
            </w:pPr>
            <w:r>
              <w:rPr>
                <w:rFonts w:ascii="Arial" w:cs="Arial" w:eastAsia="Arial" w:hAnsi="Arial"/>
                <w:sz w:val="13"/>
                <w:szCs w:val="13"/>
                <w:color w:val="auto"/>
              </w:rPr>
              <w:t>4,050</w:t>
            </w:r>
          </w:p>
        </w:tc>
        <w:tc>
          <w:tcPr>
            <w:tcW w:w="6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4,050</w:t>
            </w:r>
          </w:p>
        </w:tc>
        <w:tc>
          <w:tcPr>
            <w:tcW w:w="60" w:type="dxa"/>
            <w:vAlign w:val="bottom"/>
          </w:tcPr>
          <w:p>
            <w:pPr>
              <w:spacing w:after="0"/>
              <w:rPr>
                <w:sz w:val="21"/>
                <w:szCs w:val="21"/>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4,050</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10/31/2007</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1,155</w:t>
            </w:r>
          </w:p>
        </w:tc>
        <w:tc>
          <w:tcPr>
            <w:tcW w:w="6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3,036</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5,205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7,086</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4"/>
        </w:trPr>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11.00%/0.00%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12/23/2016</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6/23/2023</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10,000</w:t>
            </w: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9,964</w:t>
            </w:r>
          </w:p>
        </w:tc>
        <w:tc>
          <w:tcPr>
            <w:tcW w:w="60" w:type="dxa"/>
            <w:vAlign w:val="bottom"/>
          </w:tcPr>
          <w:p>
            <w:pPr>
              <w:spacing w:after="0"/>
              <w:rPr>
                <w:sz w:val="21"/>
                <w:szCs w:val="21"/>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10,000</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12/23/2016</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1,291</w:t>
            </w:r>
          </w:p>
        </w:tc>
        <w:tc>
          <w:tcPr>
            <w:tcW w:w="6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1,364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11,255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11,364</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4"/>
        </w:trPr>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11.00%/1.00%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1/8/2018</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7/8/2023</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10,401</w:t>
            </w:r>
          </w:p>
        </w:tc>
        <w:tc>
          <w:tcPr>
            <w:tcW w:w="600" w:type="dxa"/>
            <w:vAlign w:val="bottom"/>
            <w:gridSpan w:val="4"/>
          </w:tcPr>
          <w:p>
            <w:pPr>
              <w:jc w:val="right"/>
              <w:ind w:right="80"/>
              <w:spacing w:after="0"/>
              <w:rPr>
                <w:sz w:val="20"/>
                <w:szCs w:val="20"/>
                <w:color w:val="auto"/>
              </w:rPr>
            </w:pPr>
            <w:r>
              <w:rPr>
                <w:rFonts w:ascii="Arial" w:cs="Arial" w:eastAsia="Arial" w:hAnsi="Arial"/>
                <w:sz w:val="13"/>
                <w:szCs w:val="13"/>
                <w:color w:val="auto"/>
              </w:rPr>
              <w:t>10,355</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10,401</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1/8/2018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1,179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20" w:lineRule="exact"/>
        <w:rPr>
          <w:sz w:val="20"/>
          <w:szCs w:val="20"/>
          <w:color w:val="auto"/>
        </w:rPr>
      </w:pPr>
    </w:p>
    <w:p>
      <w:pPr>
        <w:sectPr>
          <w:pgSz w:w="11900" w:h="16838" w:orient="portrait"/>
          <w:cols w:equalWidth="0" w:num="2">
            <w:col w:w="6200" w:space="80"/>
            <w:col w:w="4880"/>
          </w:cols>
          <w:pgMar w:left="240" w:top="459" w:right="499" w:bottom="1440" w:gutter="0" w:footer="0" w:header="0"/>
          <w:type w:val="continuous"/>
        </w:sectPr>
      </w:pPr>
    </w:p>
    <w:tbl>
      <w:tblPr>
        <w:tblLayout w:type="fixed"/>
        <w:tblInd w:w="2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11,355</w:t>
            </w:r>
          </w:p>
        </w:tc>
        <w:tc>
          <w:tcPr>
            <w:tcW w:w="16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Arial" w:cs="Arial" w:eastAsia="Arial" w:hAnsi="Arial"/>
                <w:sz w:val="13"/>
                <w:szCs w:val="13"/>
                <w:color w:val="auto"/>
              </w:rPr>
              <w:t>11,580</w:t>
            </w: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The Wolf Organization, LLC</w:t>
            </w:r>
          </w:p>
        </w:tc>
        <w:tc>
          <w:tcPr>
            <w:tcW w:w="35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Building Products Manufacturing</w:t>
            </w: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40" w:type="dxa"/>
            <w:vAlign w:val="bottom"/>
          </w:tcPr>
          <w:p>
            <w:pPr>
              <w:ind w:left="240"/>
              <w:spacing w:after="0"/>
              <w:rPr>
                <w:sz w:val="20"/>
                <w:szCs w:val="20"/>
                <w:color w:val="auto"/>
              </w:rPr>
            </w:pPr>
            <w:r>
              <w:rPr>
                <w:rFonts w:ascii="Arial" w:cs="Arial" w:eastAsia="Arial" w:hAnsi="Arial"/>
                <w:sz w:val="13"/>
                <w:szCs w:val="13"/>
                <w:color w:val="auto"/>
              </w:rPr>
              <w:t>Common Equity (175 shares)</w:t>
            </w:r>
          </w:p>
        </w:tc>
        <w:tc>
          <w:tcPr>
            <w:tcW w:w="3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5/29/2015</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753</w:t>
            </w:r>
          </w:p>
        </w:tc>
        <w:tc>
          <w:tcPr>
            <w:tcW w:w="16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3,711</w:t>
            </w: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440" w:type="dxa"/>
            <w:vAlign w:val="bottom"/>
            <w:shd w:val="clear" w:color="auto" w:fill="CCEEFF"/>
          </w:tcPr>
          <w:p>
            <w:pPr>
              <w:spacing w:after="0" w:line="121" w:lineRule="exact"/>
              <w:rPr>
                <w:sz w:val="20"/>
                <w:szCs w:val="20"/>
                <w:color w:val="auto"/>
              </w:rPr>
            </w:pPr>
            <w:r>
              <w:rPr>
                <w:rFonts w:ascii="Arial" w:cs="Arial" w:eastAsia="Arial" w:hAnsi="Arial"/>
                <w:sz w:val="13"/>
                <w:szCs w:val="13"/>
                <w:i w:val="1"/>
                <w:iCs w:val="1"/>
                <w:color w:val="auto"/>
                <w:w w:val="94"/>
              </w:rPr>
              <w:t>Thermoforming Technology Group LLC (dba</w:t>
            </w:r>
          </w:p>
        </w:tc>
        <w:tc>
          <w:tcPr>
            <w:tcW w:w="35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120"/>
              <w:spacing w:after="0"/>
              <w:rPr>
                <w:sz w:val="20"/>
                <w:szCs w:val="20"/>
                <w:color w:val="auto"/>
              </w:rPr>
            </w:pPr>
            <w:r>
              <w:rPr>
                <w:rFonts w:ascii="Arial" w:cs="Arial" w:eastAsia="Arial" w:hAnsi="Arial"/>
                <w:sz w:val="13"/>
                <w:szCs w:val="13"/>
                <w:i w:val="1"/>
                <w:iCs w:val="1"/>
                <w:color w:val="auto"/>
              </w:rPr>
              <w:t>Brown Machine Group) (n)</w:t>
            </w:r>
          </w:p>
        </w:tc>
        <w:tc>
          <w:tcPr>
            <w:tcW w:w="35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Capital Equipment Manufacturing</w:t>
            </w: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40" w:type="dxa"/>
            <w:vAlign w:val="bottom"/>
          </w:tcPr>
          <w:p>
            <w:pPr>
              <w:ind w:left="240"/>
              <w:spacing w:after="0"/>
              <w:rPr>
                <w:sz w:val="20"/>
                <w:szCs w:val="20"/>
                <w:color w:val="auto"/>
              </w:rPr>
            </w:pPr>
            <w:r>
              <w:rPr>
                <w:rFonts w:ascii="Arial" w:cs="Arial" w:eastAsia="Arial" w:hAnsi="Arial"/>
                <w:sz w:val="13"/>
                <w:szCs w:val="13"/>
                <w:color w:val="auto"/>
              </w:rPr>
              <w:t>Common Equity (3,760 units) (h)(j)</w:t>
            </w:r>
          </w:p>
        </w:tc>
        <w:tc>
          <w:tcPr>
            <w:tcW w:w="3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3/14/2016</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Tile Redi, LLC</w:t>
            </w:r>
          </w:p>
        </w:tc>
        <w:tc>
          <w:tcPr>
            <w:tcW w:w="35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Building Products Manufacturing</w:t>
            </w: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40" w:type="dxa"/>
            <w:vAlign w:val="bottom"/>
          </w:tcPr>
          <w:p>
            <w:pPr>
              <w:ind w:left="240"/>
              <w:spacing w:after="0"/>
              <w:rPr>
                <w:sz w:val="20"/>
                <w:szCs w:val="20"/>
                <w:color w:val="auto"/>
              </w:rPr>
            </w:pPr>
            <w:r>
              <w:rPr>
                <w:rFonts w:ascii="Arial" w:cs="Arial" w:eastAsia="Arial" w:hAnsi="Arial"/>
                <w:sz w:val="13"/>
                <w:szCs w:val="13"/>
                <w:color w:val="auto"/>
              </w:rPr>
              <w:t>First Lien Debt (j)</w:t>
            </w:r>
          </w:p>
        </w:tc>
        <w:tc>
          <w:tcPr>
            <w:tcW w:w="3540" w:type="dxa"/>
            <w:vAlign w:val="bottom"/>
          </w:tcPr>
          <w:p>
            <w:pPr>
              <w:ind w:left="2280"/>
              <w:spacing w:after="0"/>
              <w:rPr>
                <w:sz w:val="20"/>
                <w:szCs w:val="20"/>
                <w:color w:val="auto"/>
              </w:rPr>
            </w:pPr>
            <w:r>
              <w:rPr>
                <w:rFonts w:ascii="Arial" w:cs="Arial" w:eastAsia="Arial" w:hAnsi="Arial"/>
                <w:sz w:val="13"/>
                <w:szCs w:val="13"/>
                <w:color w:val="auto"/>
                <w:w w:val="94"/>
              </w:rPr>
              <w:t>(L + 10.00%) / (1.00%)</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w w:val="94"/>
              </w:rPr>
              <w:t>12.80%/0.00%</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7/18/2017</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6/16/2022</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10,194</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10,122</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10,156</w:t>
            </w:r>
          </w:p>
        </w:tc>
        <w:tc>
          <w:tcPr>
            <w:tcW w:w="4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TransGo, LLC</w:t>
            </w:r>
          </w:p>
        </w:tc>
        <w:tc>
          <w:tcPr>
            <w:tcW w:w="35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Component Manufacturing</w:t>
            </w: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354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4"/>
              </w:rPr>
              <w:t>13.25%/0.00%</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2/28/2017</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8/28/2022</w:t>
            </w:r>
          </w:p>
        </w:tc>
        <w:tc>
          <w:tcPr>
            <w:tcW w:w="6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9,500</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9,468</w:t>
            </w:r>
          </w:p>
        </w:tc>
        <w:tc>
          <w:tcPr>
            <w:tcW w:w="16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9,500</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 units)</w:t>
            </w:r>
          </w:p>
        </w:tc>
        <w:tc>
          <w:tcPr>
            <w:tcW w:w="3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2/28/2017</w:t>
            </w: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998</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905</w:t>
            </w: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10,466</w:t>
            </w:r>
          </w:p>
        </w:tc>
        <w:tc>
          <w:tcPr>
            <w:tcW w:w="160" w:type="dxa"/>
            <w:vAlign w:val="bottom"/>
          </w:tcPr>
          <w:p>
            <w:pPr>
              <w:spacing w:after="0"/>
              <w:rPr>
                <w:sz w:val="12"/>
                <w:szCs w:val="12"/>
                <w:color w:val="auto"/>
              </w:rPr>
            </w:pPr>
          </w:p>
        </w:tc>
        <w:tc>
          <w:tcPr>
            <w:tcW w:w="4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10,405</w:t>
            </w:r>
          </w:p>
        </w:tc>
        <w:tc>
          <w:tcPr>
            <w:tcW w:w="240" w:type="dxa"/>
            <w:vAlign w:val="bottom"/>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The Tranzonic Companies</w:t>
            </w:r>
          </w:p>
        </w:tc>
        <w:tc>
          <w:tcPr>
            <w:tcW w:w="35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Specialty Distribution</w:t>
            </w: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354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4"/>
              </w:rPr>
              <w:t>10.00%/1.50%</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3/27/2018</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3/27/2025</w:t>
            </w:r>
          </w:p>
        </w:tc>
        <w:tc>
          <w:tcPr>
            <w:tcW w:w="6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5,664</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5,614</w:t>
            </w:r>
          </w:p>
        </w:tc>
        <w:tc>
          <w:tcPr>
            <w:tcW w:w="16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4,997</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(5,000 units) (j)</w:t>
            </w:r>
          </w:p>
        </w:tc>
        <w:tc>
          <w:tcPr>
            <w:tcW w:w="3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3/27/2018</w:t>
            </w: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391</w:t>
            </w: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ind w:left="240"/>
              <w:spacing w:after="0" w:line="135" w:lineRule="exact"/>
              <w:rPr>
                <w:sz w:val="20"/>
                <w:szCs w:val="20"/>
                <w:color w:val="auto"/>
              </w:rPr>
            </w:pPr>
            <w:r>
              <w:rPr>
                <w:rFonts w:ascii="Arial" w:cs="Arial" w:eastAsia="Arial" w:hAnsi="Arial"/>
                <w:sz w:val="13"/>
                <w:szCs w:val="13"/>
                <w:color w:val="auto"/>
              </w:rPr>
              <w:t>Common Equity (1 units) (j)</w:t>
            </w:r>
          </w:p>
        </w:tc>
        <w:tc>
          <w:tcPr>
            <w:tcW w:w="3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3/27/2018</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3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6,114</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5,388</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line="135" w:lineRule="exact"/>
              <w:rPr>
                <w:sz w:val="20"/>
                <w:szCs w:val="20"/>
                <w:color w:val="auto"/>
              </w:rPr>
            </w:pPr>
            <w:r>
              <w:rPr>
                <w:rFonts w:ascii="Arial" w:cs="Arial" w:eastAsia="Arial" w:hAnsi="Arial"/>
                <w:sz w:val="13"/>
                <w:szCs w:val="13"/>
                <w:i w:val="1"/>
                <w:iCs w:val="1"/>
                <w:color w:val="auto"/>
              </w:rPr>
              <w:t>UBEO, LLC</w:t>
            </w:r>
          </w:p>
        </w:tc>
        <w:tc>
          <w:tcPr>
            <w:tcW w:w="3540" w:type="dxa"/>
            <w:vAlign w:val="bottom"/>
          </w:tcPr>
          <w:p>
            <w:pPr>
              <w:ind w:left="200"/>
              <w:spacing w:after="0" w:line="135" w:lineRule="exact"/>
              <w:rPr>
                <w:sz w:val="20"/>
                <w:szCs w:val="20"/>
                <w:color w:val="auto"/>
              </w:rPr>
            </w:pPr>
            <w:r>
              <w:rPr>
                <w:rFonts w:ascii="Arial" w:cs="Arial" w:eastAsia="Arial" w:hAnsi="Arial"/>
                <w:sz w:val="13"/>
                <w:szCs w:val="13"/>
                <w:color w:val="auto"/>
              </w:rPr>
              <w:t>Business Services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354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4"/>
              </w:rPr>
              <w:t>11.00%/0.00%</w:t>
            </w:r>
          </w:p>
        </w:tc>
        <w:tc>
          <w:tcPr>
            <w:tcW w:w="7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4/3/2018</w:t>
            </w:r>
          </w:p>
        </w:tc>
        <w:tc>
          <w:tcPr>
            <w:tcW w:w="7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10/3/2024</w:t>
            </w:r>
          </w:p>
        </w:tc>
        <w:tc>
          <w:tcPr>
            <w:tcW w:w="64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13,100</w:t>
            </w: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12,979</w:t>
            </w:r>
          </w:p>
        </w:tc>
        <w:tc>
          <w:tcPr>
            <w:tcW w:w="7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13,100</w:t>
            </w: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Delayed Draw Commitment ($1,500 commitment) (j)(i)(w)</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4"/>
              </w:rPr>
              <w:t>11.00%/0.00%</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11/7/2018</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8/7/2019</w:t>
            </w:r>
          </w:p>
        </w:tc>
        <w:tc>
          <w:tcPr>
            <w:tcW w:w="6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(705,000 units) (j)</w:t>
            </w:r>
          </w:p>
        </w:tc>
        <w:tc>
          <w:tcPr>
            <w:tcW w:w="3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4/3/2018</w:t>
            </w:r>
          </w:p>
        </w:tc>
        <w:tc>
          <w:tcPr>
            <w:tcW w:w="7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705</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1,027</w:t>
            </w: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13,672</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14,127</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60"/>
          </w:cols>
          <w:pgMar w:left="240" w:top="459" w:right="49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6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Portfolio Company (a)(b)</w:t>
            </w: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0"/>
              </w:rPr>
              <w:t>Variable Index</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3"/>
              </w:rPr>
              <w:t>Percent</w:t>
            </w:r>
          </w:p>
        </w:tc>
        <w:tc>
          <w:tcPr>
            <w:tcW w:w="0" w:type="dxa"/>
            <w:vAlign w:val="bottom"/>
          </w:tcPr>
          <w:p>
            <w:pPr>
              <w:spacing w:after="0"/>
              <w:rPr>
                <w:sz w:val="1"/>
                <w:szCs w:val="1"/>
                <w:color w:val="auto"/>
              </w:rPr>
            </w:pPr>
          </w:p>
        </w:tc>
      </w:tr>
      <w:tr>
        <w:trPr>
          <w:trHeight w:val="126"/>
        </w:trPr>
        <w:tc>
          <w:tcPr>
            <w:tcW w:w="26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60" w:type="dxa"/>
            <w:vAlign w:val="bottom"/>
            <w:gridSpan w:val="2"/>
          </w:tcPr>
          <w:p>
            <w:pPr>
              <w:jc w:val="right"/>
              <w:ind w:right="340"/>
              <w:spacing w:after="0" w:line="126" w:lineRule="exact"/>
              <w:rPr>
                <w:sz w:val="20"/>
                <w:szCs w:val="20"/>
                <w:color w:val="auto"/>
              </w:rPr>
            </w:pPr>
            <w:r>
              <w:rPr>
                <w:rFonts w:ascii="Arial" w:cs="Arial" w:eastAsia="Arial" w:hAnsi="Arial"/>
                <w:sz w:val="13"/>
                <w:szCs w:val="13"/>
                <w:b w:val="1"/>
                <w:bCs w:val="1"/>
                <w:color w:val="auto"/>
              </w:rPr>
              <w:t>Rate (e)</w:t>
            </w:r>
          </w:p>
        </w:tc>
        <w:tc>
          <w:tcPr>
            <w:tcW w:w="76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87"/>
              </w:rPr>
              <w:t>Investment</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4"/>
          </w:tcPr>
          <w:p>
            <w:pPr>
              <w:spacing w:after="0" w:line="126" w:lineRule="exact"/>
              <w:rPr>
                <w:sz w:val="20"/>
                <w:szCs w:val="20"/>
                <w:color w:val="auto"/>
              </w:rPr>
            </w:pPr>
            <w:r>
              <w:rPr>
                <w:rFonts w:ascii="Arial" w:cs="Arial" w:eastAsia="Arial" w:hAnsi="Arial"/>
                <w:sz w:val="13"/>
                <w:szCs w:val="13"/>
                <w:b w:val="1"/>
                <w:bCs w:val="1"/>
                <w:color w:val="auto"/>
              </w:rPr>
              <w:t>Principal</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280"/>
              <w:spacing w:after="0" w:line="126" w:lineRule="exact"/>
              <w:rPr>
                <w:sz w:val="20"/>
                <w:szCs w:val="20"/>
                <w:color w:val="auto"/>
              </w:rPr>
            </w:pPr>
            <w:r>
              <w:rPr>
                <w:rFonts w:ascii="Arial" w:cs="Arial" w:eastAsia="Arial" w:hAnsi="Arial"/>
                <w:sz w:val="13"/>
                <w:szCs w:val="13"/>
                <w:b w:val="1"/>
                <w:bCs w:val="1"/>
                <w:color w:val="auto"/>
              </w:rPr>
              <w:t>Fair</w:t>
            </w:r>
          </w:p>
        </w:tc>
        <w:tc>
          <w:tcPr>
            <w:tcW w:w="560" w:type="dxa"/>
            <w:vAlign w:val="bottom"/>
            <w:gridSpan w:val="2"/>
          </w:tcPr>
          <w:p>
            <w:pPr>
              <w:jc w:val="right"/>
              <w:ind w:right="200"/>
              <w:spacing w:after="0" w:line="126" w:lineRule="exact"/>
              <w:rPr>
                <w:sz w:val="20"/>
                <w:szCs w:val="20"/>
                <w:color w:val="auto"/>
              </w:rPr>
            </w:pPr>
            <w:r>
              <w:rPr>
                <w:rFonts w:ascii="Arial" w:cs="Arial" w:eastAsia="Arial" w:hAnsi="Arial"/>
                <w:sz w:val="13"/>
                <w:szCs w:val="13"/>
                <w:b w:val="1"/>
                <w:bCs w:val="1"/>
                <w:color w:val="auto"/>
                <w:w w:val="92"/>
              </w:rPr>
              <w:t>of Net</w:t>
            </w:r>
          </w:p>
        </w:tc>
        <w:tc>
          <w:tcPr>
            <w:tcW w:w="0" w:type="dxa"/>
            <w:vAlign w:val="bottom"/>
          </w:tcPr>
          <w:p>
            <w:pPr>
              <w:spacing w:after="0"/>
              <w:rPr>
                <w:sz w:val="1"/>
                <w:szCs w:val="1"/>
                <w:color w:val="auto"/>
              </w:rPr>
            </w:pPr>
          </w:p>
        </w:tc>
      </w:tr>
      <w:tr>
        <w:trPr>
          <w:trHeight w:val="149"/>
        </w:trPr>
        <w:tc>
          <w:tcPr>
            <w:tcW w:w="2600" w:type="dxa"/>
            <w:vAlign w:val="bottom"/>
            <w:gridSpan w:val="3"/>
          </w:tcPr>
          <w:p>
            <w:pPr>
              <w:spacing w:after="0"/>
              <w:rPr>
                <w:sz w:val="20"/>
                <w:szCs w:val="20"/>
                <w:color w:val="auto"/>
              </w:rPr>
            </w:pPr>
            <w:r>
              <w:rPr>
                <w:rFonts w:ascii="Arial" w:cs="Arial" w:eastAsia="Arial" w:hAnsi="Arial"/>
                <w:sz w:val="13"/>
                <w:szCs w:val="13"/>
                <w:b w:val="1"/>
                <w:bCs w:val="1"/>
                <w:color w:val="auto"/>
              </w:rPr>
              <w:t>Investment Type (c)</w:t>
            </w:r>
          </w:p>
        </w:tc>
        <w:tc>
          <w:tcPr>
            <w:tcW w:w="220" w:type="dxa"/>
            <w:vAlign w:val="bottom"/>
          </w:tcPr>
          <w:p>
            <w:pPr>
              <w:spacing w:after="0"/>
              <w:rPr>
                <w:sz w:val="12"/>
                <w:szCs w:val="12"/>
                <w:color w:val="auto"/>
              </w:rPr>
            </w:pPr>
          </w:p>
        </w:tc>
        <w:tc>
          <w:tcPr>
            <w:tcW w:w="1920" w:type="dxa"/>
            <w:vAlign w:val="bottom"/>
            <w:gridSpan w:val="2"/>
          </w:tcPr>
          <w:p>
            <w:pPr>
              <w:ind w:left="680"/>
              <w:spacing w:after="0"/>
              <w:rPr>
                <w:sz w:val="20"/>
                <w:szCs w:val="20"/>
                <w:color w:val="auto"/>
              </w:rPr>
            </w:pPr>
            <w:r>
              <w:rPr>
                <w:rFonts w:ascii="Arial" w:cs="Arial" w:eastAsia="Arial" w:hAnsi="Arial"/>
                <w:sz w:val="13"/>
                <w:szCs w:val="13"/>
                <w:b w:val="1"/>
                <w:bCs w:val="1"/>
                <w:color w:val="auto"/>
              </w:rPr>
              <w:t>Industry</w:t>
            </w:r>
          </w:p>
        </w:tc>
        <w:tc>
          <w:tcPr>
            <w:tcW w:w="12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Spread / Floor (d)</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Cash/PIK</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Date (f)</w:t>
            </w: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2"/>
                <w:szCs w:val="12"/>
                <w:color w:val="auto"/>
              </w:rPr>
            </w:pPr>
          </w:p>
        </w:tc>
        <w:tc>
          <w:tcPr>
            <w:tcW w:w="720" w:type="dxa"/>
            <w:vAlign w:val="bottom"/>
            <w:gridSpan w:val="4"/>
          </w:tcPr>
          <w:p>
            <w:pPr>
              <w:jc w:val="right"/>
              <w:ind w:right="193"/>
              <w:spacing w:after="0"/>
              <w:rPr>
                <w:sz w:val="20"/>
                <w:szCs w:val="20"/>
                <w:color w:val="auto"/>
              </w:rPr>
            </w:pPr>
            <w:r>
              <w:rPr>
                <w:rFonts w:ascii="Arial" w:cs="Arial" w:eastAsia="Arial" w:hAnsi="Arial"/>
                <w:sz w:val="13"/>
                <w:szCs w:val="13"/>
                <w:b w:val="1"/>
                <w:bCs w:val="1"/>
                <w:color w:val="auto"/>
                <w:w w:val="93"/>
              </w:rPr>
              <w:t>Amount</w:t>
            </w:r>
          </w:p>
        </w:tc>
        <w:tc>
          <w:tcPr>
            <w:tcW w:w="500" w:type="dxa"/>
            <w:vAlign w:val="bottom"/>
            <w:gridSpan w:val="3"/>
          </w:tcPr>
          <w:p>
            <w:pPr>
              <w:ind w:left="60"/>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2"/>
                <w:szCs w:val="12"/>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Value (g)</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4"/>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58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United Biologics, LLC</w:t>
            </w:r>
          </w:p>
        </w:tc>
        <w:tc>
          <w:tcPr>
            <w:tcW w:w="22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Healthcare Services</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(98,377 units) (h)(j)</w:t>
            </w:r>
          </w:p>
        </w:tc>
        <w:tc>
          <w:tcPr>
            <w:tcW w:w="2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4/1/2012</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1,008</w:t>
            </w:r>
          </w:p>
        </w:tc>
        <w:tc>
          <w:tcPr>
            <w:tcW w:w="60" w:type="dxa"/>
            <w:vAlign w:val="bottom"/>
          </w:tcPr>
          <w:p>
            <w:pPr>
              <w:spacing w:after="0"/>
              <w:rPr>
                <w:sz w:val="11"/>
                <w:szCs w:val="11"/>
                <w:color w:val="auto"/>
              </w:rPr>
            </w:pP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64</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(57,469 units) (m)</w:t>
            </w:r>
          </w:p>
        </w:tc>
        <w:tc>
          <w:tcPr>
            <w:tcW w:w="2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3/5/2012</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566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53</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1,574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117</w:t>
            </w: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US GreenFiber, LLC</w:t>
            </w:r>
          </w:p>
        </w:tc>
        <w:tc>
          <w:tcPr>
            <w:tcW w:w="214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Building Products Manufacturing</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(k)(p)</w:t>
            </w:r>
          </w:p>
        </w:tc>
        <w:tc>
          <w:tcPr>
            <w:tcW w:w="2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2"/>
              </w:rPr>
              <w:t>12.00%/2.00%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7/3/2014</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3"/>
              </w:rPr>
              <w:t>5/31/2019</w:t>
            </w:r>
          </w:p>
        </w:tc>
        <w:tc>
          <w:tcPr>
            <w:tcW w:w="1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0"/>
              </w:rPr>
              <w:t>14,363</w:t>
            </w:r>
          </w:p>
        </w:tc>
        <w:tc>
          <w:tcPr>
            <w:tcW w:w="60" w:type="dxa"/>
            <w:vAlign w:val="bottom"/>
          </w:tcPr>
          <w:p>
            <w:pPr>
              <w:spacing w:after="0"/>
              <w:rPr>
                <w:sz w:val="11"/>
                <w:szCs w:val="11"/>
                <w:color w:val="auto"/>
              </w:rPr>
            </w:pPr>
          </w:p>
        </w:tc>
        <w:tc>
          <w:tcPr>
            <w:tcW w:w="5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14,359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6,549</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(p)</w:t>
            </w:r>
          </w:p>
        </w:tc>
        <w:tc>
          <w:tcPr>
            <w:tcW w:w="2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2"/>
              </w:rPr>
              <w:t>0.00%/16.00%</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11/9/2018</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3"/>
              </w:rPr>
              <w:t>5/31/2019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1,000</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1,000</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(2,522 units) (h)(j)</w:t>
            </w: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7/3/2014</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15,945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7,549</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US Pack Logistics LLC</w:t>
            </w:r>
          </w:p>
        </w:tc>
        <w:tc>
          <w:tcPr>
            <w:tcW w:w="2140" w:type="dxa"/>
            <w:vAlign w:val="bottom"/>
            <w:gridSpan w:val="3"/>
          </w:tcPr>
          <w:p>
            <w:pPr>
              <w:ind w:left="220"/>
              <w:spacing w:after="0" w:line="135" w:lineRule="exact"/>
              <w:rPr>
                <w:sz w:val="20"/>
                <w:szCs w:val="20"/>
                <w:color w:val="auto"/>
              </w:rPr>
            </w:pPr>
            <w:r>
              <w:rPr>
                <w:rFonts w:ascii="Arial" w:cs="Arial" w:eastAsia="Arial" w:hAnsi="Arial"/>
                <w:sz w:val="13"/>
                <w:szCs w:val="13"/>
                <w:color w:val="auto"/>
              </w:rPr>
              <w:t>Transportation services</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2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2"/>
              </w:rPr>
              <w:t>12.00%/1.75%</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3/27/2015</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3"/>
              </w:rPr>
              <w:t>3/28/2023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7,412</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7,396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7,412</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(5,833 units) (h)(j)</w:t>
            </w:r>
          </w:p>
        </w:tc>
        <w:tc>
          <w:tcPr>
            <w:tcW w:w="2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3/27/2015</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555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178</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(9,458 units) (h)(j)</w:t>
            </w:r>
          </w:p>
        </w:tc>
        <w:tc>
          <w:tcPr>
            <w:tcW w:w="2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9/28/2017</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927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1,046</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8,878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8,636</w:t>
            </w: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Vanguard Dealer Services, L.L.C.</w:t>
            </w:r>
          </w:p>
        </w:tc>
        <w:tc>
          <w:tcPr>
            <w:tcW w:w="214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Business Services</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(6,000 units)</w:t>
            </w:r>
          </w:p>
        </w:tc>
        <w:tc>
          <w:tcPr>
            <w:tcW w:w="2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7/30/2015</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851</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(2,380 units) (j)</w:t>
            </w:r>
          </w:p>
        </w:tc>
        <w:tc>
          <w:tcPr>
            <w:tcW w:w="2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2/2/2018</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327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338</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481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1,189</w:t>
            </w: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Virginia Tile Company, LLC</w:t>
            </w:r>
          </w:p>
        </w:tc>
        <w:tc>
          <w:tcPr>
            <w:tcW w:w="214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Specialty Distribution</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2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2"/>
              </w:rPr>
              <w:t>12.25%/0.00%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2"/>
              </w:rPr>
              <w:t>12/19/2014</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4/7/2022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0"/>
              </w:rPr>
              <w:t>12,000</w:t>
            </w:r>
          </w:p>
        </w:tc>
        <w:tc>
          <w:tcPr>
            <w:tcW w:w="60" w:type="dxa"/>
            <w:vAlign w:val="bottom"/>
          </w:tcPr>
          <w:p>
            <w:pPr>
              <w:spacing w:after="0"/>
              <w:rPr>
                <w:sz w:val="11"/>
                <w:szCs w:val="11"/>
                <w:color w:val="auto"/>
              </w:rPr>
            </w:pP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11,980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12,000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(17 units)</w:t>
            </w:r>
          </w:p>
        </w:tc>
        <w:tc>
          <w:tcPr>
            <w:tcW w:w="2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2"/>
              </w:rPr>
              <w:t>12/19/2014</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342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1,455</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12,322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13,455</w:t>
            </w: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Worldwide Express Operations, LLC</w:t>
            </w:r>
          </w:p>
        </w:tc>
        <w:tc>
          <w:tcPr>
            <w:tcW w:w="214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3"/>
                <w:szCs w:val="13"/>
                <w:color w:val="auto"/>
              </w:rPr>
              <w:t>Transportation services</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2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0"/>
              </w:rPr>
              <w:t>(L + 8.00%) / (1.00%)</w:t>
            </w: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2"/>
              </w:rPr>
              <w:t>10.86%/0.00%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2/27/2017</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2/3/2025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0"/>
              </w:rPr>
              <w:t>20,000</w:t>
            </w:r>
          </w:p>
        </w:tc>
        <w:tc>
          <w:tcPr>
            <w:tcW w:w="60" w:type="dxa"/>
            <w:vAlign w:val="bottom"/>
          </w:tcPr>
          <w:p>
            <w:pPr>
              <w:spacing w:after="0"/>
              <w:rPr>
                <w:sz w:val="11"/>
                <w:szCs w:val="11"/>
                <w:color w:val="auto"/>
              </w:rPr>
            </w:pPr>
          </w:p>
        </w:tc>
        <w:tc>
          <w:tcPr>
            <w:tcW w:w="5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19,690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20,000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(4,000 units) (h)(j)</w:t>
            </w:r>
          </w:p>
        </w:tc>
        <w:tc>
          <w:tcPr>
            <w:tcW w:w="2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2/27/2017</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2,956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3,823</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22,646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23,823</w:t>
            </w: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6"/>
              </w:rPr>
              <w:t>Total Non-control/Non-affiliate Investments</w:t>
            </w:r>
          </w:p>
        </w:tc>
        <w:tc>
          <w:tcPr>
            <w:tcW w:w="2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5"/>
              </w:rPr>
              <w:t>505,129</w:t>
            </w: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5"/>
              </w:rPr>
              <w:t>501,111</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 Investments</w:t>
            </w: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160%</w:t>
            </w:r>
          </w:p>
        </w:tc>
        <w:tc>
          <w:tcPr>
            <w:tcW w:w="0" w:type="dxa"/>
            <w:vAlign w:val="bottom"/>
          </w:tcPr>
          <w:p>
            <w:pPr>
              <w:spacing w:after="0" w:line="20" w:lineRule="exact"/>
              <w:rPr>
                <w:sz w:val="1"/>
                <w:szCs w:val="1"/>
                <w:color w:val="auto"/>
              </w:rPr>
            </w:pPr>
          </w:p>
        </w:tc>
      </w:tr>
      <w:tr>
        <w:trPr>
          <w:trHeight w:val="129"/>
        </w:trPr>
        <w:tc>
          <w:tcPr>
            <w:tcW w:w="26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u w:val="single" w:color="auto"/>
                <w:color w:val="auto"/>
                <w:w w:val="78"/>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598,750</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642,982</w:t>
            </w:r>
          </w:p>
        </w:tc>
        <w:tc>
          <w:tcPr>
            <w:tcW w:w="1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indicated. Equity investments are non-income producing unless otherwise noted.</w:t>
      </w:r>
    </w:p>
    <w:p>
      <w:pPr>
        <w:spacing w:after="0" w:line="32" w:lineRule="exact"/>
        <w:rPr>
          <w:rFonts w:ascii="Arial" w:cs="Arial" w:eastAsia="Arial" w:hAnsi="Arial"/>
          <w:sz w:val="16"/>
          <w:szCs w:val="16"/>
          <w:color w:val="auto"/>
        </w:rPr>
      </w:pPr>
    </w:p>
    <w:p>
      <w:pPr>
        <w:ind w:left="640" w:right="140" w:hanging="436"/>
        <w:spacing w:after="0" w:line="250"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December 31, 2018.</w:t>
      </w:r>
    </w:p>
    <w:p>
      <w:pPr>
        <w:spacing w:after="0" w:line="1" w:lineRule="exact"/>
        <w:rPr>
          <w:rFonts w:ascii="Arial" w:cs="Arial" w:eastAsia="Arial" w:hAnsi="Arial"/>
          <w:sz w:val="18"/>
          <w:szCs w:val="18"/>
          <w:color w:val="auto"/>
        </w:rPr>
      </w:pPr>
    </w:p>
    <w:p>
      <w:pPr>
        <w:ind w:left="640" w:right="940" w:hanging="436"/>
        <w:spacing w:after="0" w:line="250"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December 31, 2018. Generally, payment-in-kind interest can be paid-in-kind or all in cash.</w:t>
      </w: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 date represents the date of the initial investment in the security.</w:t>
      </w:r>
    </w:p>
    <w:p>
      <w:pPr>
        <w:spacing w:after="0" w:line="9"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 is held by a Taxable Subsidiary of the Company.</w:t>
      </w:r>
    </w:p>
    <w:p>
      <w:pPr>
        <w:spacing w:after="0" w:line="9" w:lineRule="exact"/>
        <w:rPr>
          <w:rFonts w:ascii="Arial" w:cs="Arial" w:eastAsia="Arial" w:hAnsi="Arial"/>
          <w:sz w:val="18"/>
          <w:szCs w:val="18"/>
          <w:color w:val="auto"/>
        </w:rPr>
      </w:pPr>
    </w:p>
    <w:p>
      <w:pPr>
        <w:ind w:left="640" w:right="220" w:hanging="436"/>
        <w:spacing w:after="0" w:line="265" w:lineRule="auto"/>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disclosed commitment represents the unfunded amount as of December 31, 2018. The Company is earning 0.50% interest on the unfunded balance of the commitment. The interest rate disclosed represents the rate which will be earned if the commitment is funded.</w:t>
      </w:r>
    </w:p>
    <w:p>
      <w:pPr>
        <w:ind w:left="640" w:right="120" w:hanging="436"/>
        <w:spacing w:after="0" w:line="281" w:lineRule="auto"/>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6"/>
          <w:szCs w:val="16"/>
          <w:color w:val="auto"/>
        </w:rPr>
      </w:pPr>
    </w:p>
    <w:p>
      <w:pPr>
        <w:ind w:left="640" w:right="40" w:hanging="436"/>
        <w:spacing w:after="0" w:line="250"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8"/>
          <w:szCs w:val="18"/>
          <w:color w:val="auto"/>
        </w:rPr>
      </w:pPr>
    </w:p>
    <w:p>
      <w:pPr>
        <w:ind w:left="640" w:right="280" w:hanging="436"/>
        <w:spacing w:after="0" w:line="281" w:lineRule="auto"/>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2" w:lineRule="exact"/>
        <w:rPr>
          <w:rFonts w:ascii="Arial" w:cs="Arial" w:eastAsia="Arial" w:hAnsi="Arial"/>
          <w:sz w:val="16"/>
          <w:szCs w:val="16"/>
          <w:color w:val="auto"/>
        </w:rPr>
      </w:pPr>
    </w:p>
    <w:p>
      <w:pPr>
        <w:ind w:left="640" w:right="400" w:hanging="436"/>
        <w:spacing w:after="0" w:line="281" w:lineRule="auto"/>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 w:lineRule="exact"/>
        <w:rPr>
          <w:rFonts w:ascii="Arial" w:cs="Arial" w:eastAsia="Arial" w:hAnsi="Arial"/>
          <w:sz w:val="16"/>
          <w:szCs w:val="16"/>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Income producing. Maturity date, if any, represents mandatory redemption date.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Investment was on non-accrual status as of December 31, 2018, meaning the Company has ceased recognizing interest income on the investment.</w:t>
      </w:r>
    </w:p>
    <w:p>
      <w:pPr>
        <w:spacing w:after="0" w:line="32" w:lineRule="exact"/>
        <w:rPr>
          <w:rFonts w:ascii="Arial" w:cs="Arial" w:eastAsia="Arial" w:hAnsi="Arial"/>
          <w:sz w:val="16"/>
          <w:szCs w:val="16"/>
          <w:color w:val="auto"/>
        </w:rPr>
      </w:pPr>
    </w:p>
    <w:p>
      <w:pPr>
        <w:ind w:left="640" w:right="180" w:hanging="436"/>
        <w:spacing w:after="0" w:line="250"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Warrant entitles the Company to purchase 9.59% of the outstanding principal of Junior Subordinated Notes prior to exercise, and is non-income producing.</w:t>
      </w: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portion of the investment is held by a wholly-owned subsidiary of the Company, other than the Funds.</w:t>
      </w:r>
    </w:p>
    <w:p>
      <w:pPr>
        <w:spacing w:after="0" w:line="9" w:lineRule="exact"/>
        <w:rPr>
          <w:rFonts w:ascii="Arial" w:cs="Arial" w:eastAsia="Arial" w:hAnsi="Arial"/>
          <w:sz w:val="18"/>
          <w:szCs w:val="18"/>
          <w:color w:val="auto"/>
        </w:rPr>
      </w:pPr>
    </w:p>
    <w:p>
      <w:pPr>
        <w:jc w:val="both"/>
        <w:ind w:left="640" w:right="160" w:hanging="436"/>
        <w:spacing w:after="0" w:line="250"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debt investment continues to pay interest, including the default rate, while the portfolio company pursues refinancing options.</w:t>
      </w:r>
    </w:p>
    <w:p>
      <w:pPr>
        <w:spacing w:after="0" w:line="9"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maturity date presented represents the final termination date of the commitment. $707 of the commitment expires on May 7, 2019.</w:t>
      </w:r>
    </w:p>
    <w:p>
      <w:pPr>
        <w:sectPr>
          <w:pgSz w:w="11900" w:h="16838" w:orient="portrait"/>
          <w:cols w:equalWidth="0" w:num="1">
            <w:col w:w="11160"/>
          </w:cols>
          <w:pgMar w:left="240" w:top="459" w:right="499" w:bottom="0" w:gutter="0" w:footer="0" w:header="0"/>
        </w:sectPr>
      </w:pPr>
    </w:p>
    <w:bookmarkStart w:id="90" w:name="page91"/>
    <w:bookmarkEnd w:id="90"/>
    <w:p>
      <w:pPr>
        <w:jc w:val="cente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9019"/>
          </w:cols>
          <w:pgMar w:left="1440" w:top="125"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9019"/>
          </w:cols>
          <w:pgMar w:left="1440" w:top="125" w:right="1440"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12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federal income tax purposes, the Company elected to be treated as a regulated investment company (“RIC”) under Subchapter M of the Internal Revenue Code of 1986, as amended (the “Code”).</w:t>
      </w:r>
    </w:p>
    <w:p>
      <w:pPr>
        <w:spacing w:after="0" w:line="17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Company provides customized debt and equity financing solutions to lower middle-market companies, and may make investments directly or through its three wholly-owned investment company subsidiaries, Fidus Mezzanine Capital, L.P. (“Fund I”), Fidus Mezzanine Capital II, L.P. (“Fund II”) and Fidus Mezzanine Capital III, L.P. (“Fund III”) (collectively Fund I,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 As of September 9, 2019, Fund I completed a wind-down plan, relinquished its SBIC license, and can no longer issue additional SBA debentures.</w:t>
      </w:r>
    </w:p>
    <w:p>
      <w:pPr>
        <w:spacing w:after="0" w:line="182"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Funds reach their borrowing limit under the program. For three or more SBICs under common control, the maximum amount of outstanding SBA debentures cannot exceed $350,000.</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Fund I has also elected to be regulated as a BDC under the 1940 Act. Fund II and Fund III are not registered under the 1940 Act and rely on the exclusion from the definition of investment company contained in Section 3(c)(7) of the 1940 Act.</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Company pays a quarterly base management fee and an incentive fee to Fidus Investment Advisors, LLC (the “Investment Advisor”) under an investment advisory agreement (the “Investment Advisory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consolidated financial statements of the Company have been prepared in accordance with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accepted accounting principles in the United States of America (“GAAP”) pursuant to the requirements for reporting on Form 10-K, Accounting Standards Codification (“ASC”)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w:t>
      </w:r>
    </w:p>
    <w:p>
      <w:pPr>
        <w:spacing w:after="0" w:line="158"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4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Pursuant to Article 6 of Regulation S-X and ASC 946, the Company will generally not consolidate its investments in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Investment risks: </w:t>
      </w:r>
      <w:r>
        <w:rPr>
          <w:rFonts w:ascii="Arial" w:cs="Arial" w:eastAsia="Arial" w:hAnsi="Arial"/>
          <w:sz w:val="17"/>
          <w:szCs w:val="17"/>
          <w:color w:val="auto"/>
        </w:rPr>
        <w:t>The Company’s investments are subject to a variety of risks. These risks may include, but are not limited to the following:</w:t>
      </w:r>
    </w:p>
    <w:p>
      <w:pPr>
        <w:spacing w:after="0" w:line="142" w:lineRule="exact"/>
        <w:rPr>
          <w:sz w:val="20"/>
          <w:szCs w:val="20"/>
          <w:color w:val="auto"/>
        </w:rPr>
      </w:pPr>
    </w:p>
    <w:p>
      <w:pPr>
        <w:ind w:left="1620" w:right="60" w:hanging="322"/>
        <w:spacing w:after="0" w:line="270" w:lineRule="auto"/>
        <w:tabs>
          <w:tab w:leader="none" w:pos="162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In contrast to investment-grade bonds (the market prices of which change primarily as a reaction to changes in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ectPr>
          <w:pgSz w:w="11900" w:h="16838" w:orient="portrait"/>
          <w:cols w:equalWidth="0" w:num="1">
            <w:col w:w="11200"/>
          </w:cols>
          <w:pgMar w:left="240" w:top="459" w:right="459" w:bottom="1440" w:gutter="0" w:footer="0" w:header="0"/>
        </w:sectPr>
      </w:pP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00"/>
          </w:cols>
          <w:pgMar w:left="240" w:top="459" w:right="45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620" w:right="20" w:hanging="322"/>
        <w:spacing w:after="0" w:line="264"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Credit risk represents the risk that the Company would incur if the counterparties failed to perform pursuant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their agreements with the Company. Issues of high-yield debt securities in which the Company invests are more likely to default on interest or principal than are issues of investment-grade securities.</w:t>
      </w:r>
    </w:p>
    <w:p>
      <w:pPr>
        <w:spacing w:after="0" w:line="86" w:lineRule="exact"/>
        <w:rPr>
          <w:rFonts w:ascii="Arial" w:cs="Arial" w:eastAsia="Arial" w:hAnsi="Arial"/>
          <w:sz w:val="18"/>
          <w:szCs w:val="18"/>
          <w:color w:val="auto"/>
        </w:rPr>
      </w:pPr>
    </w:p>
    <w:p>
      <w:pPr>
        <w:ind w:left="1620" w:right="460" w:hanging="322"/>
        <w:spacing w:after="0" w:line="277"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Liquidity risk - </w:t>
      </w:r>
      <w:r>
        <w:rPr>
          <w:rFonts w:ascii="Arial" w:cs="Arial" w:eastAsia="Arial" w:hAnsi="Arial"/>
          <w:sz w:val="18"/>
          <w:szCs w:val="18"/>
          <w:color w:val="auto"/>
        </w:rPr>
        <w:t>Liquidity risk represents the possibility that the Company may not be able to sell its investments quickly or at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price (given the lack of an established market).</w:t>
      </w:r>
    </w:p>
    <w:p>
      <w:pPr>
        <w:spacing w:after="0" w:line="75" w:lineRule="exact"/>
        <w:rPr>
          <w:rFonts w:ascii="Arial" w:cs="Arial" w:eastAsia="Arial" w:hAnsi="Arial"/>
          <w:sz w:val="18"/>
          <w:szCs w:val="18"/>
          <w:color w:val="auto"/>
        </w:rPr>
      </w:pPr>
    </w:p>
    <w:p>
      <w:pPr>
        <w:ind w:left="1620" w:right="180" w:hanging="322"/>
        <w:spacing w:after="0" w:line="277"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Interest rate risk represents the likelihood that a change in interest rates could have an adverse impact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an interest-bearing financial instrument.</w:t>
      </w:r>
    </w:p>
    <w:p>
      <w:pPr>
        <w:spacing w:after="0" w:line="75" w:lineRule="exact"/>
        <w:rPr>
          <w:rFonts w:ascii="Arial" w:cs="Arial" w:eastAsia="Arial" w:hAnsi="Arial"/>
          <w:sz w:val="18"/>
          <w:szCs w:val="18"/>
          <w:color w:val="auto"/>
        </w:rPr>
      </w:pPr>
    </w:p>
    <w:p>
      <w:pPr>
        <w:ind w:left="1620" w:hanging="322"/>
        <w:spacing w:after="0" w:line="312" w:lineRule="auto"/>
        <w:tabs>
          <w:tab w:leader="none" w:pos="162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Prepayment risk - </w:t>
      </w:r>
      <w:r>
        <w:rPr>
          <w:rFonts w:ascii="Arial" w:cs="Arial" w:eastAsia="Arial" w:hAnsi="Arial"/>
          <w:sz w:val="16"/>
          <w:szCs w:val="16"/>
          <w:color w:val="auto"/>
        </w:rPr>
        <w:t>Certain of the Company’s debt investments allow for prepayment of principal without penalty. Downward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52" w:lineRule="exact"/>
        <w:rPr>
          <w:rFonts w:ascii="Arial" w:cs="Arial" w:eastAsia="Arial" w:hAnsi="Arial"/>
          <w:sz w:val="16"/>
          <w:szCs w:val="16"/>
          <w:color w:val="auto"/>
        </w:rPr>
      </w:pPr>
    </w:p>
    <w:p>
      <w:pPr>
        <w:ind w:left="1620" w:right="120" w:hanging="322"/>
        <w:spacing w:after="0" w:line="264"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Off-Balance sheet risk - </w:t>
      </w:r>
      <w:r>
        <w:rPr>
          <w:rFonts w:ascii="Arial" w:cs="Arial" w:eastAsia="Arial" w:hAnsi="Arial"/>
          <w:sz w:val="18"/>
          <w:szCs w:val="18"/>
          <w:color w:val="auto"/>
        </w:rPr>
        <w:t>Some of the Company’s financial instruments contain off-balance sheet risk. Generally,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represent future commitments to purchase other financial instruments at defined terms at defined future dates. See Note 7 for further details.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 xml:space="preserve">Investment classification: </w:t>
      </w:r>
      <w:r>
        <w:rPr>
          <w:rFonts w:ascii="Arial" w:cs="Arial" w:eastAsia="Arial" w:hAnsi="Arial"/>
          <w:sz w:val="18"/>
          <w:szCs w:val="18"/>
          <w:color w:val="auto"/>
        </w:rPr>
        <w:t>The Company classifies its investments in accordance with the requirements of the 1940 Act. Under the 1940 Act,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unit structure.</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and cash equivalents are highly liquid investments with an original maturity of three months or less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66"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Deferred financing costs consist of fees and expenses paid in connection with the Credit Facility (as defined in Note 6),</w:t>
      </w:r>
      <w:r>
        <w:rPr>
          <w:rFonts w:ascii="Arial" w:cs="Arial" w:eastAsia="Arial" w:hAnsi="Arial"/>
          <w:sz w:val="18"/>
          <w:szCs w:val="18"/>
          <w:i w:val="1"/>
          <w:iCs w:val="1"/>
          <w:color w:val="auto"/>
        </w:rPr>
        <w:t xml:space="preserve"> </w:t>
      </w:r>
      <w:r>
        <w:rPr>
          <w:rFonts w:ascii="Arial" w:cs="Arial" w:eastAsia="Arial" w:hAnsi="Arial"/>
          <w:sz w:val="18"/>
          <w:szCs w:val="18"/>
          <w:color w:val="auto"/>
        </w:rPr>
        <w:t>Public Notes (as defined in Note 6), and SBA debentures.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87" w:lineRule="exact"/>
        <w:rPr>
          <w:sz w:val="20"/>
          <w:szCs w:val="20"/>
          <w:color w:val="auto"/>
        </w:rPr>
      </w:pPr>
    </w:p>
    <w:p>
      <w:pPr>
        <w:ind w:left="200" w:right="240" w:firstLine="441"/>
        <w:spacing w:after="0" w:line="272" w:lineRule="auto"/>
        <w:rPr>
          <w:sz w:val="20"/>
          <w:szCs w:val="20"/>
          <w:color w:val="auto"/>
        </w:rPr>
      </w:pPr>
      <w:r>
        <w:rPr>
          <w:rFonts w:ascii="Arial" w:cs="Arial" w:eastAsia="Arial" w:hAnsi="Arial"/>
          <w:sz w:val="17"/>
          <w:szCs w:val="17"/>
          <w:i w:val="1"/>
          <w:iCs w:val="1"/>
          <w:color w:val="auto"/>
        </w:rPr>
        <w:t xml:space="preserve">Realized losses on extinguishment of debt: </w:t>
      </w:r>
      <w:r>
        <w:rPr>
          <w:rFonts w:ascii="Arial" w:cs="Arial" w:eastAsia="Arial" w:hAnsi="Arial"/>
          <w:sz w:val="17"/>
          <w:szCs w:val="17"/>
          <w:color w:val="auto"/>
        </w:rPr>
        <w:t>Upon the repayment of debt obligations which are deemed to be extinguishments, the difference</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principal amount due at maturity adjusted for any unamortized deferred financing costs is recognized as a loss (i.e., the unamortized deferred financing costs are recognized as a loss upon extinguishment of the underlying debt obligation). In 2019, the Company elected to change the manner in which it presents the derecognition of unamortized deferred financing costs upon extinguishment of the related debt obligation. Previously, the Company classified the extinguishment as a component of interest and financing expenses on the consolidated statements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7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Deferred offering costs: </w:t>
      </w:r>
      <w:r>
        <w:rPr>
          <w:rFonts w:ascii="Arial" w:cs="Arial" w:eastAsia="Arial" w:hAnsi="Arial"/>
          <w:sz w:val="18"/>
          <w:szCs w:val="18"/>
          <w:color w:val="auto"/>
        </w:rPr>
        <w:t>Deferred offering costs include registration expenses related to shelf filings. These expenses primarily consist of U.S.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20"/>
          </w:cols>
          <w:pgMar w:left="240" w:top="459" w:right="4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 xml:space="preserve">Realized gains or losses and unrealized appreciation or depreciation on investments: </w:t>
      </w:r>
      <w:r>
        <w:rPr>
          <w:rFonts w:ascii="Arial" w:cs="Arial" w:eastAsia="Arial" w:hAnsi="Arial"/>
          <w:sz w:val="17"/>
          <w:szCs w:val="17"/>
          <w:color w:val="auto"/>
        </w:rPr>
        <w:t>Realized gains or losses on investments are recorded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7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Interest and dividend income: </w:t>
      </w:r>
      <w:r>
        <w:rPr>
          <w:rFonts w:ascii="Arial" w:cs="Arial" w:eastAsia="Arial" w:hAnsi="Arial"/>
          <w:sz w:val="17"/>
          <w:szCs w:val="17"/>
          <w:color w:val="auto"/>
        </w:rPr>
        <w:t>Interest and dividend income is recorded on the accrual basis to the extent that the Company expects to collect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i w:val="1"/>
          <w:iCs w:val="1"/>
          <w:color w:val="auto"/>
        </w:rPr>
        <w:t xml:space="preserve">PIK income: </w:t>
      </w:r>
      <w:r>
        <w:rPr>
          <w:rFonts w:ascii="Arial" w:cs="Arial" w:eastAsia="Arial" w:hAnsi="Arial"/>
          <w:sz w:val="18"/>
          <w:szCs w:val="18"/>
          <w:color w:val="auto"/>
        </w:rPr>
        <w:t>Certain of the Company’s investments contain a payment-in-kind (“PIK”) income provision. The PIK income, computed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Non-accrual: </w:t>
      </w:r>
      <w:r>
        <w:rPr>
          <w:rFonts w:ascii="Arial" w:cs="Arial" w:eastAsia="Arial" w:hAnsi="Arial"/>
          <w:sz w:val="18"/>
          <w:szCs w:val="18"/>
          <w:color w:val="auto"/>
        </w:rPr>
        <w:t>Debt investments or preferred equity investments (for which the Company is accruing PIK dividends) are placed</w:t>
      </w:r>
    </w:p>
    <w:p>
      <w:pPr>
        <w:spacing w:after="0" w:line="23"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color w:val="auto"/>
        </w:rPr>
        <w:t>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62" w:lineRule="exact"/>
        <w:rPr>
          <w:sz w:val="20"/>
          <w:szCs w:val="20"/>
          <w:color w:val="auto"/>
        </w:rPr>
      </w:pPr>
    </w:p>
    <w:p>
      <w:pPr>
        <w:ind w:left="200" w:right="520" w:firstLine="441"/>
        <w:spacing w:after="0" w:line="279" w:lineRule="auto"/>
        <w:rPr>
          <w:sz w:val="20"/>
          <w:szCs w:val="20"/>
          <w:color w:val="auto"/>
        </w:rPr>
      </w:pPr>
      <w:r>
        <w:rPr>
          <w:rFonts w:ascii="Arial" w:cs="Arial" w:eastAsia="Arial" w:hAnsi="Arial"/>
          <w:sz w:val="17"/>
          <w:szCs w:val="17"/>
          <w:i w:val="1"/>
          <w:iCs w:val="1"/>
          <w:color w:val="auto"/>
        </w:rPr>
        <w:t xml:space="preserve">Origination and closing fees: </w:t>
      </w:r>
      <w:r>
        <w:rPr>
          <w:rFonts w:ascii="Arial" w:cs="Arial" w:eastAsia="Arial" w:hAnsi="Arial"/>
          <w:sz w:val="17"/>
          <w:szCs w:val="17"/>
          <w:color w:val="auto"/>
        </w:rPr>
        <w:t>The Company also typically receives debt investment origination or closing fees in connection with such</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71"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In connection with the Company’s debt investments, the Company will sometimes receive warrants or other equity-related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9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Fee income</w:t>
      </w:r>
      <w:r>
        <w:rPr>
          <w:rFonts w:ascii="Arial" w:cs="Arial" w:eastAsia="Arial" w:hAnsi="Arial"/>
          <w:sz w:val="17"/>
          <w:szCs w:val="17"/>
          <w:color w:val="auto"/>
        </w:rPr>
        <w:t>: Transaction fees earned in connection with the Company’s investments are recognized as fee income and are generally non-recurring.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7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i w:val="1"/>
          <w:iCs w:val="1"/>
          <w:color w:val="auto"/>
        </w:rPr>
        <w:t xml:space="preserve">Partial loan sales: </w:t>
      </w:r>
      <w:r>
        <w:rPr>
          <w:rFonts w:ascii="Arial" w:cs="Arial" w:eastAsia="Arial" w:hAnsi="Arial"/>
          <w:sz w:val="16"/>
          <w:szCs w:val="16"/>
          <w:color w:val="auto"/>
        </w:rPr>
        <w:t>The Company follows the guidance in ASC 860,</w:t>
      </w:r>
      <w:r>
        <w:rPr>
          <w:rFonts w:ascii="Arial" w:cs="Arial" w:eastAsia="Arial" w:hAnsi="Arial"/>
          <w:sz w:val="16"/>
          <w:szCs w:val="16"/>
          <w:i w:val="1"/>
          <w:iCs w:val="1"/>
          <w:color w:val="auto"/>
        </w:rPr>
        <w:t xml:space="preserve"> Transfers and Servicing, </w:t>
      </w:r>
      <w:r>
        <w:rPr>
          <w:rFonts w:ascii="Arial" w:cs="Arial" w:eastAsia="Arial" w:hAnsi="Arial"/>
          <w:sz w:val="16"/>
          <w:szCs w:val="16"/>
          <w:color w:val="auto"/>
        </w:rPr>
        <w:t>when accounting for loan (debt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participations and other partial loan sales. Such guidance requires a participation or other partial loan sale to meet the definition of a “participating interest,” as defined in the guidance, in order for sale treatment to be allowed. Participations or other partial loan sales which do not meet the definition of a participating interest should remain on the Company’s consolidated statements of assets and liabilities and the proceeds recorded as a secured borrowing until the definition is met. Management has determined that all participations and other partial loan sale transactions entered into by the Company have met the definition of a participating interest. Accordingly, the Company uses sale treatment in accounting for such transactions.</w:t>
      </w:r>
    </w:p>
    <w:p>
      <w:pPr>
        <w:sectPr>
          <w:pgSz w:w="11900" w:h="16838" w:orient="portrait"/>
          <w:cols w:equalWidth="0" w:num="1">
            <w:col w:w="11200"/>
          </w:cols>
          <w:pgMar w:left="240" w:top="459" w:right="459" w:bottom="1440" w:gutter="0" w:footer="0" w:header="0"/>
        </w:sectPr>
      </w:pP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00"/>
          </w:cols>
          <w:pgMar w:left="240" w:top="459" w:right="45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Company has elected to be treated as a RIC under Subchapter M of the Code, which will generally relieve the Company from</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14"/>
          <w:szCs w:val="14"/>
          <w:color w:val="auto"/>
        </w:rPr>
        <w:t>th</w:t>
      </w:r>
      <w:r>
        <w:rPr>
          <w:rFonts w:ascii="Arial" w:cs="Arial" w:eastAsia="Arial" w:hAnsi="Arial"/>
          <w:sz w:val="17"/>
          <w:szCs w:val="17"/>
          <w:color w:val="auto"/>
        </w:rPr>
        <w:t xml:space="preserve"> day of the 10</w:t>
      </w:r>
      <w:r>
        <w:rPr>
          <w:rFonts w:ascii="Arial" w:cs="Arial" w:eastAsia="Arial" w:hAnsi="Arial"/>
          <w:sz w:val="14"/>
          <w:szCs w:val="14"/>
          <w:color w:val="auto"/>
        </w:rPr>
        <w:t>th</w:t>
      </w:r>
      <w:r>
        <w:rPr>
          <w:rFonts w:ascii="Arial" w:cs="Arial" w:eastAsia="Arial" w:hAnsi="Arial"/>
          <w:sz w:val="17"/>
          <w:szCs w:val="17"/>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82"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47"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6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December 31, 2019 and 2018. The Company’s tax returns are generally subject to examination by U.S. federal and most state tax authorities for a period of three years from the date the respective returns are filed, and, accordingly, the Company’s 2016 through 2018 tax years remain subject to examination.</w:t>
      </w:r>
    </w:p>
    <w:p>
      <w:pPr>
        <w:spacing w:after="0" w:line="179"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i w:val="1"/>
          <w:iCs w:val="1"/>
          <w:color w:val="auto"/>
        </w:rPr>
        <w:t xml:space="preserve">Dividends to stockholders: </w:t>
      </w:r>
      <w:r>
        <w:rPr>
          <w:rFonts w:ascii="Arial" w:cs="Arial" w:eastAsia="Arial" w:hAnsi="Arial"/>
          <w:sz w:val="16"/>
          <w:szCs w:val="16"/>
          <w:color w:val="auto"/>
        </w:rPr>
        <w:t>Dividends to stockholders are recorded on the record date with respect to such distributions. The amount, if any, to be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4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7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ectPr>
          <w:pgSz w:w="11900" w:h="16838" w:orient="portrait"/>
          <w:cols w:equalWidth="0" w:num="1">
            <w:col w:w="11220"/>
          </w:cols>
          <w:pgMar w:left="240" w:top="459" w:right="439" w:bottom="1440" w:gutter="0" w:footer="0" w:header="0"/>
        </w:sectPr>
      </w:pP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20"/>
          </w:cols>
          <w:pgMar w:left="240" w:top="459" w:right="4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years ended December 31, 2019, 2018 and 2017, are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utilizing the weighted average shares outstanding for the period. Net asset value per share is calculated using the number of shares outstanding as of the end of the period.</w:t>
      </w:r>
    </w:p>
    <w:p>
      <w:pPr>
        <w:spacing w:after="0" w:line="181"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The Company has an open market stock repurchase program (the “Stock Repurchase Program”) under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29, 2019, the Board extended the Stock Repurchase Program through December 31, 2020,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During the year ended December 31, 2018, the Company repurchased 44,821 shares of common stock on the open market for $582. The Company did not make any repurchases of common stock during the years ended December 31, 2019 and 2017. Refer to Note 8 for additional information concerning stock repurchases.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is intended to improve fair value disclosure requirements by removing disclosures that are not cost-beneficial, clarifying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specific requirements, and adding relevant disclosure requirements. The guidance is effective for annual and interim reporting periods beginning after December 15, 2019. We adopted the ASU effective January 1, 2020. No significant changes to the fair value disclosures were necessary in the notes to the consolidated financial statements in order to comply with ASU 2018-13.</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Portfolio Company Investments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generally bear interest at fixed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78"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As of December 31, 2019, the Company had active investments in 61 portfolio companies and residual investments in three portfolio companies that have sold their underlying operations. The aggregate fair value of the total portfolio was $766,919 and the weighted average effective yield on the Company’s debt investments was 12.0% as of such date. As of December 31, 2019, the Company held equity investments in 93.7% of its portfolio companies and the weighted average fully diluted equity ownership in those portfolio companies was 5.3%. The weighted average fully diluted equity ownership was computed using the fully diluted equity ownership for equity investments (including warrants) at cost as of December 31, 2019.</w:t>
      </w:r>
    </w:p>
    <w:p>
      <w:pPr>
        <w:spacing w:after="0" w:line="158"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As of December 31, 2018, the Company had active investments in 60 portfolio companies and residual investments in three portfolio companies that have sold their underlying operations. The aggregate fair value of the total portfolio was $642,982 and the weighted average effective yield on the Company’s debt investments was 12.6% as of such date. As of December 31, 2018, the Company held equity investments in 93.7% of its portfolio companies and the weighted average fully diluted equity ownership in those portfolio companies was 6.6%. The weighted average fully diluted equity ownership was computed using the fully diluted equity ownership for equity investments (including warrants) at cost as of December 31, 2018.</w:t>
      </w:r>
    </w:p>
    <w:p>
      <w:pPr>
        <w:spacing w:after="0" w:line="158"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December 31, 2019 and 2018, including accretion of OID and debt investment origination fees, but excluding investments on non-accrual status, if any.</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Purchases of debt and equity investments for the years ended December 31, 2019, 2018 and 2017, totaled $219,173, $212,264, and $214,681, respectively. Proceeds from sales and repayments, including principal, return of capital distributions and realized gains, of portfolio investments for the years ended December 31, 2019, 2018, and 2017 totaled $120,600, $188,255, and $163,656,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54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4"/>
          </w:tcPr>
          <w:p>
            <w:pPr>
              <w:jc w:val="center"/>
              <w:ind w:right="24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$383,077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$366,517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$392,196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$379,973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Subordinated Debt</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140,843</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104,225</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140,670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105,900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108,327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51,790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107,718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52,231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Equity</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126,564</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106,707</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58,091</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53,482</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Royalty Rights</w:t>
            </w:r>
          </w:p>
        </w:tc>
        <w:tc>
          <w:tcPr>
            <w:tcW w:w="1660" w:type="dxa"/>
            <w:vAlign w:val="bottom"/>
          </w:tcPr>
          <w:p>
            <w:pPr>
              <w:spacing w:after="0"/>
              <w:rPr>
                <w:sz w:val="19"/>
                <w:szCs w:val="19"/>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766,919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642,982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704,499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8"/>
              </w:rPr>
              <w:t>100.0%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598,750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All investments made by the Company as of December 31, 2019 and 2018,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4"/>
          </w:tcPr>
          <w:p>
            <w:pPr>
              <w:jc w:val="center"/>
              <w:ind w:right="24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1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$208,248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$161,067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$181,353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$152,607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Southeast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159,959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176,819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138,142</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155,271</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154,713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89,661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142,054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84,246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76,251</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62,824</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76,587</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54,469</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167,748</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152,611</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166,363</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152,157</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766,919</w:t>
            </w:r>
          </w:p>
        </w:tc>
        <w:tc>
          <w:tcPr>
            <w:tcW w:w="1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642,982</w:t>
            </w:r>
          </w:p>
        </w:tc>
        <w:tc>
          <w:tcPr>
            <w:tcW w:w="1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704,499</w:t>
            </w:r>
          </w:p>
        </w:tc>
        <w:tc>
          <w:tcPr>
            <w:tcW w:w="160" w:type="dxa"/>
            <w:vAlign w:val="bottom"/>
          </w:tcPr>
          <w:p>
            <w:pPr>
              <w:spacing w:after="0"/>
              <w:rPr>
                <w:sz w:val="19"/>
                <w:szCs w:val="19"/>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8"/>
                <w:szCs w:val="18"/>
                <w:color w:val="auto"/>
                <w:w w:val="98"/>
              </w:rPr>
              <w:t>100.0%</w:t>
            </w: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598,750</w:t>
            </w:r>
          </w:p>
        </w:tc>
        <w:tc>
          <w:tcPr>
            <w:tcW w:w="1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portfolio composition by type and by geographic region at fair value as a percentage of net assets.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3"/>
          </w:tcPr>
          <w:p>
            <w:pPr>
              <w:jc w:val="right"/>
              <w:ind w:right="2240"/>
              <w:spacing w:after="0"/>
              <w:rPr>
                <w:sz w:val="20"/>
                <w:szCs w:val="20"/>
                <w:color w:val="auto"/>
              </w:rPr>
            </w:pPr>
            <w:r>
              <w:rPr>
                <w:rFonts w:ascii="Arial" w:cs="Arial" w:eastAsia="Arial" w:hAnsi="Arial"/>
                <w:sz w:val="14"/>
                <w:szCs w:val="14"/>
                <w:b w:val="1"/>
                <w:bCs w:val="1"/>
                <w:color w:val="auto"/>
              </w:rPr>
              <w:t>By Type</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By Geographic Region</w:t>
            </w: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19"/>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70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December 31,</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4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December 31,</w:t>
            </w: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Midwest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Subordinated Debt</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6"/>
              </w:rPr>
              <w:t>Southeast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4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Northeast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Equity</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2"/>
              </w:rPr>
              <w:t>West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4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Southwest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Royalty Rights</w:t>
            </w:r>
          </w:p>
        </w:tc>
        <w:tc>
          <w:tcPr>
            <w:tcW w:w="2540" w:type="dxa"/>
            <w:vAlign w:val="bottom"/>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186.0%</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159.6%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4"/>
              </w:rPr>
              <w:t>Total</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186.0%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159.6%</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As of December 31, 2019 and 2018, the Company had no portfolio company investments that represented more than 10% of the total investment portfolio on a fair value or cost basis. As of December 31, 2019, the Company had no portfolio company investments that represented more than 5% of our total assets. As of December 31, 2018, the Company’s investment in Pinnergy, Ltd. totaled $40,878, or 5.9% of total assets.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As of December 31, 2019, the Company had debt investments in one portfolio company on non-accrual status. As of December 31, 2018, the company had two debt investments on non-accrual status:</w:t>
      </w:r>
    </w:p>
    <w:p>
      <w:pPr>
        <w:spacing w:after="0" w:line="6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0" w:type="dxa"/>
            <w:vAlign w:val="bottom"/>
          </w:tcPr>
          <w:p>
            <w:pPr>
              <w:spacing w:after="0"/>
              <w:rPr>
                <w:sz w:val="10"/>
                <w:szCs w:val="10"/>
                <w:color w:val="auto"/>
              </w:rPr>
            </w:pPr>
          </w:p>
        </w:tc>
        <w:tc>
          <w:tcPr>
            <w:tcW w:w="7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7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539"/>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58"/>
        </w:trPr>
        <w:tc>
          <w:tcPr>
            <w:tcW w:w="66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3"/>
          </w:tcPr>
          <w:p>
            <w:pPr>
              <w:jc w:val="right"/>
              <w:ind w:right="499"/>
              <w:spacing w:after="0" w:line="158"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5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Accent Food Services, LLC</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84"/>
              </w:rPr>
              <w:t>$ 33,067</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88"/>
              </w:rPr>
              <w:t>$ 35,327</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9"/>
              <w:spacing w:after="0" w:line="136"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79"/>
              <w:spacing w:after="0" w:line="135" w:lineRule="exact"/>
              <w:rPr>
                <w:sz w:val="20"/>
                <w:szCs w:val="20"/>
                <w:color w:val="auto"/>
              </w:rPr>
            </w:pPr>
            <w:r>
              <w:rPr>
                <w:rFonts w:ascii="Arial" w:cs="Arial" w:eastAsia="Arial" w:hAnsi="Arial"/>
                <w:sz w:val="12"/>
                <w:szCs w:val="12"/>
                <w:color w:val="auto"/>
                <w:w w:val="81"/>
              </w:rPr>
              <w:t>(2)</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ind w:left="200"/>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1"/>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gridSpan w:val="2"/>
          </w:tcPr>
          <w:p>
            <w:pPr>
              <w:spacing w:after="0" w:line="149" w:lineRule="exact"/>
              <w:rPr>
                <w:sz w:val="20"/>
                <w:szCs w:val="20"/>
                <w:color w:val="auto"/>
              </w:rPr>
            </w:pPr>
            <w:r>
              <w:rPr>
                <w:rFonts w:ascii="Arial" w:cs="Arial" w:eastAsia="Arial" w:hAnsi="Arial"/>
                <w:sz w:val="14"/>
                <w:szCs w:val="14"/>
                <w:color w:val="auto"/>
              </w:rPr>
              <w:t>K2 Industrial Services, Inc.</w:t>
            </w:r>
          </w:p>
        </w:tc>
        <w:tc>
          <w:tcPr>
            <w:tcW w:w="20" w:type="dxa"/>
            <w:vAlign w:val="bottom"/>
          </w:tcPr>
          <w:p>
            <w:pPr>
              <w:spacing w:after="0"/>
              <w:rPr>
                <w:sz w:val="12"/>
                <w:szCs w:val="12"/>
                <w:color w:val="auto"/>
              </w:rPr>
            </w:pPr>
          </w:p>
        </w:tc>
        <w:tc>
          <w:tcPr>
            <w:tcW w:w="7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7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13,208</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
              <w:spacing w:after="0" w:line="149" w:lineRule="exact"/>
              <w:rPr>
                <w:sz w:val="20"/>
                <w:szCs w:val="20"/>
                <w:color w:val="auto"/>
              </w:rPr>
            </w:pPr>
            <w:r>
              <w:rPr>
                <w:rFonts w:ascii="Arial" w:cs="Arial" w:eastAsia="Arial" w:hAnsi="Arial"/>
                <w:sz w:val="14"/>
                <w:szCs w:val="14"/>
                <w:color w:val="auto"/>
                <w:w w:val="88"/>
              </w:rPr>
              <w:t>14,270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GreenFiber, LLC</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(2)</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8"/>
              </w:rPr>
              <w:t>15,359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600" w:type="dxa"/>
            <w:vAlign w:val="bottom"/>
            <w:gridSpan w:val="3"/>
          </w:tcPr>
          <w:p>
            <w:pPr>
              <w:spacing w:after="0" w:line="155"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33,067</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35,327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20,757</w:t>
            </w:r>
          </w:p>
        </w:tc>
        <w:tc>
          <w:tcPr>
            <w:tcW w:w="4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8"/>
              </w:rPr>
              <w:t>29,629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640" w:hanging="436"/>
        <w:spacing w:after="0"/>
        <w:tabs>
          <w:tab w:leader="none" w:pos="6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Portfolio company was no longer held at period end. Interest earned while on non-accrual was paid in full at exit.</w:t>
      </w:r>
    </w:p>
    <w:p>
      <w:pPr>
        <w:ind w:left="640" w:hanging="436"/>
        <w:spacing w:after="0"/>
        <w:tabs>
          <w:tab w:leader="none" w:pos="6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Portfolio company debt investments were not on non-accrual status at period end.</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Consolidated Schedule of Investments In and Advances To Affiliates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table below represents the fair value of control and affiliate investments as of December 31, 2018 and any additions and reductions made to such investments during the year ended December 31, 2019, the ending fair value as of December 31, 2019, and the total investment income earned on such investments during the period.</w:t>
      </w:r>
    </w:p>
    <w:p>
      <w:pPr>
        <w:spacing w:after="0" w:line="7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6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w w:val="98"/>
              </w:rPr>
              <w:t>Twelve Months Ended December 31, 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2019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Principal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Net</w:t>
            </w:r>
          </w:p>
        </w:tc>
        <w:tc>
          <w:tcPr>
            <w:tcW w:w="920" w:type="dxa"/>
            <w:vAlign w:val="bottom"/>
            <w:gridSpan w:val="4"/>
          </w:tcPr>
          <w:p>
            <w:pPr>
              <w:ind w:left="60"/>
              <w:spacing w:after="0" w:line="135" w:lineRule="exact"/>
              <w:rPr>
                <w:sz w:val="20"/>
                <w:szCs w:val="20"/>
                <w:color w:val="auto"/>
              </w:rPr>
            </w:pPr>
            <w:r>
              <w:rPr>
                <w:rFonts w:ascii="Arial" w:cs="Arial" w:eastAsia="Arial" w:hAnsi="Arial"/>
                <w:sz w:val="13"/>
                <w:szCs w:val="13"/>
                <w:b w:val="1"/>
                <w:bCs w:val="1"/>
                <w:color w:val="auto"/>
                <w:w w:val="96"/>
              </w:rPr>
              <w:t>Net Change 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Amount -</w:t>
            </w:r>
          </w:p>
        </w:tc>
        <w:tc>
          <w:tcPr>
            <w:tcW w:w="82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100" w:type="dxa"/>
            <w:vAlign w:val="bottom"/>
          </w:tcPr>
          <w:p>
            <w:pPr>
              <w:spacing w:after="0"/>
              <w:rPr>
                <w:sz w:val="11"/>
                <w:szCs w:val="11"/>
                <w:color w:val="auto"/>
              </w:rPr>
            </w:pPr>
          </w:p>
        </w:tc>
        <w:tc>
          <w:tcPr>
            <w:tcW w:w="6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8"/>
              </w:rPr>
              <w:t>Payment-in-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 xml:space="preserve">Portfolio Company </w:t>
            </w:r>
            <w:r>
              <w:rPr>
                <w:rFonts w:ascii="Arial" w:cs="Arial" w:eastAsia="Arial" w:hAnsi="Arial"/>
                <w:sz w:val="10"/>
                <w:szCs w:val="10"/>
                <w:b w:val="1"/>
                <w:bCs w:val="1"/>
                <w:color w:val="auto"/>
              </w:rPr>
              <w:t>(1)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Debt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Gross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Gains</w:t>
            </w:r>
          </w:p>
        </w:tc>
        <w:tc>
          <w:tcPr>
            <w:tcW w:w="60" w:type="dxa"/>
            <w:vAlign w:val="bottom"/>
          </w:tcPr>
          <w:p>
            <w:pPr>
              <w:spacing w:after="0"/>
              <w:rPr>
                <w:sz w:val="11"/>
                <w:szCs w:val="11"/>
                <w:color w:val="auto"/>
              </w:rPr>
            </w:pPr>
          </w:p>
        </w:tc>
        <w:tc>
          <w:tcPr>
            <w:tcW w:w="860" w:type="dxa"/>
            <w:vAlign w:val="bottom"/>
            <w:gridSpan w:val="3"/>
          </w:tcPr>
          <w:p>
            <w:pPr>
              <w:jc w:val="right"/>
              <w:ind w:right="120"/>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48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w w:val="85"/>
              </w:rPr>
              <w:t>Interest</w:t>
            </w:r>
          </w:p>
        </w:tc>
        <w:tc>
          <w:tcPr>
            <w:tcW w:w="8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w w:val="98"/>
              </w:rPr>
              <w:t>kind Interest</w:t>
            </w:r>
          </w:p>
        </w:tc>
        <w:tc>
          <w:tcPr>
            <w:tcW w:w="6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Fee</w:t>
            </w:r>
          </w:p>
        </w:tc>
        <w:tc>
          <w:tcPr>
            <w:tcW w:w="0" w:type="dxa"/>
            <w:vAlign w:val="bottom"/>
          </w:tcPr>
          <w:p>
            <w:pPr>
              <w:spacing w:after="0"/>
              <w:rPr>
                <w:sz w:val="1"/>
                <w:szCs w:val="1"/>
                <w:color w:val="auto"/>
              </w:rPr>
            </w:pPr>
          </w:p>
        </w:tc>
      </w:tr>
      <w:tr>
        <w:trPr>
          <w:trHeight w:val="160"/>
        </w:trPr>
        <w:tc>
          <w:tcPr>
            <w:tcW w:w="29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86"/>
              </w:rPr>
              <w:t>Investments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7"/>
              <w:spacing w:after="0" w:line="140" w:lineRule="exact"/>
              <w:rPr>
                <w:sz w:val="20"/>
                <w:szCs w:val="20"/>
                <w:color w:val="auto"/>
              </w:rPr>
            </w:pPr>
            <w:r>
              <w:rPr>
                <w:rFonts w:ascii="Arial" w:cs="Arial" w:eastAsia="Arial" w:hAnsi="Arial"/>
                <w:sz w:val="13"/>
                <w:szCs w:val="13"/>
                <w:b w:val="1"/>
                <w:bCs w:val="1"/>
                <w:color w:val="auto"/>
                <w:w w:val="90"/>
              </w:rPr>
              <w:t>Fair Value</w:t>
            </w:r>
          </w:p>
        </w:tc>
        <w:tc>
          <w:tcPr>
            <w:tcW w:w="760" w:type="dxa"/>
            <w:vAlign w:val="bottom"/>
            <w:gridSpan w:val="3"/>
          </w:tcPr>
          <w:p>
            <w:pPr>
              <w:ind w:left="100"/>
              <w:spacing w:after="0" w:line="140" w:lineRule="exact"/>
              <w:rPr>
                <w:sz w:val="20"/>
                <w:szCs w:val="20"/>
                <w:color w:val="auto"/>
              </w:rPr>
            </w:pPr>
            <w:r>
              <w:rPr>
                <w:rFonts w:ascii="Arial" w:cs="Arial" w:eastAsia="Arial" w:hAnsi="Arial"/>
                <w:sz w:val="13"/>
                <w:szCs w:val="13"/>
                <w:b w:val="1"/>
                <w:bCs w:val="1"/>
                <w:color w:val="auto"/>
                <w:w w:val="88"/>
              </w:rPr>
              <w:t>Additions</w:t>
            </w:r>
            <w:r>
              <w:rPr>
                <w:rFonts w:ascii="Arial" w:cs="Arial" w:eastAsia="Arial" w:hAnsi="Arial"/>
                <w:sz w:val="10"/>
                <w:szCs w:val="10"/>
                <w:b w:val="1"/>
                <w:bCs w:val="1"/>
                <w:color w:val="auto"/>
                <w:w w:val="88"/>
              </w:rPr>
              <w:t>(2)</w:t>
            </w:r>
          </w:p>
        </w:tc>
        <w:tc>
          <w:tcPr>
            <w:tcW w:w="900" w:type="dxa"/>
            <w:vAlign w:val="bottom"/>
            <w:gridSpan w:val="4"/>
          </w:tcPr>
          <w:p>
            <w:pPr>
              <w:jc w:val="right"/>
              <w:ind w:right="80"/>
              <w:spacing w:after="0" w:line="140" w:lineRule="exact"/>
              <w:rPr>
                <w:sz w:val="20"/>
                <w:szCs w:val="20"/>
                <w:color w:val="auto"/>
              </w:rPr>
            </w:pPr>
            <w:r>
              <w:rPr>
                <w:rFonts w:ascii="Arial" w:cs="Arial" w:eastAsia="Arial" w:hAnsi="Arial"/>
                <w:sz w:val="13"/>
                <w:szCs w:val="13"/>
                <w:b w:val="1"/>
                <w:bCs w:val="1"/>
                <w:color w:val="auto"/>
                <w:w w:val="96"/>
              </w:rPr>
              <w:t>Reductions</w:t>
            </w:r>
            <w:r>
              <w:rPr>
                <w:rFonts w:ascii="Arial" w:cs="Arial" w:eastAsia="Arial" w:hAnsi="Arial"/>
                <w:sz w:val="10"/>
                <w:szCs w:val="10"/>
                <w:b w:val="1"/>
                <w:bCs w:val="1"/>
                <w:color w:val="auto"/>
                <w:w w:val="96"/>
              </w:rPr>
              <w:t>(3)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7"/>
              <w:spacing w:after="0" w:line="140" w:lineRule="exact"/>
              <w:rPr>
                <w:sz w:val="20"/>
                <w:szCs w:val="20"/>
                <w:color w:val="auto"/>
              </w:rPr>
            </w:pPr>
            <w:r>
              <w:rPr>
                <w:rFonts w:ascii="Arial" w:cs="Arial" w:eastAsia="Arial" w:hAnsi="Arial"/>
                <w:sz w:val="13"/>
                <w:szCs w:val="13"/>
                <w:b w:val="1"/>
                <w:bCs w:val="1"/>
                <w:color w:val="auto"/>
                <w:w w:val="86"/>
              </w:rPr>
              <w:t>Fair Value</w:t>
            </w:r>
          </w:p>
        </w:tc>
        <w:tc>
          <w:tcPr>
            <w:tcW w:w="740" w:type="dxa"/>
            <w:vAlign w:val="bottom"/>
            <w:gridSpan w:val="4"/>
          </w:tcPr>
          <w:p>
            <w:pPr>
              <w:ind w:left="100"/>
              <w:spacing w:after="0" w:line="140" w:lineRule="exact"/>
              <w:rPr>
                <w:sz w:val="20"/>
                <w:szCs w:val="20"/>
                <w:color w:val="auto"/>
              </w:rPr>
            </w:pPr>
            <w:r>
              <w:rPr>
                <w:rFonts w:ascii="Arial" w:cs="Arial" w:eastAsia="Arial" w:hAnsi="Arial"/>
                <w:sz w:val="13"/>
                <w:szCs w:val="13"/>
                <w:b w:val="1"/>
                <w:bCs w:val="1"/>
                <w:color w:val="auto"/>
                <w:w w:val="94"/>
              </w:rPr>
              <w:t>(Losses)</w:t>
            </w:r>
            <w:r>
              <w:rPr>
                <w:rFonts w:ascii="Arial" w:cs="Arial" w:eastAsia="Arial" w:hAnsi="Arial"/>
                <w:sz w:val="10"/>
                <w:szCs w:val="10"/>
                <w:b w:val="1"/>
                <w:bCs w:val="1"/>
                <w:color w:val="auto"/>
                <w:w w:val="94"/>
              </w:rPr>
              <w:t>(4)</w:t>
            </w:r>
          </w:p>
        </w:tc>
        <w:tc>
          <w:tcPr>
            <w:tcW w:w="920" w:type="dxa"/>
            <w:vAlign w:val="bottom"/>
            <w:gridSpan w:val="4"/>
          </w:tcPr>
          <w:p>
            <w:pPr>
              <w:ind w:left="60"/>
              <w:spacing w:after="0" w:line="140" w:lineRule="exact"/>
              <w:rPr>
                <w:sz w:val="20"/>
                <w:szCs w:val="20"/>
                <w:color w:val="auto"/>
              </w:rPr>
            </w:pPr>
            <w:r>
              <w:rPr>
                <w:rFonts w:ascii="Arial" w:cs="Arial" w:eastAsia="Arial" w:hAnsi="Arial"/>
                <w:sz w:val="13"/>
                <w:szCs w:val="13"/>
                <w:b w:val="1"/>
                <w:bCs w:val="1"/>
                <w:color w:val="auto"/>
                <w:w w:val="96"/>
              </w:rPr>
              <w:t>(Depreciation)</w:t>
            </w:r>
          </w:p>
        </w:tc>
        <w:tc>
          <w:tcPr>
            <w:tcW w:w="60" w:type="dxa"/>
            <w:vAlign w:val="bottom"/>
          </w:tcPr>
          <w:p>
            <w:pPr>
              <w:spacing w:after="0"/>
              <w:rPr>
                <w:sz w:val="13"/>
                <w:szCs w:val="13"/>
                <w:color w:val="auto"/>
              </w:rPr>
            </w:pPr>
          </w:p>
        </w:tc>
        <w:tc>
          <w:tcPr>
            <w:tcW w:w="42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40"/>
              <w:spacing w:after="0" w:line="140" w:lineRule="exact"/>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3"/>
                <w:szCs w:val="13"/>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b w:val="1"/>
                <w:bCs w:val="1"/>
                <w:color w:val="auto"/>
                <w:w w:val="92"/>
              </w:rPr>
              <w:t>Income</w:t>
            </w:r>
          </w:p>
        </w:tc>
        <w:tc>
          <w:tcPr>
            <w:tcW w:w="540" w:type="dxa"/>
            <w:vAlign w:val="bottom"/>
            <w:gridSpan w:val="4"/>
          </w:tcPr>
          <w:p>
            <w:pPr>
              <w:ind w:left="80"/>
              <w:spacing w:after="0" w:line="140" w:lineRule="exact"/>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b w:val="1"/>
                <w:bCs w:val="1"/>
                <w:color w:val="auto"/>
                <w:w w:val="99"/>
              </w:rPr>
              <w:t>Control Investments</w:t>
            </w:r>
          </w:p>
        </w:tc>
        <w:tc>
          <w:tcPr>
            <w:tcW w:w="17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gridSpan w:val="2"/>
          </w:tcPr>
          <w:p>
            <w:pPr>
              <w:spacing w:after="0" w:line="135" w:lineRule="exact"/>
              <w:rPr>
                <w:sz w:val="20"/>
                <w:szCs w:val="20"/>
                <w:color w:val="auto"/>
              </w:rPr>
            </w:pPr>
            <w:r>
              <w:rPr>
                <w:rFonts w:ascii="Arial" w:cs="Arial" w:eastAsia="Arial" w:hAnsi="Arial"/>
                <w:sz w:val="13"/>
                <w:szCs w:val="13"/>
                <w:color w:val="auto"/>
              </w:rPr>
              <w:t>FDS Avionics Corp. (dba Flight Display Systems)</w:t>
            </w:r>
          </w:p>
        </w:tc>
        <w:tc>
          <w:tcPr>
            <w:tcW w:w="80" w:type="dxa"/>
            <w:vAlign w:val="bottom"/>
            <w:gridSpan w:val="2"/>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4,681</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5,612</w:t>
            </w:r>
          </w:p>
        </w:tc>
        <w:tc>
          <w:tcPr>
            <w:tcW w:w="2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3,317</w:t>
            </w:r>
          </w:p>
        </w:tc>
        <w:tc>
          <w:tcPr>
            <w:tcW w:w="22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(3,526)</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5,403</w:t>
            </w:r>
          </w:p>
        </w:tc>
        <w:tc>
          <w:tcPr>
            <w:tcW w:w="180" w:type="dxa"/>
            <w:vAlign w:val="bottom"/>
            <w:gridSpan w:val="2"/>
          </w:tcPr>
          <w:p>
            <w:pPr>
              <w:ind w:left="100"/>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(1,026)</w:t>
            </w:r>
          </w:p>
        </w:tc>
        <w:tc>
          <w:tcPr>
            <w:tcW w:w="1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274</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w w:val="82"/>
              </w:rPr>
              <w:t>743</w:t>
            </w:r>
          </w:p>
        </w:tc>
        <w:tc>
          <w:tcPr>
            <w:tcW w:w="220" w:type="dxa"/>
            <w:vAlign w:val="bottom"/>
            <w:gridSpan w:val="2"/>
          </w:tcPr>
          <w:p>
            <w:pPr>
              <w:jc w:val="right"/>
              <w:ind w:right="35"/>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3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K2 Industrial Services, Inc.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13,208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3,435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(16,643)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(1,268)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2,330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w w:val="82"/>
              </w:rPr>
              <w:t>349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US GreenFiber, LLC </w:t>
            </w:r>
            <w:r>
              <w:rPr>
                <w:rFonts w:ascii="Arial" w:cs="Arial" w:eastAsia="Arial" w:hAnsi="Arial"/>
                <w:sz w:val="10"/>
                <w:szCs w:val="10"/>
                <w:color w:val="auto"/>
              </w:rPr>
              <w:t>(5)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19,158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19,746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(3,329)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16,417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(3,325)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w w:val="82"/>
              </w:rPr>
              <w:t>319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Control Investments</w:t>
            </w:r>
          </w:p>
        </w:tc>
        <w:tc>
          <w:tcPr>
            <w:tcW w:w="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23,839</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18,820</w:t>
            </w:r>
          </w:p>
        </w:tc>
        <w:tc>
          <w:tcPr>
            <w:tcW w:w="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26,498</w:t>
            </w:r>
          </w:p>
        </w:tc>
        <w:tc>
          <w:tcPr>
            <w:tcW w:w="22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(23,498)</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21,820</w:t>
            </w:r>
          </w:p>
        </w:tc>
        <w:tc>
          <w:tcPr>
            <w:tcW w:w="1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(1,268)</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(2,021)</w:t>
            </w:r>
          </w:p>
        </w:tc>
        <w:tc>
          <w:tcPr>
            <w:tcW w:w="1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848</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2,122</w:t>
            </w:r>
          </w:p>
        </w:tc>
        <w:tc>
          <w:tcPr>
            <w:tcW w:w="220" w:type="dxa"/>
            <w:vAlign w:val="bottom"/>
            <w:gridSpan w:val="2"/>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w w:val="82"/>
              </w:rPr>
              <w:t>349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Affiliate Investments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FAR Research Inc.</w:t>
            </w:r>
          </w:p>
        </w:tc>
        <w:tc>
          <w:tcPr>
            <w:tcW w:w="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w:t>
            </w:r>
          </w:p>
        </w:tc>
        <w:tc>
          <w:tcPr>
            <w:tcW w:w="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(88)</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1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(89)</w:t>
            </w:r>
          </w:p>
        </w:tc>
        <w:tc>
          <w:tcPr>
            <w:tcW w:w="1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gridSpan w:val="2"/>
          </w:tcPr>
          <w:p>
            <w:pPr>
              <w:spacing w:after="0" w:line="135" w:lineRule="exact"/>
              <w:rPr>
                <w:sz w:val="20"/>
                <w:szCs w:val="20"/>
                <w:color w:val="auto"/>
              </w:rPr>
            </w:pPr>
            <w:r>
              <w:rPr>
                <w:rFonts w:ascii="Arial" w:cs="Arial" w:eastAsia="Arial" w:hAnsi="Arial"/>
                <w:sz w:val="13"/>
                <w:szCs w:val="13"/>
                <w:color w:val="auto"/>
              </w:rPr>
              <w:t>Fiber Materials, Inc.</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6,148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8,700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(4,399)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10,449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8,687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Medsurant Holdings, LLC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8,823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21,346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(4,385)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16,980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(4,386)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1,182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gridSpan w:val="2"/>
          </w:tcPr>
          <w:p>
            <w:pPr>
              <w:spacing w:after="0" w:line="135" w:lineRule="exact"/>
              <w:rPr>
                <w:sz w:val="20"/>
                <w:szCs w:val="20"/>
                <w:color w:val="auto"/>
              </w:rPr>
            </w:pPr>
            <w:r>
              <w:rPr>
                <w:rFonts w:ascii="Arial" w:cs="Arial" w:eastAsia="Arial" w:hAnsi="Arial"/>
                <w:sz w:val="13"/>
                <w:szCs w:val="13"/>
                <w:color w:val="auto"/>
              </w:rPr>
              <w:t>Microbiology Research Associates, Inc.</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8,930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10,046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1,565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11,611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1,429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978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w w:val="82"/>
              </w:rPr>
              <w:t>133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Mirage Trailers LLC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9,283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(2,248)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7,218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(2,248)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w w:val="82"/>
              </w:rPr>
              <w:t>141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gridSpan w:val="2"/>
          </w:tcPr>
          <w:p>
            <w:pPr>
              <w:spacing w:after="0" w:line="135" w:lineRule="exact"/>
              <w:rPr>
                <w:sz w:val="20"/>
                <w:szCs w:val="20"/>
                <w:color w:val="auto"/>
              </w:rPr>
            </w:pPr>
            <w:r>
              <w:rPr>
                <w:rFonts w:ascii="Arial" w:cs="Arial" w:eastAsia="Arial" w:hAnsi="Arial"/>
                <w:sz w:val="13"/>
                <w:szCs w:val="13"/>
                <w:color w:val="auto"/>
              </w:rPr>
              <w:t>Pfanstiehl, Inc.</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6,208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20,023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12,799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32,822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12,795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656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ind w:left="180"/>
              <w:spacing w:after="0" w:line="135" w:lineRule="exact"/>
              <w:rPr>
                <w:sz w:val="20"/>
                <w:szCs w:val="20"/>
                <w:color w:val="auto"/>
              </w:rPr>
            </w:pPr>
            <w:r>
              <w:rPr>
                <w:rFonts w:ascii="Arial" w:cs="Arial" w:eastAsia="Arial" w:hAnsi="Arial"/>
                <w:sz w:val="13"/>
                <w:szCs w:val="13"/>
                <w:color w:val="auto"/>
                <w:w w:val="82"/>
              </w:rPr>
              <w:t>877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Pinnergy, Ltd.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40,878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(7,907)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32,978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(3,907)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82"/>
              </w:rPr>
              <w:t>500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00" w:type="dxa"/>
            <w:vAlign w:val="bottom"/>
            <w:gridSpan w:val="2"/>
          </w:tcPr>
          <w:p>
            <w:pPr>
              <w:spacing w:after="0" w:line="121" w:lineRule="exact"/>
              <w:rPr>
                <w:sz w:val="20"/>
                <w:szCs w:val="20"/>
                <w:color w:val="auto"/>
              </w:rPr>
            </w:pPr>
            <w:r>
              <w:rPr>
                <w:rFonts w:ascii="Arial" w:cs="Arial" w:eastAsia="Arial" w:hAnsi="Arial"/>
                <w:sz w:val="13"/>
                <w:szCs w:val="13"/>
                <w:color w:val="auto"/>
              </w:rPr>
              <w:t>Steward Holding LLC (dba Steward Advanced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ind w:left="100"/>
              <w:spacing w:after="0"/>
              <w:rPr>
                <w:sz w:val="20"/>
                <w:szCs w:val="20"/>
                <w:color w:val="auto"/>
              </w:rPr>
            </w:pPr>
            <w:r>
              <w:rPr>
                <w:rFonts w:ascii="Arial" w:cs="Arial" w:eastAsia="Arial" w:hAnsi="Arial"/>
                <w:sz w:val="13"/>
                <w:szCs w:val="13"/>
                <w:color w:val="auto"/>
              </w:rPr>
              <w:t>Materials)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7,667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8,910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00"/>
              <w:spacing w:after="0"/>
              <w:rPr>
                <w:sz w:val="20"/>
                <w:szCs w:val="20"/>
                <w:color w:val="auto"/>
              </w:rPr>
            </w:pPr>
            <w:r>
              <w:rPr>
                <w:rFonts w:ascii="Arial" w:cs="Arial" w:eastAsia="Arial" w:hAnsi="Arial"/>
                <w:sz w:val="13"/>
                <w:szCs w:val="13"/>
                <w:color w:val="auto"/>
                <w:w w:val="82"/>
              </w:rPr>
              <w:t>114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Trantech Radiator Products, Inc.</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6,301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(6,681)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(257)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9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Total Affiliate Investments</w:t>
            </w: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37,878</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123,051</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24,212</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(25,708)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121,555</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13,100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2"/>
              </w:rPr>
              <w:t>5,257</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ind w:left="400"/>
              <w:spacing w:after="0" w:line="143" w:lineRule="exact"/>
              <w:rPr>
                <w:sz w:val="20"/>
                <w:szCs w:val="20"/>
                <w:color w:val="auto"/>
              </w:rPr>
            </w:pPr>
            <w:r>
              <w:rPr>
                <w:rFonts w:ascii="Arial" w:cs="Arial" w:eastAsia="Arial" w:hAnsi="Arial"/>
                <w:sz w:val="13"/>
                <w:szCs w:val="13"/>
                <w:color w:val="auto"/>
                <w:w w:val="82"/>
              </w:rPr>
              <w:t>388</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1,454</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640" w:hanging="436"/>
        <w:spacing w:after="0"/>
        <w:tabs>
          <w:tab w:leader="none" w:pos="6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investment type, industry, ownership detail for equity investments, and if the investment is income producing is disclosed in the consolidated schedule of investments.</w:t>
      </w:r>
    </w:p>
    <w:p>
      <w:pPr>
        <w:ind w:left="640" w:right="240" w:hanging="436"/>
        <w:spacing w:after="0" w:line="221" w:lineRule="auto"/>
        <w:tabs>
          <w:tab w:leader="none" w:pos="6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640" w:right="140" w:hanging="436"/>
        <w:spacing w:after="0" w:line="221" w:lineRule="auto"/>
        <w:tabs>
          <w:tab w:leader="none" w:pos="6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or sales and net unrealized (depreciation) recognized during the period. Gross reductions also include include transfers of portfolio companies out of the control or affiliate classification during the period, as applicable.</w:t>
      </w:r>
    </w:p>
    <w:p>
      <w:pPr>
        <w:ind w:left="640" w:right="40" w:hanging="436"/>
        <w:spacing w:after="0" w:line="221" w:lineRule="auto"/>
        <w:tabs>
          <w:tab w:leader="none" w:pos="6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ind w:left="640" w:hanging="436"/>
        <w:spacing w:after="0"/>
        <w:tabs>
          <w:tab w:leader="none" w:pos="6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Portfolio company was transferred to Control investments from Non-control/Non-affiliate investments during the twelve months ended December 31, 2019.</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Unconsolidated Significant Subsidiaries</w:t>
      </w:r>
    </w:p>
    <w:p>
      <w:pPr>
        <w:spacing w:after="0" w:line="94" w:lineRule="exact"/>
        <w:rPr>
          <w:sz w:val="20"/>
          <w:szCs w:val="20"/>
          <w:color w:val="auto"/>
        </w:rPr>
      </w:pPr>
    </w:p>
    <w:p>
      <w:pPr>
        <w:ind w:left="200" w:right="100" w:firstLine="441"/>
        <w:spacing w:after="0" w:line="269" w:lineRule="auto"/>
        <w:rPr>
          <w:sz w:val="20"/>
          <w:szCs w:val="20"/>
          <w:color w:val="auto"/>
        </w:rPr>
      </w:pPr>
      <w:r>
        <w:rPr>
          <w:rFonts w:ascii="Arial" w:cs="Arial" w:eastAsia="Arial" w:hAnsi="Arial"/>
          <w:sz w:val="17"/>
          <w:szCs w:val="17"/>
          <w:color w:val="auto"/>
        </w:rPr>
        <w:t>In accordance with Rules 3-09 and 4-08(g) of Regulation S-X, the Company must determine which of its unconsolidated controlled portfolio companies, if any, are considered “significant subsidiaries.” In evaluating these unconsolidated controlled portfolio companies, there are three tests utilized to determine if any of the Company’s Control Investments (as defined in Note 2) are considered significant subsidiaries: the investment test, the asset test and the income test. The income test is measured by dividing the absolute value of the combined total of total investment income, net realized gain (loss) and net unrealized appreciation (depreciation) from each Control Investment for the period being tested by the absolute value of the Company’s pre-tax income for the same period. Rule 3-09 of Regulation S-X, as interpreted by the SEC, requires the Company to include separate audited financial statements of an unconsolidated majority-owned subsidiary (Control Investments in which the Company owns greater than 50% of the voting securities) in an annual report if any of the three tests exceed 20% of the Company’s total assets or total income, as applicable. Rule 4-08(g) of Regulation S-X requires summarized financial information of a Control Investment in an annual report if any of the three tests exceeds 10% of the Company’s annual total amounts and Rule 10-01(b)(1) of Regulation S-X requires summarized financial information in a quarterly report if any of the three tests exceeds 20% of the Company’s year-to-date total amounts.</w:t>
      </w:r>
    </w:p>
    <w:p>
      <w:pPr>
        <w:spacing w:after="0" w:line="34"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As of December 31, 2019 and 2018, the Company had no single investment that represented greater than 10% of its total investment portfolio at fair value and no single investment whose total assets represented greater than 10% of its total assets. After performing the income test for the year ended December 31, 2019, the Company determined that its income from US GreenFiber, LLC (“US GreenFiber”) generated more than 10% of its total income, primarily due to the unrealized appreciation that was recognized on the investments. As such, US GreenFiber, an unconsolidated portfolio company that was a Control Investment, was considered a significant subsidiary at the 10% level as of December 31, 2019.</w:t>
      </w:r>
    </w:p>
    <w:p>
      <w:pPr>
        <w:sectPr>
          <w:pgSz w:w="11900" w:h="16838" w:orient="portrait"/>
          <w:cols w:equalWidth="0" w:num="1">
            <w:col w:w="11240"/>
          </w:cols>
          <w:pgMar w:left="240" w:top="459" w:right="419" w:bottom="1440" w:gutter="0" w:footer="0" w:header="0"/>
        </w:sectPr>
      </w:pP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40"/>
          </w:cols>
          <w:pgMar w:left="240" w:top="459" w:right="41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Based on the requirements under Regulation S-X Rule 4-08(g), the summarized unaudited consolidated financial information of US GreenFiber is presented below:</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1140" w:type="dxa"/>
            <w:vAlign w:val="bottom"/>
            <w:gridSpan w:val="4"/>
          </w:tcPr>
          <w:p>
            <w:pPr>
              <w:ind w:left="24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5"/>
          </w:tcPr>
          <w:p>
            <w:pPr>
              <w:jc w:val="right"/>
              <w:ind w:right="372"/>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19,226</w:t>
            </w:r>
          </w:p>
        </w:tc>
        <w:tc>
          <w:tcPr>
            <w:tcW w:w="320" w:type="dxa"/>
            <w:vAlign w:val="bottom"/>
          </w:tcPr>
          <w:p>
            <w:pPr>
              <w:spacing w:after="0"/>
              <w:rPr>
                <w:sz w:val="18"/>
                <w:szCs w:val="18"/>
                <w:color w:val="auto"/>
              </w:rPr>
            </w:pP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20,429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41,122</w:t>
            </w:r>
          </w:p>
        </w:tc>
        <w:tc>
          <w:tcPr>
            <w:tcW w:w="40" w:type="dxa"/>
            <w:vAlign w:val="bottom"/>
            <w:shd w:val="clear" w:color="auto" w:fill="CCEEFF"/>
          </w:tcPr>
          <w:p>
            <w:pPr>
              <w:spacing w:after="0"/>
              <w:rPr>
                <w:sz w:val="18"/>
                <w:szCs w:val="18"/>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54,032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17,631</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Noncurrent 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40,116</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61,094</w:t>
            </w:r>
          </w:p>
        </w:tc>
        <w:tc>
          <w:tcPr>
            <w:tcW w:w="40" w:type="dxa"/>
            <w:vAlign w:val="bottom"/>
            <w:shd w:val="clear" w:color="auto" w:fill="CCEEFF"/>
          </w:tcPr>
          <w:p>
            <w:pPr>
              <w:spacing w:after="0"/>
              <w:rPr>
                <w:sz w:val="18"/>
                <w:szCs w:val="18"/>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19"/>
                <w:szCs w:val="19"/>
                <w:color w:val="auto"/>
              </w:rPr>
            </w:pPr>
          </w:p>
        </w:tc>
      </w:tr>
    </w:tbl>
    <w:p>
      <w:pPr>
        <w:spacing w:after="0" w:line="23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Twelve Months Ended December 31,</w:t>
            </w:r>
          </w:p>
        </w:tc>
      </w:tr>
      <w:tr>
        <w:trPr>
          <w:trHeight w:val="142"/>
        </w:trPr>
        <w:tc>
          <w:tcPr>
            <w:tcW w:w="4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1360" w:type="dxa"/>
            <w:vAlign w:val="bottom"/>
            <w:tcBorders>
              <w:top w:val="single" w:sz="8" w:color="auto"/>
              <w:bottom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Operations</w:t>
            </w:r>
          </w:p>
        </w:tc>
        <w:tc>
          <w:tcPr>
            <w:tcW w:w="2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Revenue</w:t>
            </w:r>
          </w:p>
        </w:tc>
        <w:tc>
          <w:tcPr>
            <w:tcW w:w="2960" w:type="dxa"/>
            <w:vAlign w:val="bottom"/>
            <w:gridSpan w:val="2"/>
          </w:tcPr>
          <w:p>
            <w:pPr>
              <w:jc w:val="right"/>
              <w:ind w:right="8"/>
              <w:spacing w:after="0"/>
              <w:rPr>
                <w:sz w:val="20"/>
                <w:szCs w:val="20"/>
                <w:color w:val="auto"/>
              </w:rPr>
            </w:pPr>
            <w:r>
              <w:rPr>
                <w:rFonts w:ascii="Arial" w:cs="Arial" w:eastAsia="Arial" w:hAnsi="Arial"/>
                <w:sz w:val="18"/>
                <w:szCs w:val="18"/>
                <w:color w:val="auto"/>
              </w:rPr>
              <w:t>$96,144</w:t>
            </w:r>
          </w:p>
        </w:tc>
        <w:tc>
          <w:tcPr>
            <w:tcW w:w="1360" w:type="dxa"/>
            <w:vAlign w:val="bottom"/>
          </w:tcPr>
          <w:p>
            <w:pPr>
              <w:jc w:val="right"/>
              <w:ind w:right="297"/>
              <w:spacing w:after="0"/>
              <w:rPr>
                <w:sz w:val="20"/>
                <w:szCs w:val="20"/>
                <w:color w:val="auto"/>
              </w:rPr>
            </w:pPr>
            <w:r>
              <w:rPr>
                <w:rFonts w:ascii="Arial" w:cs="Arial" w:eastAsia="Arial" w:hAnsi="Arial"/>
                <w:sz w:val="18"/>
                <w:szCs w:val="18"/>
                <w:color w:val="auto"/>
              </w:rPr>
              <w:t>$102,070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$101,204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9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12,511</w:t>
            </w:r>
          </w:p>
        </w:tc>
        <w:tc>
          <w:tcPr>
            <w:tcW w:w="13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10,907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13,879</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Net income (loss)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(9,974)</w:t>
            </w:r>
          </w:p>
        </w:tc>
        <w:tc>
          <w:tcPr>
            <w:tcW w:w="1360" w:type="dxa"/>
            <w:vAlign w:val="bottom"/>
          </w:tcPr>
          <w:p>
            <w:pPr>
              <w:jc w:val="right"/>
              <w:ind w:right="237"/>
              <w:spacing w:after="0"/>
              <w:rPr>
                <w:sz w:val="20"/>
                <w:szCs w:val="20"/>
                <w:color w:val="auto"/>
              </w:rPr>
            </w:pPr>
            <w:r>
              <w:rPr>
                <w:rFonts w:ascii="Arial" w:cs="Arial" w:eastAsia="Arial" w:hAnsi="Arial"/>
                <w:sz w:val="18"/>
                <w:szCs w:val="18"/>
                <w:color w:val="auto"/>
              </w:rPr>
              <w:t>(10,637)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(11,931)</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as of the measurement date.</w:t>
      </w:r>
    </w:p>
    <w:p>
      <w:pPr>
        <w:spacing w:after="0" w:line="225"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in active markets, or that are quoted prices for identical or similar assets in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active and inputs that are observable, either directly or indirectly, for substantially the full term, if applicable, of the investment.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82"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1180" w:right="320" w:hanging="436"/>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ectPr>
          <w:pgSz w:w="11900" w:h="16838" w:orient="portrait"/>
          <w:cols w:equalWidth="0" w:num="1">
            <w:col w:w="11200"/>
          </w:cols>
          <w:pgMar w:left="240" w:top="459" w:right="459" w:bottom="1440" w:gutter="0" w:footer="0" w:header="0"/>
        </w:sectPr>
      </w:pP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00"/>
          </w:cols>
          <w:pgMar w:left="240" w:top="459" w:right="45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180" w:hanging="436"/>
        <w:spacing w:after="0"/>
        <w:tabs>
          <w:tab w:leader="none" w:pos="1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pacing w:after="0" w:line="142" w:lineRule="exact"/>
        <w:rPr>
          <w:rFonts w:ascii="Arial" w:cs="Arial" w:eastAsia="Arial" w:hAnsi="Arial"/>
          <w:sz w:val="17"/>
          <w:szCs w:val="17"/>
          <w:color w:val="auto"/>
        </w:rPr>
      </w:pPr>
    </w:p>
    <w:p>
      <w:pPr>
        <w:ind w:left="1180" w:hanging="436"/>
        <w:spacing w:after="0" w:line="270" w:lineRule="auto"/>
        <w:tabs>
          <w:tab w:leader="none" w:pos="1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The Board consulted with the independent valuation firm(s) in arriving at the Company’s determination of fair value for 13 and 16 of its portfolio company investments, representing 30.9% and 36.0% of the total portfolio investments at fair value (exclusive of new portfolio company investments made during the three months ended December 31, 2019 and 2018, respectively) as of December 31, 2019 and 2018, respectively.</w:t>
      </w:r>
    </w:p>
    <w:p>
      <w:pPr>
        <w:spacing w:after="0" w:line="83" w:lineRule="exact"/>
        <w:rPr>
          <w:rFonts w:ascii="Arial" w:cs="Arial" w:eastAsia="Arial" w:hAnsi="Arial"/>
          <w:sz w:val="17"/>
          <w:szCs w:val="17"/>
          <w:color w:val="auto"/>
        </w:rPr>
      </w:pPr>
    </w:p>
    <w:p>
      <w:pPr>
        <w:ind w:left="1180" w:right="240" w:hanging="436"/>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75"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7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8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8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83" w:lineRule="exact"/>
        <w:rPr>
          <w:sz w:val="20"/>
          <w:szCs w:val="20"/>
          <w:color w:val="auto"/>
        </w:rPr>
      </w:pPr>
    </w:p>
    <w:p>
      <w:pPr>
        <w:ind w:left="200" w:right="420" w:firstLine="441"/>
        <w:spacing w:after="0" w:line="272" w:lineRule="auto"/>
        <w:rPr>
          <w:sz w:val="20"/>
          <w:szCs w:val="20"/>
          <w:color w:val="auto"/>
        </w:rPr>
      </w:pPr>
      <w:r>
        <w:rPr>
          <w:rFonts w:ascii="Arial" w:cs="Arial" w:eastAsia="Arial" w:hAnsi="Arial"/>
          <w:sz w:val="17"/>
          <w:szCs w:val="17"/>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ectPr>
          <w:pgSz w:w="11900" w:h="16838" w:orient="portrait"/>
          <w:cols w:equalWidth="0" w:num="1">
            <w:col w:w="11200"/>
          </w:cols>
          <w:pgMar w:left="240" w:top="459" w:right="459" w:bottom="1440" w:gutter="0" w:footer="0" w:header="0"/>
        </w:sectPr>
      </w:pP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00"/>
          </w:cols>
          <w:pgMar w:left="240" w:top="459" w:right="45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65" w:lineRule="exact"/>
        <w:rPr>
          <w:sz w:val="20"/>
          <w:szCs w:val="20"/>
          <w:color w:val="auto"/>
        </w:rPr>
      </w:pPr>
    </w:p>
    <w:p>
      <w:pPr>
        <w:ind w:left="200" w:right="360" w:firstLine="441"/>
        <w:spacing w:after="0" w:line="342" w:lineRule="auto"/>
        <w:rPr>
          <w:sz w:val="20"/>
          <w:szCs w:val="20"/>
          <w:color w:val="auto"/>
        </w:rPr>
      </w:pPr>
      <w:r>
        <w:rPr>
          <w:rFonts w:ascii="Arial" w:cs="Arial" w:eastAsia="Arial" w:hAnsi="Arial"/>
          <w:sz w:val="16"/>
          <w:szCs w:val="16"/>
          <w:color w:val="auto"/>
        </w:rPr>
        <w:t>The fair value of the Company’s royalty rights are calculated based on projected future cash flows and the specific provisions contained in the pertinent agreements. The determination of the fair value of such royalty rights is not a significant component of the Company’s valuation process.</w:t>
      </w:r>
    </w:p>
    <w:p>
      <w:pPr>
        <w:spacing w:after="0" w:line="124"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years ended December 31, 2019 and 2018.</w:t>
      </w:r>
    </w:p>
    <w:p>
      <w:pPr>
        <w:spacing w:after="0" w:line="18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years ended December 31, 2019 and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Second Lien</w:t>
            </w:r>
          </w:p>
        </w:tc>
        <w:tc>
          <w:tcPr>
            <w:tcW w:w="10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9"/>
              </w:rPr>
              <w:t>Subordinated</w:t>
            </w:r>
          </w:p>
        </w:tc>
        <w:tc>
          <w:tcPr>
            <w:tcW w:w="6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First Lien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Equity</w:t>
            </w:r>
          </w:p>
        </w:tc>
        <w:tc>
          <w:tcPr>
            <w:tcW w:w="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Warrants</w:t>
            </w:r>
          </w:p>
        </w:tc>
        <w:tc>
          <w:tcPr>
            <w:tcW w:w="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Royalty</w:t>
            </w:r>
          </w:p>
        </w:tc>
        <w:tc>
          <w:tcPr>
            <w:tcW w:w="60" w:type="dxa"/>
            <w:vAlign w:val="bottom"/>
          </w:tcPr>
          <w:p>
            <w:pPr>
              <w:spacing w:after="0"/>
              <w:rPr>
                <w:sz w:val="14"/>
                <w:szCs w:val="14"/>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Debt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Debt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Rights</w:t>
            </w: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$ 341,279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126,481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15,052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$ 596,308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(23,077)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0"/>
              </w:rPr>
              <w:t>Net change in unrealized appreciation (depreciation) on investments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136,545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40,150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212,264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(103,730)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(54,329)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(26,096)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Transfers between classifications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(6,823)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$ 366,517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106,707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13,743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$ 642,982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(13,804)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(185)</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0"/>
              </w:rPr>
              <w:t>Net change in unrealized appreciation (depreciation) on investments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(4,480)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185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54,245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70,036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83,990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219,173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repayments of investments</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(50,358)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(13,838)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(16,221)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(4,088)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and dividend income paid-in-kind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origination fees</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Accretion of loan origination fees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Transfers between classifications</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$ 383,077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108,327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126,564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$ 766,919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Net change in unrealized appreciation of $10,995 and $14,498 for the years ended December 31, 2019 and 2018, respectively, was attributable to Level 3 investments held at December 31, 2019 and 2018, respectively.</w:t>
      </w:r>
    </w:p>
    <w:p>
      <w:pPr>
        <w:spacing w:after="0" w:line="170"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following tables summarize the significant unobservable inputs by valuation technique used to determine the fair value of the Company’s Level 3 debt and equity investments as of December 31, 2019 and 2018. The tables are not intended to be all-inclusive, but instead capture the significant unobservable inputs relevant to the Company’s determination of fair values.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92"/>
              <w:spacing w:after="0"/>
              <w:rPr>
                <w:sz w:val="20"/>
                <w:szCs w:val="20"/>
                <w:color w:val="auto"/>
              </w:rPr>
            </w:pPr>
            <w:r>
              <w:rPr>
                <w:rFonts w:ascii="Arial" w:cs="Arial" w:eastAsia="Arial" w:hAnsi="Arial"/>
                <w:sz w:val="14"/>
                <w:szCs w:val="14"/>
                <w:b w:val="1"/>
                <w:bCs w:val="1"/>
                <w:color w:val="auto"/>
              </w:rPr>
              <w:t>Fair Value at</w:t>
            </w:r>
          </w:p>
        </w:tc>
        <w:tc>
          <w:tcPr>
            <w:tcW w:w="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200" w:type="dxa"/>
            <w:vAlign w:val="bottom"/>
          </w:tcPr>
          <w:p>
            <w:pPr>
              <w:spacing w:after="0"/>
              <w:rPr>
                <w:sz w:val="14"/>
                <w:szCs w:val="14"/>
                <w:color w:val="auto"/>
              </w:rPr>
            </w:pPr>
          </w:p>
        </w:tc>
        <w:tc>
          <w:tcPr>
            <w:tcW w:w="4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Unobservable</w:t>
            </w:r>
          </w:p>
        </w:tc>
        <w:tc>
          <w:tcPr>
            <w:tcW w:w="80" w:type="dxa"/>
            <w:vAlign w:val="bottom"/>
          </w:tcPr>
          <w:p>
            <w:pPr>
              <w:spacing w:after="0"/>
              <w:rPr>
                <w:sz w:val="14"/>
                <w:szCs w:val="14"/>
                <w:color w:val="auto"/>
              </w:rPr>
            </w:pPr>
          </w:p>
        </w:tc>
        <w:tc>
          <w:tcPr>
            <w:tcW w:w="1880" w:type="dxa"/>
            <w:vAlign w:val="bottom"/>
          </w:tcPr>
          <w:p>
            <w:pPr>
              <w:jc w:val="right"/>
              <w:ind w:right="715"/>
              <w:spacing w:after="0"/>
              <w:rPr>
                <w:sz w:val="20"/>
                <w:szCs w:val="20"/>
                <w:color w:val="auto"/>
              </w:rPr>
            </w:pPr>
            <w:r>
              <w:rPr>
                <w:rFonts w:ascii="Arial" w:cs="Arial" w:eastAsia="Arial" w:hAnsi="Arial"/>
                <w:sz w:val="14"/>
                <w:szCs w:val="14"/>
                <w:b w:val="1"/>
                <w:bCs w:val="1"/>
                <w:color w:val="auto"/>
              </w:rPr>
              <w:t>Range</w:t>
            </w:r>
          </w:p>
        </w:tc>
      </w:tr>
      <w:tr>
        <w:trPr>
          <w:trHeight w:val="176"/>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w w:val="90"/>
              </w:rPr>
              <w:t>December 31, 2019</w:t>
            </w:r>
          </w:p>
        </w:tc>
        <w:tc>
          <w:tcPr>
            <w:tcW w:w="3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200" w:type="dxa"/>
            <w:vAlign w:val="bottom"/>
          </w:tcPr>
          <w:p>
            <w:pPr>
              <w:spacing w:after="0"/>
              <w:rPr>
                <w:sz w:val="15"/>
                <w:szCs w:val="15"/>
                <w:color w:val="auto"/>
              </w:rPr>
            </w:pPr>
          </w:p>
        </w:tc>
        <w:tc>
          <w:tcPr>
            <w:tcW w:w="4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5"/>
                <w:szCs w:val="15"/>
                <w:color w:val="auto"/>
              </w:rPr>
            </w:pPr>
          </w:p>
        </w:tc>
        <w:tc>
          <w:tcPr>
            <w:tcW w:w="1880" w:type="dxa"/>
            <w:vAlign w:val="bottom"/>
          </w:tcPr>
          <w:p>
            <w:pPr>
              <w:jc w:val="right"/>
              <w:ind w:right="335"/>
              <w:spacing w:after="0"/>
              <w:rPr>
                <w:sz w:val="20"/>
                <w:szCs w:val="20"/>
                <w:color w:val="auto"/>
              </w:rPr>
            </w:pPr>
            <w:r>
              <w:rPr>
                <w:rFonts w:ascii="Arial" w:cs="Arial" w:eastAsia="Arial" w:hAnsi="Arial"/>
                <w:sz w:val="14"/>
                <w:szCs w:val="14"/>
                <w:b w:val="1"/>
                <w:bCs w:val="1"/>
                <w:color w:val="auto"/>
              </w:rPr>
              <w:t>(weighted average)</w:t>
            </w:r>
          </w:p>
        </w:tc>
      </w:tr>
      <w:tr>
        <w:trPr>
          <w:trHeight w:val="196"/>
        </w:trPr>
        <w:tc>
          <w:tcPr>
            <w:tcW w:w="20" w:type="dxa"/>
            <w:vAlign w:val="bottom"/>
          </w:tcPr>
          <w:p>
            <w:pPr>
              <w:spacing w:after="0"/>
              <w:rPr>
                <w:sz w:val="17"/>
                <w:szCs w:val="17"/>
                <w:color w:val="auto"/>
              </w:rPr>
            </w:pPr>
          </w:p>
        </w:tc>
        <w:tc>
          <w:tcPr>
            <w:tcW w:w="1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340"/>
              <w:spacing w:after="0"/>
              <w:rPr>
                <w:sz w:val="20"/>
                <w:szCs w:val="20"/>
                <w:color w:val="auto"/>
              </w:rPr>
            </w:pPr>
            <w:r>
              <w:rPr>
                <w:rFonts w:ascii="Arial" w:cs="Arial" w:eastAsia="Arial" w:hAnsi="Arial"/>
                <w:sz w:val="18"/>
                <w:szCs w:val="18"/>
                <w:color w:val="auto"/>
                <w:w w:val="96"/>
              </w:rPr>
              <w:t>Second Lien Debt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364,351</w:t>
            </w:r>
          </w:p>
        </w:tc>
        <w:tc>
          <w:tcPr>
            <w:tcW w:w="1880" w:type="dxa"/>
            <w:vAlign w:val="bottom"/>
            <w:gridSpan w:val="2"/>
          </w:tcPr>
          <w:p>
            <w:pPr>
              <w:ind w:left="300"/>
              <w:spacing w:after="0"/>
              <w:rPr>
                <w:sz w:val="20"/>
                <w:szCs w:val="20"/>
                <w:color w:val="auto"/>
              </w:rPr>
            </w:pPr>
            <w:r>
              <w:rPr>
                <w:rFonts w:ascii="Arial" w:cs="Arial" w:eastAsia="Arial" w:hAnsi="Arial"/>
                <w:sz w:val="18"/>
                <w:szCs w:val="18"/>
                <w:color w:val="auto"/>
                <w:w w:val="91"/>
              </w:rPr>
              <w:t>Discounted cash flow</w:t>
            </w:r>
          </w:p>
        </w:tc>
        <w:tc>
          <w:tcPr>
            <w:tcW w:w="4220" w:type="dxa"/>
            <w:vAlign w:val="bottom"/>
            <w:gridSpan w:val="4"/>
          </w:tcPr>
          <w:p>
            <w:pPr>
              <w:ind w:left="200"/>
              <w:spacing w:after="0"/>
              <w:rPr>
                <w:sz w:val="20"/>
                <w:szCs w:val="20"/>
                <w:color w:val="auto"/>
              </w:rPr>
            </w:pPr>
            <w:r>
              <w:rPr>
                <w:rFonts w:ascii="Arial" w:cs="Arial" w:eastAsia="Arial" w:hAnsi="Arial"/>
                <w:sz w:val="18"/>
                <w:szCs w:val="18"/>
                <w:color w:val="auto"/>
              </w:rPr>
              <w:t>Weighted average cost of capital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10.3% - 18.2% (13.2%)</w:t>
            </w: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16,417</w:t>
            </w: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Enterprise value</w:t>
            </w: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EBITDA multiples</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5.3x - 5.3x (5.3x)</w:t>
            </w: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2,309</w:t>
            </w:r>
          </w:p>
        </w:tc>
        <w:tc>
          <w:tcPr>
            <w:tcW w:w="1880" w:type="dxa"/>
            <w:vAlign w:val="bottom"/>
            <w:gridSpan w:val="2"/>
          </w:tcPr>
          <w:p>
            <w:pPr>
              <w:ind w:left="300"/>
              <w:spacing w:after="0"/>
              <w:rPr>
                <w:sz w:val="20"/>
                <w:szCs w:val="20"/>
                <w:color w:val="auto"/>
              </w:rPr>
            </w:pPr>
            <w:r>
              <w:rPr>
                <w:rFonts w:ascii="Arial" w:cs="Arial" w:eastAsia="Arial" w:hAnsi="Arial"/>
                <w:sz w:val="18"/>
                <w:szCs w:val="18"/>
                <w:color w:val="auto"/>
              </w:rPr>
              <w:t>Enterprise value</w:t>
            </w:r>
          </w:p>
        </w:tc>
        <w:tc>
          <w:tcPr>
            <w:tcW w:w="4220" w:type="dxa"/>
            <w:vAlign w:val="bottom"/>
            <w:gridSpan w:val="4"/>
          </w:tcPr>
          <w:p>
            <w:pPr>
              <w:ind w:left="200"/>
              <w:spacing w:after="0"/>
              <w:rPr>
                <w:sz w:val="20"/>
                <w:szCs w:val="20"/>
                <w:color w:val="auto"/>
              </w:rPr>
            </w:pPr>
            <w:r>
              <w:rPr>
                <w:rFonts w:ascii="Arial" w:cs="Arial" w:eastAsia="Arial" w:hAnsi="Arial"/>
                <w:sz w:val="18"/>
                <w:szCs w:val="18"/>
                <w:color w:val="auto"/>
              </w:rPr>
              <w:t>Asset Coverage</w:t>
            </w:r>
          </w:p>
        </w:tc>
        <w:tc>
          <w:tcPr>
            <w:tcW w:w="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1.2x - 1.2x (1.2x)</w:t>
            </w: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Subordinated Debt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140,843</w:t>
            </w: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1"/>
              </w:rPr>
              <w:t>Discounted cash flow</w:t>
            </w: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Weighted average cost of capital</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 - 21.6% (12.0%)</w:t>
            </w:r>
          </w:p>
        </w:tc>
      </w:tr>
      <w:tr>
        <w:trPr>
          <w:trHeight w:val="216"/>
        </w:trPr>
        <w:tc>
          <w:tcPr>
            <w:tcW w:w="20" w:type="dxa"/>
            <w:vAlign w:val="bottom"/>
          </w:tcPr>
          <w:p>
            <w:pPr>
              <w:spacing w:after="0"/>
              <w:rPr>
                <w:sz w:val="18"/>
                <w:szCs w:val="18"/>
                <w:color w:val="auto"/>
              </w:rPr>
            </w:pPr>
          </w:p>
        </w:tc>
        <w:tc>
          <w:tcPr>
            <w:tcW w:w="1740" w:type="dxa"/>
            <w:vAlign w:val="bottom"/>
          </w:tcPr>
          <w:p>
            <w:pPr>
              <w:ind w:left="340"/>
              <w:spacing w:after="0"/>
              <w:rPr>
                <w:sz w:val="20"/>
                <w:szCs w:val="20"/>
                <w:color w:val="auto"/>
              </w:rPr>
            </w:pPr>
            <w:r>
              <w:rPr>
                <w:rFonts w:ascii="Arial" w:cs="Arial" w:eastAsia="Arial" w:hAnsi="Arial"/>
                <w:sz w:val="18"/>
                <w:szCs w:val="18"/>
                <w:color w:val="auto"/>
              </w:rPr>
              <w:t>First Lien Debt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101,162</w:t>
            </w:r>
          </w:p>
        </w:tc>
        <w:tc>
          <w:tcPr>
            <w:tcW w:w="1880" w:type="dxa"/>
            <w:vAlign w:val="bottom"/>
            <w:gridSpan w:val="2"/>
          </w:tcPr>
          <w:p>
            <w:pPr>
              <w:ind w:left="300"/>
              <w:spacing w:after="0"/>
              <w:rPr>
                <w:sz w:val="20"/>
                <w:szCs w:val="20"/>
                <w:color w:val="auto"/>
              </w:rPr>
            </w:pPr>
            <w:r>
              <w:rPr>
                <w:rFonts w:ascii="Arial" w:cs="Arial" w:eastAsia="Arial" w:hAnsi="Arial"/>
                <w:sz w:val="18"/>
                <w:szCs w:val="18"/>
                <w:color w:val="auto"/>
                <w:w w:val="91"/>
              </w:rPr>
              <w:t>Discounted cash flow</w:t>
            </w:r>
          </w:p>
        </w:tc>
        <w:tc>
          <w:tcPr>
            <w:tcW w:w="4220" w:type="dxa"/>
            <w:vAlign w:val="bottom"/>
            <w:gridSpan w:val="4"/>
          </w:tcPr>
          <w:p>
            <w:pPr>
              <w:ind w:left="200"/>
              <w:spacing w:after="0"/>
              <w:rPr>
                <w:sz w:val="20"/>
                <w:szCs w:val="20"/>
                <w:color w:val="auto"/>
              </w:rPr>
            </w:pPr>
            <w:r>
              <w:rPr>
                <w:rFonts w:ascii="Arial" w:cs="Arial" w:eastAsia="Arial" w:hAnsi="Arial"/>
                <w:sz w:val="18"/>
                <w:szCs w:val="18"/>
                <w:color w:val="auto"/>
              </w:rPr>
              <w:t>Weighted average cost of capital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8.4% - 14.8% (11.8%)</w:t>
            </w: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Enterprise value</w:t>
            </w: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Revenue multiples</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4.4x - 4.4x (4.4x)</w:t>
            </w:r>
          </w:p>
        </w:tc>
      </w:tr>
      <w:tr>
        <w:trPr>
          <w:trHeight w:val="32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125,370</w:t>
            </w: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Enterprise value</w:t>
            </w: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EBITDA multiples</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3.5x - 20.7x (8.5x)</w:t>
            </w: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1,194</w:t>
            </w:r>
          </w:p>
        </w:tc>
        <w:tc>
          <w:tcPr>
            <w:tcW w:w="1880" w:type="dxa"/>
            <w:vAlign w:val="bottom"/>
            <w:gridSpan w:val="2"/>
          </w:tcPr>
          <w:p>
            <w:pPr>
              <w:ind w:left="300"/>
              <w:spacing w:after="0"/>
              <w:rPr>
                <w:sz w:val="20"/>
                <w:szCs w:val="20"/>
                <w:color w:val="auto"/>
              </w:rPr>
            </w:pPr>
            <w:r>
              <w:rPr>
                <w:rFonts w:ascii="Arial" w:cs="Arial" w:eastAsia="Arial" w:hAnsi="Arial"/>
                <w:sz w:val="18"/>
                <w:szCs w:val="18"/>
                <w:color w:val="auto"/>
              </w:rPr>
              <w:t>Enterprise value</w:t>
            </w:r>
          </w:p>
        </w:tc>
        <w:tc>
          <w:tcPr>
            <w:tcW w:w="4220" w:type="dxa"/>
            <w:vAlign w:val="bottom"/>
            <w:gridSpan w:val="4"/>
          </w:tcPr>
          <w:p>
            <w:pPr>
              <w:ind w:left="200"/>
              <w:spacing w:after="0"/>
              <w:rPr>
                <w:sz w:val="20"/>
                <w:szCs w:val="20"/>
                <w:color w:val="auto"/>
              </w:rPr>
            </w:pPr>
            <w:r>
              <w:rPr>
                <w:rFonts w:ascii="Arial" w:cs="Arial" w:eastAsia="Arial" w:hAnsi="Arial"/>
                <w:sz w:val="18"/>
                <w:szCs w:val="18"/>
                <w:color w:val="auto"/>
              </w:rPr>
              <w:t>Revenue multiples</w:t>
            </w:r>
          </w:p>
        </w:tc>
        <w:tc>
          <w:tcPr>
            <w:tcW w:w="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1.2x - 4.4x (2.0x)</w:t>
            </w: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Enterprise value</w:t>
            </w: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EBITDA multiples</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4.0x - 7.0x (6.6x)</w:t>
            </w:r>
          </w:p>
        </w:tc>
      </w:tr>
      <w:tr>
        <w:trPr>
          <w:trHeight w:val="59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14"/>
                <w:szCs w:val="14"/>
                <w:b w:val="1"/>
                <w:bCs w:val="1"/>
                <w:color w:val="auto"/>
              </w:rPr>
              <w:t>Fair Value at</w:t>
            </w:r>
          </w:p>
        </w:tc>
        <w:tc>
          <w:tcPr>
            <w:tcW w:w="3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200" w:type="dxa"/>
            <w:vAlign w:val="bottom"/>
          </w:tcPr>
          <w:p>
            <w:pPr>
              <w:spacing w:after="0"/>
              <w:rPr>
                <w:sz w:val="24"/>
                <w:szCs w:val="24"/>
                <w:color w:val="auto"/>
              </w:rPr>
            </w:pPr>
          </w:p>
        </w:tc>
        <w:tc>
          <w:tcPr>
            <w:tcW w:w="4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Unobservable</w:t>
            </w:r>
          </w:p>
        </w:tc>
        <w:tc>
          <w:tcPr>
            <w:tcW w:w="80" w:type="dxa"/>
            <w:vAlign w:val="bottom"/>
          </w:tcPr>
          <w:p>
            <w:pPr>
              <w:spacing w:after="0"/>
              <w:rPr>
                <w:sz w:val="24"/>
                <w:szCs w:val="24"/>
                <w:color w:val="auto"/>
              </w:rPr>
            </w:pPr>
          </w:p>
        </w:tc>
        <w:tc>
          <w:tcPr>
            <w:tcW w:w="1880" w:type="dxa"/>
            <w:vAlign w:val="bottom"/>
          </w:tcPr>
          <w:p>
            <w:pPr>
              <w:jc w:val="right"/>
              <w:ind w:right="675"/>
              <w:spacing w:after="0"/>
              <w:rPr>
                <w:sz w:val="20"/>
                <w:szCs w:val="20"/>
                <w:color w:val="auto"/>
              </w:rPr>
            </w:pPr>
            <w:r>
              <w:rPr>
                <w:rFonts w:ascii="Arial" w:cs="Arial" w:eastAsia="Arial" w:hAnsi="Arial"/>
                <w:sz w:val="14"/>
                <w:szCs w:val="14"/>
                <w:b w:val="1"/>
                <w:bCs w:val="1"/>
                <w:color w:val="auto"/>
              </w:rPr>
              <w:t>Range</w:t>
            </w:r>
          </w:p>
        </w:tc>
      </w:tr>
      <w:tr>
        <w:trPr>
          <w:trHeight w:val="176"/>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w w:val="90"/>
              </w:rPr>
              <w:t>December 31, 2018</w:t>
            </w:r>
          </w:p>
        </w:tc>
        <w:tc>
          <w:tcPr>
            <w:tcW w:w="3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200" w:type="dxa"/>
            <w:vAlign w:val="bottom"/>
          </w:tcPr>
          <w:p>
            <w:pPr>
              <w:spacing w:after="0"/>
              <w:rPr>
                <w:sz w:val="15"/>
                <w:szCs w:val="15"/>
                <w:color w:val="auto"/>
              </w:rPr>
            </w:pPr>
          </w:p>
        </w:tc>
        <w:tc>
          <w:tcPr>
            <w:tcW w:w="4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5"/>
                <w:szCs w:val="15"/>
                <w:color w:val="auto"/>
              </w:rPr>
            </w:pPr>
          </w:p>
        </w:tc>
        <w:tc>
          <w:tcPr>
            <w:tcW w:w="1880" w:type="dxa"/>
            <w:vAlign w:val="bottom"/>
          </w:tcPr>
          <w:p>
            <w:pPr>
              <w:jc w:val="right"/>
              <w:ind w:right="275"/>
              <w:spacing w:after="0"/>
              <w:rPr>
                <w:sz w:val="20"/>
                <w:szCs w:val="20"/>
                <w:color w:val="auto"/>
              </w:rPr>
            </w:pPr>
            <w:r>
              <w:rPr>
                <w:rFonts w:ascii="Arial" w:cs="Arial" w:eastAsia="Arial" w:hAnsi="Arial"/>
                <w:sz w:val="14"/>
                <w:szCs w:val="14"/>
                <w:b w:val="1"/>
                <w:bCs w:val="1"/>
                <w:color w:val="auto"/>
              </w:rPr>
              <w:t>(weighted average)</w:t>
            </w:r>
          </w:p>
        </w:tc>
      </w:tr>
      <w:tr>
        <w:trPr>
          <w:trHeight w:val="196"/>
        </w:trPr>
        <w:tc>
          <w:tcPr>
            <w:tcW w:w="20" w:type="dxa"/>
            <w:vAlign w:val="bottom"/>
          </w:tcPr>
          <w:p>
            <w:pPr>
              <w:spacing w:after="0"/>
              <w:rPr>
                <w:sz w:val="17"/>
                <w:szCs w:val="17"/>
                <w:color w:val="auto"/>
              </w:rPr>
            </w:pPr>
          </w:p>
        </w:tc>
        <w:tc>
          <w:tcPr>
            <w:tcW w:w="1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340"/>
              <w:spacing w:after="0"/>
              <w:rPr>
                <w:sz w:val="20"/>
                <w:szCs w:val="20"/>
                <w:color w:val="auto"/>
              </w:rPr>
            </w:pPr>
            <w:r>
              <w:rPr>
                <w:rFonts w:ascii="Arial" w:cs="Arial" w:eastAsia="Arial" w:hAnsi="Arial"/>
                <w:sz w:val="18"/>
                <w:szCs w:val="18"/>
                <w:color w:val="auto"/>
                <w:w w:val="96"/>
              </w:rPr>
              <w:t>Second Lien Debt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357,813</w:t>
            </w:r>
          </w:p>
        </w:tc>
        <w:tc>
          <w:tcPr>
            <w:tcW w:w="1880" w:type="dxa"/>
            <w:vAlign w:val="bottom"/>
            <w:gridSpan w:val="2"/>
          </w:tcPr>
          <w:p>
            <w:pPr>
              <w:ind w:left="300"/>
              <w:spacing w:after="0"/>
              <w:rPr>
                <w:sz w:val="20"/>
                <w:szCs w:val="20"/>
                <w:color w:val="auto"/>
              </w:rPr>
            </w:pPr>
            <w:r>
              <w:rPr>
                <w:rFonts w:ascii="Arial" w:cs="Arial" w:eastAsia="Arial" w:hAnsi="Arial"/>
                <w:sz w:val="18"/>
                <w:szCs w:val="18"/>
                <w:color w:val="auto"/>
                <w:w w:val="91"/>
              </w:rPr>
              <w:t>Discounted cash flow</w:t>
            </w:r>
          </w:p>
        </w:tc>
        <w:tc>
          <w:tcPr>
            <w:tcW w:w="4220" w:type="dxa"/>
            <w:vAlign w:val="bottom"/>
            <w:gridSpan w:val="4"/>
          </w:tcPr>
          <w:p>
            <w:pPr>
              <w:ind w:left="200"/>
              <w:spacing w:after="0"/>
              <w:rPr>
                <w:sz w:val="20"/>
                <w:szCs w:val="20"/>
                <w:color w:val="auto"/>
              </w:rPr>
            </w:pPr>
            <w:r>
              <w:rPr>
                <w:rFonts w:ascii="Arial" w:cs="Arial" w:eastAsia="Arial" w:hAnsi="Arial"/>
                <w:sz w:val="18"/>
                <w:szCs w:val="18"/>
                <w:color w:val="auto"/>
              </w:rPr>
              <w:t>Weighted average cost of capital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11.2% - 30.0% (13.5%)</w:t>
            </w: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Enterprise value</w:t>
            </w: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EBITDA multiples</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5.0x - 5.9x (5.1x)</w:t>
            </w:r>
          </w:p>
        </w:tc>
      </w:tr>
      <w:tr>
        <w:trPr>
          <w:trHeight w:val="216"/>
        </w:trPr>
        <w:tc>
          <w:tcPr>
            <w:tcW w:w="20" w:type="dxa"/>
            <w:vAlign w:val="bottom"/>
          </w:tcPr>
          <w:p>
            <w:pPr>
              <w:spacing w:after="0"/>
              <w:rPr>
                <w:sz w:val="18"/>
                <w:szCs w:val="18"/>
                <w:color w:val="auto"/>
              </w:rPr>
            </w:pPr>
          </w:p>
        </w:tc>
        <w:tc>
          <w:tcPr>
            <w:tcW w:w="1740" w:type="dxa"/>
            <w:vAlign w:val="bottom"/>
          </w:tcPr>
          <w:p>
            <w:pPr>
              <w:ind w:left="340"/>
              <w:spacing w:after="0"/>
              <w:rPr>
                <w:sz w:val="20"/>
                <w:szCs w:val="20"/>
                <w:color w:val="auto"/>
              </w:rPr>
            </w:pPr>
            <w:r>
              <w:rPr>
                <w:rFonts w:ascii="Arial" w:cs="Arial" w:eastAsia="Arial" w:hAnsi="Arial"/>
                <w:sz w:val="18"/>
                <w:szCs w:val="18"/>
                <w:color w:val="auto"/>
                <w:w w:val="91"/>
              </w:rPr>
              <w:t>Subordinated Debt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104,225</w:t>
            </w:r>
          </w:p>
        </w:tc>
        <w:tc>
          <w:tcPr>
            <w:tcW w:w="1880" w:type="dxa"/>
            <w:vAlign w:val="bottom"/>
            <w:gridSpan w:val="2"/>
          </w:tcPr>
          <w:p>
            <w:pPr>
              <w:ind w:left="300"/>
              <w:spacing w:after="0"/>
              <w:rPr>
                <w:sz w:val="20"/>
                <w:szCs w:val="20"/>
                <w:color w:val="auto"/>
              </w:rPr>
            </w:pPr>
            <w:r>
              <w:rPr>
                <w:rFonts w:ascii="Arial" w:cs="Arial" w:eastAsia="Arial" w:hAnsi="Arial"/>
                <w:sz w:val="18"/>
                <w:szCs w:val="18"/>
                <w:color w:val="auto"/>
                <w:w w:val="91"/>
              </w:rPr>
              <w:t>Discounted cash flow</w:t>
            </w:r>
          </w:p>
        </w:tc>
        <w:tc>
          <w:tcPr>
            <w:tcW w:w="4220" w:type="dxa"/>
            <w:vAlign w:val="bottom"/>
            <w:gridSpan w:val="4"/>
          </w:tcPr>
          <w:p>
            <w:pPr>
              <w:ind w:left="200"/>
              <w:spacing w:after="0"/>
              <w:rPr>
                <w:sz w:val="20"/>
                <w:szCs w:val="20"/>
                <w:color w:val="auto"/>
              </w:rPr>
            </w:pPr>
            <w:r>
              <w:rPr>
                <w:rFonts w:ascii="Arial" w:cs="Arial" w:eastAsia="Arial" w:hAnsi="Arial"/>
                <w:sz w:val="18"/>
                <w:szCs w:val="18"/>
                <w:color w:val="auto"/>
              </w:rPr>
              <w:t>Weighted average cost of capital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10.9% - 16.5% (12.5%)</w:t>
            </w: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Lien Debt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51,790</w:t>
            </w: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1"/>
              </w:rPr>
              <w:t>Discounted cash flow</w:t>
            </w: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Weighted average cost of capital</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 - 20.7% (12.3%)</w:t>
            </w:r>
          </w:p>
        </w:tc>
      </w:tr>
      <w:tr>
        <w:trPr>
          <w:trHeight w:val="32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106,707</w:t>
            </w: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Enterprise value</w:t>
            </w: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EBITDA multiples</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3.5x - 17.3x (7.0x)</w:t>
            </w:r>
          </w:p>
        </w:tc>
      </w:tr>
      <w:tr>
        <w:trPr>
          <w:trHeight w:val="216"/>
        </w:trPr>
        <w:tc>
          <w:tcPr>
            <w:tcW w:w="20" w:type="dxa"/>
            <w:vAlign w:val="bottom"/>
          </w:tcPr>
          <w:p>
            <w:pPr>
              <w:spacing w:after="0"/>
              <w:rPr>
                <w:sz w:val="18"/>
                <w:szCs w:val="18"/>
                <w:color w:val="auto"/>
              </w:rPr>
            </w:pPr>
          </w:p>
        </w:tc>
        <w:tc>
          <w:tcPr>
            <w:tcW w:w="1740" w:type="dxa"/>
            <w:vAlign w:val="bottom"/>
          </w:tcPr>
          <w:p>
            <w:pPr>
              <w:ind w:left="340"/>
              <w:spacing w:after="0"/>
              <w:rPr>
                <w:sz w:val="20"/>
                <w:szCs w:val="20"/>
                <w:color w:val="auto"/>
              </w:rPr>
            </w:pPr>
            <w:r>
              <w:rPr>
                <w:rFonts w:ascii="Arial" w:cs="Arial" w:eastAsia="Arial" w:hAnsi="Arial"/>
                <w:sz w:val="18"/>
                <w:szCs w:val="18"/>
                <w:color w:val="auto"/>
              </w:rPr>
              <w:t>Warrants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13,743</w:t>
            </w:r>
          </w:p>
        </w:tc>
        <w:tc>
          <w:tcPr>
            <w:tcW w:w="1880" w:type="dxa"/>
            <w:vAlign w:val="bottom"/>
            <w:gridSpan w:val="2"/>
          </w:tcPr>
          <w:p>
            <w:pPr>
              <w:ind w:left="300"/>
              <w:spacing w:after="0"/>
              <w:rPr>
                <w:sz w:val="20"/>
                <w:szCs w:val="20"/>
                <w:color w:val="auto"/>
              </w:rPr>
            </w:pPr>
            <w:r>
              <w:rPr>
                <w:rFonts w:ascii="Arial" w:cs="Arial" w:eastAsia="Arial" w:hAnsi="Arial"/>
                <w:sz w:val="18"/>
                <w:szCs w:val="18"/>
                <w:color w:val="auto"/>
              </w:rPr>
              <w:t>Enterprise value</w:t>
            </w:r>
          </w:p>
        </w:tc>
        <w:tc>
          <w:tcPr>
            <w:tcW w:w="4220" w:type="dxa"/>
            <w:vAlign w:val="bottom"/>
            <w:gridSpan w:val="4"/>
          </w:tcPr>
          <w:p>
            <w:pPr>
              <w:ind w:left="200"/>
              <w:spacing w:after="0"/>
              <w:rPr>
                <w:sz w:val="20"/>
                <w:szCs w:val="20"/>
                <w:color w:val="auto"/>
              </w:rPr>
            </w:pPr>
            <w:r>
              <w:rPr>
                <w:rFonts w:ascii="Arial" w:cs="Arial" w:eastAsia="Arial" w:hAnsi="Arial"/>
                <w:sz w:val="18"/>
                <w:szCs w:val="18"/>
                <w:color w:val="auto"/>
              </w:rPr>
              <w:t>EBITDA multiples</w:t>
            </w:r>
          </w:p>
        </w:tc>
        <w:tc>
          <w:tcPr>
            <w:tcW w:w="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4.0x - 8.0x (7.2x)</w:t>
            </w: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Rights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1"/>
              </w:rPr>
              <w:t>Discounted cash flow</w:t>
            </w:r>
          </w:p>
        </w:tc>
        <w:tc>
          <w:tcPr>
            <w:tcW w:w="4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Weighted average cost of capital</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24"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Public Notes (as defined in Note 6) are recorded at their respective carrying values.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summarize the carrying value and fair value of the Company’s debt obligations as of December 31, 2019 and 2018:</w:t>
      </w:r>
    </w:p>
    <w:p>
      <w:pPr>
        <w:spacing w:after="0" w:line="25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rPr>
              <w:t>December 31, 2019</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 2018</w:t>
            </w: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 xml:space="preserve">Carrying Value </w:t>
            </w:r>
            <w:r>
              <w:rPr>
                <w:rFonts w:ascii="Arial" w:cs="Arial" w:eastAsia="Arial" w:hAnsi="Arial"/>
                <w:sz w:val="12"/>
                <w:szCs w:val="12"/>
                <w:b w:val="1"/>
                <w:bCs w:val="1"/>
                <w:color w:val="auto"/>
                <w:w w:val="93"/>
              </w:rPr>
              <w:t>(1)</w:t>
            </w:r>
          </w:p>
        </w:tc>
        <w:tc>
          <w:tcPr>
            <w:tcW w:w="5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56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 xml:space="preserve">Carrying Value </w:t>
            </w:r>
            <w:r>
              <w:rPr>
                <w:rFonts w:ascii="Arial" w:cs="Arial" w:eastAsia="Arial" w:hAnsi="Arial"/>
                <w:sz w:val="12"/>
                <w:szCs w:val="12"/>
                <w:b w:val="1"/>
                <w:bCs w:val="1"/>
                <w:color w:val="auto"/>
                <w:w w:val="93"/>
              </w:rPr>
              <w:t>(1)</w:t>
            </w:r>
          </w:p>
        </w:tc>
        <w:tc>
          <w:tcPr>
            <w:tcW w:w="5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SBA debentures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$157,500</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191,000</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 xml:space="preserve">Credit Facility borrowings </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2023 Notes </w:t>
            </w:r>
            <w:r>
              <w:rPr>
                <w:rFonts w:ascii="Arial" w:cs="Arial" w:eastAsia="Arial" w:hAnsi="Arial"/>
                <w:sz w:val="15"/>
                <w:szCs w:val="15"/>
                <w:color w:val="auto"/>
              </w:rPr>
              <w:t>(4)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51,900</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51,492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 xml:space="preserve">February 2024 Notes </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72,422</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November 2024 Notes </w:t>
            </w:r>
            <w:r>
              <w:rPr>
                <w:rFonts w:ascii="Arial" w:cs="Arial" w:eastAsia="Arial" w:hAnsi="Arial"/>
                <w:sz w:val="15"/>
                <w:szCs w:val="15"/>
                <w:color w:val="auto"/>
              </w:rPr>
              <w:t>(4)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65,148</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364,750</w:t>
            </w:r>
          </w:p>
        </w:tc>
        <w:tc>
          <w:tcPr>
            <w:tcW w:w="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371,970</w:t>
            </w:r>
          </w:p>
        </w:tc>
        <w:tc>
          <w:tcPr>
            <w:tcW w:w="5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277,500</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278,992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Carrying value represents the outstanding principal balance of the debt obligation.</w:t>
      </w:r>
    </w:p>
    <w:p>
      <w:pPr>
        <w:spacing w:after="0" w:line="23"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fair value of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fair value of borrowings under the Credit Facility, if valued under ASC Topic 820, are based on a market yield approach and current interest rates, which are Level 3 inputs to the market yield model.</w:t>
      </w:r>
    </w:p>
    <w:p>
      <w:pPr>
        <w:ind w:left="640" w:hanging="43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Public Notes, if valued under ASC Topic 820, are valued using available market quotes, which is a Level 1 input.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inputs used to value the Company’s debt obligations if measured at fair value as of December 31, 2019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w:t>
      </w:r>
    </w:p>
    <w:p>
      <w:pPr>
        <w:spacing w:after="0" w:line="22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Fair Value</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Valuation Inputs</w:t>
            </w:r>
          </w:p>
        </w:tc>
        <w:tc>
          <w:tcPr>
            <w:tcW w:w="5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2"/>
              </w:rPr>
              <w:t>December 31,</w:t>
            </w:r>
          </w:p>
        </w:tc>
        <w:tc>
          <w:tcPr>
            <w:tcW w:w="130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60" w:type="dxa"/>
            <w:vAlign w:val="bottom"/>
            <w:gridSpan w:val="2"/>
            <w:vMerge w:val="continue"/>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Level 1</w:t>
            </w:r>
          </w:p>
        </w:tc>
        <w:tc>
          <w:tcPr>
            <w:tcW w:w="516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189,470</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51,492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Level 2</w:t>
            </w:r>
          </w:p>
        </w:tc>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5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182,500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371,970</w:t>
            </w:r>
          </w:p>
        </w:tc>
        <w:tc>
          <w:tcPr>
            <w:tcW w:w="4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278,992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i w:val="1"/>
          <w:iCs w:val="1"/>
          <w:color w:val="auto"/>
        </w:rPr>
        <w:t xml:space="preserve">Investment Advisory Agreement: </w:t>
      </w:r>
      <w:r>
        <w:rPr>
          <w:rFonts w:ascii="Arial" w:cs="Arial" w:eastAsia="Arial" w:hAnsi="Arial"/>
          <w:sz w:val="16"/>
          <w:szCs w:val="16"/>
          <w:color w:val="auto"/>
        </w:rPr>
        <w:t>The Company has entered into an Investment Advisory Agreement with the Investment Advisor. On June 6,</w:t>
      </w:r>
      <w:r>
        <w:rPr>
          <w:rFonts w:ascii="Arial" w:cs="Arial" w:eastAsia="Arial" w:hAnsi="Arial"/>
          <w:sz w:val="16"/>
          <w:szCs w:val="16"/>
          <w:i w:val="1"/>
          <w:iCs w:val="1"/>
          <w:color w:val="auto"/>
        </w:rPr>
        <w:t xml:space="preserve"> </w:t>
      </w:r>
      <w:r>
        <w:rPr>
          <w:rFonts w:ascii="Arial" w:cs="Arial" w:eastAsia="Arial" w:hAnsi="Arial"/>
          <w:sz w:val="16"/>
          <w:szCs w:val="16"/>
          <w:color w:val="auto"/>
        </w:rPr>
        <w:t>2019, the Board approved the renewal of the Investment Advisory Agreement through June 20, 2020.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54"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base management fee is payable quarterly in arrears. The base management fee under the Investment Advisory Agreement for the years ended December 31, 2019, 2018 and 2017 totaled $12,399, $11,365 and $9,788, respectively. As of December 31, 2019 and 2018, the base management fee payable was $3,334 and $2,927, respectively.</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8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7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 pays the Investment Advisor an incentive fee with respect to pre-incentive fee net investment income in each calendar quarter as follows:</w:t>
      </w:r>
    </w:p>
    <w:p>
      <w:pPr>
        <w:spacing w:after="0" w:line="76" w:lineRule="exact"/>
        <w:rPr>
          <w:sz w:val="20"/>
          <w:szCs w:val="20"/>
          <w:color w:val="auto"/>
        </w:rPr>
      </w:pPr>
    </w:p>
    <w:p>
      <w:pPr>
        <w:ind w:left="1180" w:hanging="436"/>
        <w:spacing w:after="0"/>
        <w:tabs>
          <w:tab w:leader="none" w:pos="1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the pre-incentive fee net investment income does not exceed the hurdle rate of 2.0%;</w:t>
      </w:r>
    </w:p>
    <w:p>
      <w:pPr>
        <w:spacing w:after="0" w:line="153" w:lineRule="exact"/>
        <w:rPr>
          <w:rFonts w:ascii="Arial" w:cs="Arial" w:eastAsia="Arial" w:hAnsi="Arial"/>
          <w:sz w:val="16"/>
          <w:szCs w:val="16"/>
          <w:color w:val="auto"/>
        </w:rPr>
      </w:pPr>
    </w:p>
    <w:p>
      <w:pPr>
        <w:ind w:left="1180" w:hanging="436"/>
        <w:spacing w:after="0" w:line="25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93"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20.0% of the amount of the Company’s pre-incentive fee net investment income, if any, that exceeds 2.5% in any calendar quarter.</w:t>
      </w:r>
    </w:p>
    <w:p>
      <w:pPr>
        <w:spacing w:after="0" w:line="23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for the years ended December 31, 2019, 2018 and 2017 totaled $7,445, $9,413 and $8,913, respectively. As of December 31, 2019 and 2018, the income incentive fee payable was $1,497 and $2,785, respectively.</w:t>
      </w:r>
    </w:p>
    <w:p>
      <w:pPr>
        <w:spacing w:after="0" w:line="187" w:lineRule="exact"/>
        <w:rPr>
          <w:sz w:val="20"/>
          <w:szCs w:val="20"/>
          <w:color w:val="auto"/>
        </w:rPr>
      </w:pPr>
    </w:p>
    <w:p>
      <w:pPr>
        <w:ind w:left="200" w:right="40" w:firstLine="441"/>
        <w:spacing w:after="0" w:line="283"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w:t>
      </w:r>
    </w:p>
    <w:p>
      <w:pPr>
        <w:spacing w:after="0" w:line="7" w:lineRule="exact"/>
        <w:rPr>
          <w:sz w:val="20"/>
          <w:szCs w:val="20"/>
          <w:color w:val="auto"/>
        </w:rPr>
      </w:pPr>
    </w:p>
    <w:p>
      <w:pPr>
        <w:ind w:left="200" w:right="240"/>
        <w:spacing w:after="0" w:line="254" w:lineRule="auto"/>
        <w:rPr>
          <w:sz w:val="20"/>
          <w:szCs w:val="20"/>
          <w:color w:val="auto"/>
        </w:rPr>
      </w:pPr>
      <w:r>
        <w:rPr>
          <w:rFonts w:ascii="Arial" w:cs="Arial" w:eastAsia="Arial" w:hAnsi="Arial"/>
          <w:sz w:val="18"/>
          <w:szCs w:val="18"/>
          <w:color w:val="auto"/>
        </w:rPr>
        <w:t>20.0% of such amount, less the aggregate amount of any capital gains incentive fees paid in all prior years. As of December 31, 2019 and 2018, the capital gains incentive fee payable in cash was $0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December 31, 2019 was $348.</w:t>
      </w:r>
    </w:p>
    <w:p>
      <w:pPr>
        <w:spacing w:after="0" w:line="190"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w:t>
      </w:r>
    </w:p>
    <w:p>
      <w:pPr>
        <w:spacing w:after="0" w:line="2" w:lineRule="exact"/>
        <w:rPr>
          <w:sz w:val="20"/>
          <w:szCs w:val="20"/>
          <w:color w:val="auto"/>
        </w:rPr>
      </w:pPr>
    </w:p>
    <w:p>
      <w:pPr>
        <w:ind w:left="200" w:right="480" w:firstLine="4"/>
        <w:spacing w:after="0" w:line="254" w:lineRule="auto"/>
        <w:tabs>
          <w:tab w:leader="none" w:pos="4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net realized gains/(losses) on investments plus (ii) net unrealized appreciation/(depreciation) on investments plus (iii) realized losses on extinguishment of debt. The capital gains incentive fee accrued (reversed) during the years ended December 31, 2019, 2018 and 2017 was $3,299, $2,938 and $2,055, respectively. As of December 31, 2019 and 2018, the accrued capital gains incentive fee payable was $12,715 and $9,415, respectively.</w:t>
      </w:r>
    </w:p>
    <w:p>
      <w:pPr>
        <w:spacing w:after="0" w:line="190" w:lineRule="exact"/>
        <w:rPr>
          <w:sz w:val="20"/>
          <w:szCs w:val="20"/>
          <w:color w:val="auto"/>
        </w:rPr>
      </w:pPr>
    </w:p>
    <w:p>
      <w:pPr>
        <w:jc w:val="both"/>
        <w:ind w:left="200" w:right="120" w:firstLine="441"/>
        <w:spacing w:after="0" w:line="297" w:lineRule="auto"/>
        <w:rPr>
          <w:sz w:val="20"/>
          <w:szCs w:val="20"/>
          <w:color w:val="auto"/>
        </w:rPr>
      </w:pPr>
      <w:r>
        <w:rPr>
          <w:rFonts w:ascii="Arial" w:cs="Arial" w:eastAsia="Arial" w:hAnsi="Arial"/>
          <w:sz w:val="16"/>
          <w:szCs w:val="16"/>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ectPr>
          <w:pgSz w:w="11900" w:h="16838" w:orient="portrait"/>
          <w:cols w:equalWidth="0" w:num="1">
            <w:col w:w="11220"/>
          </w:cols>
          <w:pgMar w:left="240" w:top="459" w:right="439" w:bottom="1440" w:gutter="0" w:footer="0" w:header="0"/>
        </w:sectPr>
      </w:pP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20"/>
          </w:cols>
          <w:pgMar w:left="240" w:top="459" w:right="4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i w:val="1"/>
          <w:iCs w:val="1"/>
          <w:color w:val="auto"/>
        </w:rPr>
        <w:t xml:space="preserve">Administration Agreement: </w:t>
      </w:r>
      <w:r>
        <w:rPr>
          <w:rFonts w:ascii="Arial" w:cs="Arial" w:eastAsia="Arial" w:hAnsi="Arial"/>
          <w:sz w:val="17"/>
          <w:szCs w:val="17"/>
          <w:color w:val="auto"/>
        </w:rPr>
        <w:t>The Company also entered into an administration agreement (the “Administration Agreement”) with the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Advisor. On June 6, 2019, the Board approved the renewal of the Administration Agreement through June 20, 2020.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 Under the Administration Agreement, administrative service expenses for the years ended December 31, 2019, 2018 and 2017 were $1,583, $1,462 and $1,428, respectively. As of December 31, 2019 and 2018, the accrued administrative service expense was $528 and $492, respectively.</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 On June 16, 2014, FIC entered into a senior secured revolving credit agreement (the “Credit Facility”) with 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Capital LLC, as administrative agent. The Amended Credit Agreement amends, restates, and replaces the Credit Facility.</w:t>
      </w:r>
    </w:p>
    <w:p>
      <w:pPr>
        <w:spacing w:after="0" w:line="158" w:lineRule="exact"/>
        <w:rPr>
          <w:sz w:val="20"/>
          <w:szCs w:val="20"/>
          <w:color w:val="auto"/>
        </w:rPr>
      </w:pPr>
    </w:p>
    <w:p>
      <w:pPr>
        <w:ind w:left="200" w:right="200" w:firstLine="441"/>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$90,000 to $100,000, with an accordion feature that allows for an increase in total commitments up to $250,000,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200" w:right="60" w:firstLine="4"/>
        <w:spacing w:after="0" w:line="271" w:lineRule="auto"/>
        <w:tabs>
          <w:tab w:leader="none" w:pos="48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three month LIBOR plus 1.0%, and (D) zero. The Company pays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The Credit Facility is secured by a first priority security interest in all of our assets, excluding the assets of our SBIC subsidiaries.</w:t>
      </w:r>
    </w:p>
    <w:p>
      <w:pPr>
        <w:spacing w:after="0" w:line="179"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54" w:lineRule="exact"/>
        <w:rPr>
          <w:sz w:val="20"/>
          <w:szCs w:val="20"/>
          <w:color w:val="auto"/>
        </w:rPr>
      </w:pPr>
    </w:p>
    <w:p>
      <w:pPr>
        <w:jc w:val="both"/>
        <w:ind w:left="200" w:right="160" w:firstLine="441"/>
        <w:spacing w:after="0" w:line="259"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2019 and 2018, the Company was in compliance in all material respect with the terms of the Credit Facility.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The Company uses debenture leverage provided through the SBA to fund a portion of its investment purchases.</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December 31, 2019 and 2018, approved and unused SBA debenture commitments were $17,500 and zero,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2019 and 2018, the Company’s issued and outstanding SBA debentures mature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Pooling Date </w:t>
            </w:r>
            <w:r>
              <w:rPr>
                <w:rFonts w:ascii="Arial" w:cs="Arial" w:eastAsia="Arial" w:hAnsi="Arial"/>
                <w:sz w:val="12"/>
                <w:szCs w:val="12"/>
                <w:b w:val="1"/>
                <w:bCs w:val="1"/>
                <w:color w:val="auto"/>
              </w:rPr>
              <w:t>(1)</w:t>
            </w: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Maturity</w:t>
            </w:r>
          </w:p>
        </w:tc>
        <w:tc>
          <w:tcPr>
            <w:tcW w:w="4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Fixed</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70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Date</w:t>
            </w:r>
          </w:p>
        </w:tc>
        <w:tc>
          <w:tcPr>
            <w:tcW w:w="1640" w:type="dxa"/>
            <w:vAlign w:val="bottom"/>
            <w:gridSpan w:val="3"/>
          </w:tcPr>
          <w:p>
            <w:pPr>
              <w:jc w:val="center"/>
              <w:ind w:left="31"/>
              <w:spacing w:after="0" w:line="158" w:lineRule="exact"/>
              <w:rPr>
                <w:sz w:val="20"/>
                <w:szCs w:val="20"/>
                <w:color w:val="auto"/>
              </w:rPr>
            </w:pPr>
            <w:r>
              <w:rPr>
                <w:rFonts w:ascii="Arial" w:cs="Arial" w:eastAsia="Arial" w:hAnsi="Arial"/>
                <w:sz w:val="14"/>
                <w:szCs w:val="14"/>
                <w:b w:val="1"/>
                <w:bCs w:val="1"/>
                <w:color w:val="auto"/>
                <w:w w:val="94"/>
              </w:rPr>
              <w:t>Interest Rate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91"/>
              <w:spacing w:after="0" w:line="158"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251"/>
              <w:spacing w:after="0" w:line="158"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9/21/2011</w:t>
            </w:r>
          </w:p>
        </w:tc>
        <w:tc>
          <w:tcPr>
            <w:tcW w:w="44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7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9/1/2021</w:t>
            </w:r>
          </w:p>
        </w:tc>
        <w:tc>
          <w:tcPr>
            <w:tcW w:w="4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3.594%</w:t>
            </w:r>
          </w:p>
        </w:tc>
        <w:tc>
          <w:tcPr>
            <w:tcW w:w="2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3/21/2012</w:t>
            </w:r>
          </w:p>
        </w:tc>
        <w:tc>
          <w:tcPr>
            <w:tcW w:w="440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3/1/2022</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w w:val="88"/>
              </w:rPr>
              <w:t>3.051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9/19/2012</w:t>
            </w:r>
          </w:p>
        </w:tc>
        <w:tc>
          <w:tcPr>
            <w:tcW w:w="440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9/1/2022</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8"/>
              </w:rPr>
              <w:t>2.530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9/19/2012</w:t>
            </w:r>
          </w:p>
        </w:tc>
        <w:tc>
          <w:tcPr>
            <w:tcW w:w="440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9/1/2022</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w w:val="88"/>
              </w:rPr>
              <w:t>3.049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3/27/2013</w:t>
            </w:r>
          </w:p>
        </w:tc>
        <w:tc>
          <w:tcPr>
            <w:tcW w:w="440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3/1/2023</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8"/>
              </w:rPr>
              <w:t>3.155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9/24/2014</w:t>
            </w:r>
          </w:p>
        </w:tc>
        <w:tc>
          <w:tcPr>
            <w:tcW w:w="440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9/1/2024</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w w:val="88"/>
              </w:rPr>
              <w:t>3.775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3/25/2015</w:t>
            </w:r>
          </w:p>
        </w:tc>
        <w:tc>
          <w:tcPr>
            <w:tcW w:w="440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3/1/2025</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8"/>
              </w:rPr>
              <w:t>3.321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3/25/2015</w:t>
            </w:r>
          </w:p>
        </w:tc>
        <w:tc>
          <w:tcPr>
            <w:tcW w:w="440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3/1/2025</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w w:val="88"/>
              </w:rPr>
              <w:t>3.277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9/23/2015</w:t>
            </w:r>
          </w:p>
        </w:tc>
        <w:tc>
          <w:tcPr>
            <w:tcW w:w="440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9/1/2025</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8"/>
              </w:rPr>
              <w:t>3.571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3/23/2016</w:t>
            </w:r>
          </w:p>
        </w:tc>
        <w:tc>
          <w:tcPr>
            <w:tcW w:w="440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3/1/2026</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w w:val="88"/>
              </w:rPr>
              <w:t>3.267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3/23/2016</w:t>
            </w:r>
          </w:p>
        </w:tc>
        <w:tc>
          <w:tcPr>
            <w:tcW w:w="440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3/1/2026</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8"/>
              </w:rPr>
              <w:t>3.249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9/21/2016</w:t>
            </w:r>
          </w:p>
        </w:tc>
        <w:tc>
          <w:tcPr>
            <w:tcW w:w="440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9/1/2026</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w w:val="88"/>
              </w:rPr>
              <w:t>2.793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3/29/2017</w:t>
            </w:r>
          </w:p>
        </w:tc>
        <w:tc>
          <w:tcPr>
            <w:tcW w:w="440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3/1/2027</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8"/>
              </w:rPr>
              <w:t>3.587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9/20/2017</w:t>
            </w:r>
          </w:p>
        </w:tc>
        <w:tc>
          <w:tcPr>
            <w:tcW w:w="440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9/1/2027</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w w:val="88"/>
              </w:rPr>
              <w:t>3.260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9/20/2017</w:t>
            </w:r>
          </w:p>
        </w:tc>
        <w:tc>
          <w:tcPr>
            <w:tcW w:w="440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9/1/2027</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8"/>
              </w:rPr>
              <w:t>3.190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3/21/2018</w:t>
            </w:r>
          </w:p>
        </w:tc>
        <w:tc>
          <w:tcPr>
            <w:tcW w:w="440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3/1/2028</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w w:val="88"/>
              </w:rPr>
              <w:t>3.859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3/21/2018</w:t>
            </w:r>
          </w:p>
        </w:tc>
        <w:tc>
          <w:tcPr>
            <w:tcW w:w="440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3/1/2028</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8"/>
              </w:rPr>
              <w:t>3.534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9/19/2018</w:t>
            </w:r>
          </w:p>
        </w:tc>
        <w:tc>
          <w:tcPr>
            <w:tcW w:w="440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9/1/2028</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w w:val="88"/>
              </w:rPr>
              <w:t>3.895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9/19/2018</w:t>
            </w:r>
          </w:p>
        </w:tc>
        <w:tc>
          <w:tcPr>
            <w:tcW w:w="440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9/1/2028</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8"/>
              </w:rPr>
              <w:t>4.220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9/25/2019</w:t>
            </w:r>
          </w:p>
        </w:tc>
        <w:tc>
          <w:tcPr>
            <w:tcW w:w="4400" w:type="dxa"/>
            <w:vAlign w:val="bottom"/>
          </w:tcPr>
          <w:p>
            <w:pPr>
              <w:spacing w:after="0"/>
              <w:rPr>
                <w:sz w:val="19"/>
                <w:szCs w:val="19"/>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88"/>
              </w:rPr>
              <w:t>9/1/2029</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w w:val="88"/>
              </w:rPr>
              <w:t>2.377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outstanding SBA debentures</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157,500</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60" w:hanging="436"/>
        <w:spacing w:after="0" w:line="277"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SBA has two scheduled pooling dates for debentures (in March and in September). Certain debentures funded during the reporting periods may not be pooled until the subsequent pooling date.</w:t>
      </w:r>
    </w:p>
    <w:p>
      <w:pPr>
        <w:spacing w:after="0" w:line="170"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i w:val="1"/>
          <w:iCs w:val="1"/>
          <w:color w:val="auto"/>
        </w:rPr>
        <w:t xml:space="preserve">Public Notes: </w:t>
      </w:r>
      <w:r>
        <w:rPr>
          <w:rFonts w:ascii="Arial" w:cs="Arial" w:eastAsia="Arial" w:hAnsi="Arial"/>
          <w:sz w:val="16"/>
          <w:szCs w:val="16"/>
          <w:color w:val="auto"/>
        </w:rPr>
        <w:t>On February 2, 2018, the Company closed the public offering of approximately $43,478 in aggregate principal amount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5.875% notes 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w:t>
      </w:r>
    </w:p>
    <w:p>
      <w:pPr>
        <w:spacing w:after="0" w:line="154"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The 2023 Notes mature on February 1, 2023 and bear interest at a rate of 5.875%. The 2023 Notes may be redeemed in whole or in part at any time or from time to time at the Company’s option on or after February 1, 2020. Interest on the 2023 Notes is payable quarterly on February 1, May 1, August 1 and November 1 of each year. The 2023 Notes are listed on the NASDAQ Global Select Market under the trading symbol “FDUSL.”</w:t>
      </w:r>
    </w:p>
    <w:p>
      <w:pPr>
        <w:spacing w:after="0" w:line="14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On February 8, 2019, the Company closed the public offering of approximately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estimated offering expenses of $409, were approximately $66,521.</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February 2024 Notes mature on February 15, 2024 and bear interest at a rate of 6.000%. The February 2024 Notes may be redeemed in whole or in part at any time or from time to time at the Company’s option on or after February 15, 2021. Interest on the February 2024 Notes is payable quarterly on February 15, May 15, August 15 and November 15 of each year, beginning May 15, 2019. The February 2024 Notes are listed on the NASDAQ Global Select Market under the trading symbol “FDUSZ.”</w:t>
      </w:r>
    </w:p>
    <w:p>
      <w:pPr>
        <w:spacing w:after="0" w:line="187" w:lineRule="exact"/>
        <w:rPr>
          <w:sz w:val="20"/>
          <w:szCs w:val="20"/>
          <w:color w:val="auto"/>
        </w:rPr>
      </w:pPr>
    </w:p>
    <w:p>
      <w:pPr>
        <w:jc w:val="both"/>
        <w:ind w:left="200" w:right="160" w:firstLine="441"/>
        <w:spacing w:after="0" w:line="276" w:lineRule="auto"/>
        <w:rPr>
          <w:sz w:val="20"/>
          <w:szCs w:val="20"/>
          <w:color w:val="auto"/>
        </w:rPr>
      </w:pPr>
      <w:r>
        <w:rPr>
          <w:rFonts w:ascii="Arial" w:cs="Arial" w:eastAsia="Arial" w:hAnsi="Arial"/>
          <w:sz w:val="17"/>
          <w:szCs w:val="17"/>
          <w:color w:val="auto"/>
        </w:rPr>
        <w:t>On October 16, 2019, the Company closed the public offering of approximately $55,000 in aggregate principal amount of its 5.375% notes due 2024, or the “November 2024 Notes” (and collectively with the 2023 Notes and February 2024 Notes, the “Public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estimated offering expenses of $300, were approximately $61,053.</w:t>
      </w:r>
    </w:p>
    <w:p>
      <w:pPr>
        <w:sectPr>
          <w:pgSz w:w="11900" w:h="16838" w:orient="portrait"/>
          <w:cols w:equalWidth="0" w:num="1">
            <w:col w:w="11200"/>
          </w:cols>
          <w:pgMar w:left="240" w:top="459" w:right="459" w:bottom="1440" w:gutter="0" w:footer="0" w:header="0"/>
        </w:sectPr>
      </w:pP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200"/>
          </w:cols>
          <w:pgMar w:left="240" w:top="459" w:right="45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November 2024 Notes will mature on November 1, 2024 and bear interest at a rate of 5.375%. The November 2024 Notes may be redeemed in whole or in part at any time or from time to time at the Company’s option on or after November 1, 2021. Interest on the November 2024 Notes is payable quarterly on February 1, May 1, August 1 and November 1 of each year, beginning February 1, 2020. The November 2024 Notes are listed on the NASDAQ Global Select Market under the trading symbol “FDUSG.”</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Public Notes are unsecured obligations of the Company and rank pari passu with the Company’s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As of December 31, 2019, the aggregate amount outstanding of the senior securities issued by the Company was $207,250, for which our asset coverage was 298.9%. The SBA-guaranteed debentures are not subject to the asset coverage requirements of the 1940 Act as a result of exemptive relief granted to us by the SEC effective March 27, 2012.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and Financing Expenses</w:t>
      </w:r>
    </w:p>
    <w:p>
      <w:pPr>
        <w:spacing w:after="0" w:line="11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Interest and fees related to the Company’s debt for the years ended December 31, 2019, 2018 and 2017 which are included in interest and financing expenses on the consolidated statements of operations, were as follows: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Year Ended</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Year Ended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5"/>
          </w:tcPr>
          <w:p>
            <w:pPr>
              <w:jc w:val="right"/>
              <w:ind w:right="270"/>
              <w:spacing w:after="0"/>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3"/>
                <w:szCs w:val="13"/>
                <w:b w:val="1"/>
                <w:bCs w:val="1"/>
                <w:color w:val="auto"/>
                <w:w w:val="88"/>
              </w:rPr>
              <w:t>December 31, 2019</w:t>
            </w: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3"/>
                <w:szCs w:val="13"/>
                <w:b w:val="1"/>
                <w:bCs w:val="1"/>
                <w:color w:val="auto"/>
                <w:w w:val="87"/>
              </w:rPr>
              <w:t>December 31, 2018</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3"/>
                <w:szCs w:val="13"/>
                <w:b w:val="1"/>
                <w:bCs w:val="1"/>
                <w:color w:val="auto"/>
                <w:w w:val="90"/>
              </w:rPr>
              <w:t>December 31, 2017</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right"/>
              <w:ind w:right="360"/>
              <w:spacing w:after="0" w:line="110" w:lineRule="exact"/>
              <w:rPr>
                <w:sz w:val="20"/>
                <w:szCs w:val="20"/>
                <w:color w:val="auto"/>
              </w:rPr>
            </w:pPr>
            <w:r>
              <w:rPr>
                <w:rFonts w:ascii="Arial" w:cs="Arial" w:eastAsia="Arial" w:hAnsi="Arial"/>
                <w:sz w:val="12"/>
                <w:szCs w:val="12"/>
                <w:b w:val="1"/>
                <w:bCs w:val="1"/>
                <w:color w:val="auto"/>
              </w:rPr>
              <w:t>SBA</w:t>
            </w:r>
          </w:p>
        </w:tc>
        <w:tc>
          <w:tcPr>
            <w:tcW w:w="60" w:type="dxa"/>
            <w:vAlign w:val="bottom"/>
          </w:tcPr>
          <w:p>
            <w:pPr>
              <w:spacing w:after="0"/>
              <w:rPr>
                <w:sz w:val="9"/>
                <w:szCs w:val="9"/>
                <w:color w:val="auto"/>
              </w:rPr>
            </w:pPr>
          </w:p>
        </w:tc>
        <w:tc>
          <w:tcPr>
            <w:tcW w:w="760" w:type="dxa"/>
            <w:vAlign w:val="bottom"/>
            <w:gridSpan w:val="2"/>
          </w:tcPr>
          <w:p>
            <w:pPr>
              <w:jc w:val="right"/>
              <w:ind w:right="380"/>
              <w:spacing w:after="0" w:line="110" w:lineRule="exact"/>
              <w:rPr>
                <w:sz w:val="20"/>
                <w:szCs w:val="20"/>
                <w:color w:val="auto"/>
              </w:rPr>
            </w:pPr>
            <w:r>
              <w:rPr>
                <w:rFonts w:ascii="Arial" w:cs="Arial" w:eastAsia="Arial" w:hAnsi="Arial"/>
                <w:sz w:val="12"/>
                <w:szCs w:val="12"/>
                <w:b w:val="1"/>
                <w:bCs w:val="1"/>
                <w:color w:val="auto"/>
              </w:rPr>
              <w:t>Credit</w:t>
            </w:r>
          </w:p>
        </w:tc>
        <w:tc>
          <w:tcPr>
            <w:tcW w:w="60" w:type="dxa"/>
            <w:vAlign w:val="bottom"/>
          </w:tcPr>
          <w:p>
            <w:pPr>
              <w:spacing w:after="0"/>
              <w:rPr>
                <w:sz w:val="9"/>
                <w:szCs w:val="9"/>
                <w:color w:val="auto"/>
              </w:rPr>
            </w:pPr>
          </w:p>
        </w:tc>
        <w:tc>
          <w:tcPr>
            <w:tcW w:w="580" w:type="dxa"/>
            <w:vAlign w:val="bottom"/>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w w:val="94"/>
              </w:rPr>
              <w:t>Public</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right"/>
              <w:ind w:right="340"/>
              <w:spacing w:after="0" w:line="110" w:lineRule="exact"/>
              <w:rPr>
                <w:sz w:val="20"/>
                <w:szCs w:val="20"/>
                <w:color w:val="auto"/>
              </w:rPr>
            </w:pPr>
            <w:r>
              <w:rPr>
                <w:rFonts w:ascii="Arial" w:cs="Arial" w:eastAsia="Arial" w:hAnsi="Arial"/>
                <w:sz w:val="12"/>
                <w:szCs w:val="12"/>
                <w:b w:val="1"/>
                <w:bCs w:val="1"/>
                <w:color w:val="auto"/>
              </w:rPr>
              <w:t>SBA</w:t>
            </w:r>
          </w:p>
        </w:tc>
        <w:tc>
          <w:tcPr>
            <w:tcW w:w="80" w:type="dxa"/>
            <w:vAlign w:val="bottom"/>
          </w:tcPr>
          <w:p>
            <w:pPr>
              <w:spacing w:after="0"/>
              <w:rPr>
                <w:sz w:val="9"/>
                <w:szCs w:val="9"/>
                <w:color w:val="auto"/>
              </w:rPr>
            </w:pPr>
          </w:p>
        </w:tc>
        <w:tc>
          <w:tcPr>
            <w:tcW w:w="58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rPr>
              <w:t>Credit</w:t>
            </w:r>
          </w:p>
        </w:tc>
        <w:tc>
          <w:tcPr>
            <w:tcW w:w="60" w:type="dxa"/>
            <w:vAlign w:val="bottom"/>
          </w:tcPr>
          <w:p>
            <w:pPr>
              <w:spacing w:after="0"/>
              <w:rPr>
                <w:sz w:val="9"/>
                <w:szCs w:val="9"/>
                <w:color w:val="auto"/>
              </w:rPr>
            </w:pPr>
          </w:p>
        </w:tc>
        <w:tc>
          <w:tcPr>
            <w:tcW w:w="580" w:type="dxa"/>
            <w:vAlign w:val="bottom"/>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w w:val="94"/>
              </w:rPr>
              <w:t>Public</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right"/>
              <w:ind w:right="297"/>
              <w:spacing w:after="0" w:line="110" w:lineRule="exact"/>
              <w:rPr>
                <w:sz w:val="20"/>
                <w:szCs w:val="20"/>
                <w:color w:val="auto"/>
              </w:rPr>
            </w:pPr>
            <w:r>
              <w:rPr>
                <w:rFonts w:ascii="Arial" w:cs="Arial" w:eastAsia="Arial" w:hAnsi="Arial"/>
                <w:sz w:val="12"/>
                <w:szCs w:val="12"/>
                <w:b w:val="1"/>
                <w:bCs w:val="1"/>
                <w:color w:val="auto"/>
              </w:rPr>
              <w:t>SBA</w:t>
            </w:r>
          </w:p>
        </w:tc>
        <w:tc>
          <w:tcPr>
            <w:tcW w:w="60" w:type="dxa"/>
            <w:vAlign w:val="bottom"/>
          </w:tcPr>
          <w:p>
            <w:pPr>
              <w:spacing w:after="0"/>
              <w:rPr>
                <w:sz w:val="9"/>
                <w:szCs w:val="9"/>
                <w:color w:val="auto"/>
              </w:rPr>
            </w:pPr>
          </w:p>
        </w:tc>
        <w:tc>
          <w:tcPr>
            <w:tcW w:w="580" w:type="dxa"/>
            <w:vAlign w:val="bottom"/>
            <w:gridSpan w:val="3"/>
          </w:tcPr>
          <w:p>
            <w:pPr>
              <w:jc w:val="right"/>
              <w:ind w:right="200"/>
              <w:spacing w:after="0" w:line="110" w:lineRule="exact"/>
              <w:rPr>
                <w:sz w:val="20"/>
                <w:szCs w:val="20"/>
                <w:color w:val="auto"/>
              </w:rPr>
            </w:pPr>
            <w:r>
              <w:rPr>
                <w:rFonts w:ascii="Arial" w:cs="Arial" w:eastAsia="Arial" w:hAnsi="Arial"/>
                <w:sz w:val="12"/>
                <w:szCs w:val="12"/>
                <w:b w:val="1"/>
                <w:bCs w:val="1"/>
                <w:color w:val="auto"/>
              </w:rPr>
              <w:t>Credit</w:t>
            </w:r>
          </w:p>
        </w:tc>
        <w:tc>
          <w:tcPr>
            <w:tcW w:w="42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Public</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1"/>
              </w:rPr>
              <w:t>debentures</w:t>
            </w:r>
          </w:p>
        </w:tc>
        <w:tc>
          <w:tcPr>
            <w:tcW w:w="82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98"/>
              </w:rPr>
              <w:t>Facility</w:t>
            </w:r>
          </w:p>
        </w:tc>
        <w:tc>
          <w:tcPr>
            <w:tcW w:w="6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8"/>
              </w:rPr>
              <w:t>Notes</w:t>
            </w:r>
          </w:p>
        </w:tc>
        <w:tc>
          <w:tcPr>
            <w:tcW w:w="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820" w:type="dxa"/>
            <w:vAlign w:val="bottom"/>
            <w:gridSpan w:val="4"/>
          </w:tcPr>
          <w:p>
            <w:pPr>
              <w:ind w:left="60"/>
              <w:spacing w:after="0"/>
              <w:rPr>
                <w:sz w:val="20"/>
                <w:szCs w:val="20"/>
                <w:color w:val="auto"/>
              </w:rPr>
            </w:pPr>
            <w:r>
              <w:rPr>
                <w:rFonts w:ascii="Arial" w:cs="Arial" w:eastAsia="Arial" w:hAnsi="Arial"/>
                <w:sz w:val="13"/>
                <w:szCs w:val="13"/>
                <w:b w:val="1"/>
                <w:bCs w:val="1"/>
                <w:color w:val="auto"/>
              </w:rPr>
              <w:t>debentures</w:t>
            </w:r>
          </w:p>
        </w:tc>
        <w:tc>
          <w:tcPr>
            <w:tcW w:w="6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Facility</w:t>
            </w:r>
          </w:p>
        </w:tc>
        <w:tc>
          <w:tcPr>
            <w:tcW w:w="6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8"/>
              </w:rPr>
              <w:t>Notes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9"/>
              </w:rPr>
              <w:t>Total</w:t>
            </w:r>
          </w:p>
        </w:tc>
        <w:tc>
          <w:tcPr>
            <w:tcW w:w="820" w:type="dxa"/>
            <w:vAlign w:val="bottom"/>
            <w:gridSpan w:val="4"/>
          </w:tcPr>
          <w:p>
            <w:pPr>
              <w:jc w:val="right"/>
              <w:ind w:right="117"/>
              <w:spacing w:after="0"/>
              <w:rPr>
                <w:sz w:val="20"/>
                <w:szCs w:val="20"/>
                <w:color w:val="auto"/>
              </w:rPr>
            </w:pPr>
            <w:r>
              <w:rPr>
                <w:rFonts w:ascii="Arial" w:cs="Arial" w:eastAsia="Arial" w:hAnsi="Arial"/>
                <w:sz w:val="13"/>
                <w:szCs w:val="13"/>
                <w:b w:val="1"/>
                <w:bCs w:val="1"/>
                <w:color w:val="auto"/>
                <w:w w:val="88"/>
              </w:rPr>
              <w:t>debentures</w:t>
            </w:r>
          </w:p>
        </w:tc>
        <w:tc>
          <w:tcPr>
            <w:tcW w:w="64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8"/>
              </w:rPr>
              <w:t>Facility</w:t>
            </w: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w w:val="82"/>
              </w:rPr>
              <w:t>Notes</w:t>
            </w:r>
          </w:p>
        </w:tc>
        <w:tc>
          <w:tcPr>
            <w:tcW w:w="10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Stated interest expense</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5,746</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$ 2,144</w:t>
            </w:r>
          </w:p>
        </w:tc>
        <w:tc>
          <w:tcPr>
            <w:tcW w:w="3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$7,330</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$ 15,220</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7,460</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$ 1,145</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$2,684</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11,289</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8,122</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526</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rPr>
              <w:t>$ —</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$8,648</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Amortization of deferred financing costs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917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1,852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289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349</w:t>
            </w:r>
          </w:p>
        </w:tc>
        <w:tc>
          <w:tcPr>
            <w:tcW w:w="18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1,370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807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1,155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interest and financing expenses</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6,347</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$ 2,478</w:t>
            </w:r>
          </w:p>
        </w:tc>
        <w:tc>
          <w:tcPr>
            <w:tcW w:w="3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8,247</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 xml:space="preserve"> 17,072</w:t>
            </w: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8,192</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$ 1,434</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3,033</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12,659</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8,929</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 —</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9,803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Arial" w:cs="Arial" w:eastAsia="Arial" w:hAnsi="Arial"/>
                <w:sz w:val="14"/>
                <w:szCs w:val="14"/>
                <w:color w:val="auto"/>
                <w:w w:val="93"/>
              </w:rPr>
              <w:t>Weighted average stated interest rate, period</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Arial" w:cs="Arial" w:eastAsia="Arial" w:hAnsi="Arial"/>
                <w:sz w:val="14"/>
                <w:szCs w:val="14"/>
                <w:color w:val="auto"/>
              </w:rPr>
              <w:t>end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3.392%</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4.788%</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5.749%</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4.665%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3.344%</w:t>
            </w: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6.000%</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5.875%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4.149%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3.526%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5.082%</w:t>
            </w: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N/A</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3.599%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Unused commitment fee rate, period end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xml:space="preserve">0.833% </w:t>
            </w:r>
            <w:r>
              <w:rPr>
                <w:rFonts w:ascii="Arial" w:cs="Arial" w:eastAsia="Arial" w:hAnsi="Arial"/>
                <w:sz w:val="12"/>
                <w:szCs w:val="12"/>
                <w:color w:val="auto"/>
              </w:rPr>
              <w:t>(1)</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0.833%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0.500%</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1.000%</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Reflects the effective rate as of 12/31/2019</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Realized Losses on Extinguishment of Debt</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During the years ended December 31, 2019 and 2018, the Company prepaid $41,000 and $67,300 of SBA debentures, respectively, which were scheduled to mature on dates ranging from 2021 to 2025 and 2019 to 2022, respectively. As a result of the prepayments, the Company recognized realized losses on extinguishment of debt of $399 and $297, respectively, equal to the write-off of the related unamortized deferred financing costs, during the years ended December 31, 2019 and 2018.</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SBA debentures, Credit Facility, and Public Notes as of December 31, 2019 and 2018 were as follows: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6"/>
              </w:rPr>
              <w:t>December 31, 2019</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74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Credit</w:t>
            </w:r>
          </w:p>
        </w:tc>
        <w:tc>
          <w:tcPr>
            <w:tcW w:w="120" w:type="dxa"/>
            <w:vAlign w:val="bottom"/>
          </w:tcPr>
          <w:p>
            <w:pPr>
              <w:spacing w:after="0"/>
              <w:rPr>
                <w:sz w:val="10"/>
                <w:szCs w:val="10"/>
                <w:color w:val="auto"/>
              </w:rPr>
            </w:pPr>
          </w:p>
        </w:tc>
        <w:tc>
          <w:tcPr>
            <w:tcW w:w="72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Public</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SBA</w:t>
            </w:r>
          </w:p>
        </w:tc>
        <w:tc>
          <w:tcPr>
            <w:tcW w:w="120" w:type="dxa"/>
            <w:vAlign w:val="bottom"/>
          </w:tcPr>
          <w:p>
            <w:pPr>
              <w:spacing w:after="0"/>
              <w:rPr>
                <w:sz w:val="10"/>
                <w:szCs w:val="10"/>
                <w:color w:val="auto"/>
              </w:rPr>
            </w:pPr>
          </w:p>
        </w:tc>
        <w:tc>
          <w:tcPr>
            <w:tcW w:w="7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Credit</w:t>
            </w:r>
          </w:p>
        </w:tc>
        <w:tc>
          <w:tcPr>
            <w:tcW w:w="120" w:type="dxa"/>
            <w:vAlign w:val="bottom"/>
          </w:tcPr>
          <w:p>
            <w:pPr>
              <w:spacing w:after="0"/>
              <w:rPr>
                <w:sz w:val="10"/>
                <w:szCs w:val="10"/>
                <w:color w:val="auto"/>
              </w:rPr>
            </w:pPr>
          </w:p>
        </w:tc>
        <w:tc>
          <w:tcPr>
            <w:tcW w:w="68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80" w:type="dxa"/>
            <w:vAlign w:val="bottom"/>
            <w:gridSpan w:val="4"/>
          </w:tcPr>
          <w:p>
            <w:pPr>
              <w:ind w:left="120"/>
              <w:spacing w:after="0"/>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4"/>
                <w:szCs w:val="14"/>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 commitment fees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SBA debenture leverage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upfront fees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Public Notes underwriting discounts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Public Notes debt issue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 deferred financing costs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15,079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(1,793)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(4,931)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(1,459)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(7,818)</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Unamortized deferred financing costs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142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240" w:top="459" w:right="419" w:bottom="1440" w:gutter="0" w:footer="0" w:header="0"/>
        </w:sectPr>
      </w:pPr>
    </w:p>
    <w:p>
      <w:pPr>
        <w:jc w:val="center"/>
        <w:ind w:right="-179"/>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240"/>
          </w:cols>
          <w:pgMar w:left="240" w:top="459" w:right="41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Unamortized deferred financing costs are presented as a direct offset to the SBA debentures, Credit Facility, and Public Notes liabilities on the consolidated statements of assets and liabilities. The following table summarizes the outstanding debt net of unamortized deferred financing costs as of December 31, 2019 and 2018:</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7"/>
          </w:tcPr>
          <w:p>
            <w:pPr>
              <w:jc w:val="right"/>
              <w:ind w:right="188"/>
              <w:spacing w:after="0"/>
              <w:rPr>
                <w:sz w:val="20"/>
                <w:szCs w:val="20"/>
                <w:color w:val="auto"/>
              </w:rPr>
            </w:pPr>
            <w:r>
              <w:rPr>
                <w:rFonts w:ascii="Arial" w:cs="Arial" w:eastAsia="Arial" w:hAnsi="Arial"/>
                <w:sz w:val="14"/>
                <w:szCs w:val="14"/>
                <w:b w:val="1"/>
                <w:bCs w:val="1"/>
                <w:color w:val="auto"/>
                <w:w w:val="98"/>
              </w:rPr>
              <w:t>December 31, 2018</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SBA</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Credit</w:t>
            </w:r>
          </w:p>
        </w:tc>
        <w:tc>
          <w:tcPr>
            <w:tcW w:w="80" w:type="dxa"/>
            <w:vAlign w:val="bottom"/>
          </w:tcPr>
          <w:p>
            <w:pPr>
              <w:spacing w:after="0"/>
              <w:rPr>
                <w:sz w:val="10"/>
                <w:szCs w:val="10"/>
                <w:color w:val="auto"/>
              </w:rPr>
            </w:pPr>
          </w:p>
        </w:tc>
        <w:tc>
          <w:tcPr>
            <w:tcW w:w="8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Public</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SBA</w:t>
            </w:r>
          </w:p>
        </w:tc>
        <w:tc>
          <w:tcPr>
            <w:tcW w:w="140" w:type="dxa"/>
            <w:vAlign w:val="bottom"/>
          </w:tcPr>
          <w:p>
            <w:pPr>
              <w:spacing w:after="0"/>
              <w:rPr>
                <w:sz w:val="10"/>
                <w:szCs w:val="10"/>
                <w:color w:val="auto"/>
              </w:rPr>
            </w:pPr>
          </w:p>
        </w:tc>
        <w:tc>
          <w:tcPr>
            <w:tcW w:w="580" w:type="dxa"/>
            <w:vAlign w:val="bottom"/>
            <w:gridSpan w:val="2"/>
          </w:tcPr>
          <w:p>
            <w:pPr>
              <w:jc w:val="right"/>
              <w:ind w:right="27"/>
              <w:spacing w:after="0" w:line="119" w:lineRule="exact"/>
              <w:rPr>
                <w:sz w:val="20"/>
                <w:szCs w:val="20"/>
                <w:color w:val="auto"/>
              </w:rPr>
            </w:pPr>
            <w:r>
              <w:rPr>
                <w:rFonts w:ascii="Arial" w:cs="Arial" w:eastAsia="Arial" w:hAnsi="Arial"/>
                <w:sz w:val="13"/>
                <w:szCs w:val="13"/>
                <w:b w:val="1"/>
                <w:bCs w:val="1"/>
                <w:color w:val="auto"/>
              </w:rPr>
              <w:t>Credit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tcPr>
          <w:p>
            <w:pPr>
              <w:jc w:val="right"/>
              <w:ind w:right="148"/>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debentures</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Notes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debentures</w:t>
            </w: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Facility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w w:val="92"/>
              </w:rPr>
              <w:t>Notes</w:t>
            </w: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debt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$157,500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$182,250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$364,750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$191,000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$36,500</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$277,500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Less: unamortized deferred financing costs</w:t>
            </w:r>
          </w:p>
        </w:tc>
        <w:tc>
          <w:tcPr>
            <w:tcW w:w="5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(3,698)</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(1,101)</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(5,349)</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(10,148)</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(4,266)</w:t>
            </w:r>
          </w:p>
        </w:tc>
        <w:tc>
          <w:tcPr>
            <w:tcW w:w="940" w:type="dxa"/>
            <w:vAlign w:val="bottom"/>
            <w:gridSpan w:val="4"/>
          </w:tcPr>
          <w:p>
            <w:pPr>
              <w:jc w:val="right"/>
              <w:ind w:right="7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8"/>
              </w:rPr>
              <w:t>(1,589)</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net of deferred financing costs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153,802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23,899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176,901</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354,602</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186,734</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36,358</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48,411</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520" w:type="dxa"/>
            <w:vAlign w:val="bottom"/>
            <w:gridSpan w:val="16"/>
          </w:tcPr>
          <w:p>
            <w:pPr>
              <w:ind w:left="420"/>
              <w:spacing w:after="0"/>
              <w:rPr>
                <w:sz w:val="20"/>
                <w:szCs w:val="20"/>
                <w:color w:val="auto"/>
              </w:rPr>
            </w:pPr>
            <w:r>
              <w:rPr>
                <w:rFonts w:ascii="Arial" w:cs="Arial" w:eastAsia="Arial" w:hAnsi="Arial"/>
                <w:sz w:val="18"/>
                <w:szCs w:val="18"/>
                <w:color w:val="auto"/>
                <w:w w:val="93"/>
              </w:rPr>
              <w:t xml:space="preserve">As of December 31, 2019, the Company’s debt liabilities are scheduled to mature as follows </w:t>
            </w:r>
            <w:r>
              <w:rPr>
                <w:rFonts w:ascii="Arial" w:cs="Arial" w:eastAsia="Arial" w:hAnsi="Arial"/>
                <w:sz w:val="15"/>
                <w:szCs w:val="15"/>
                <w:color w:val="auto"/>
                <w:w w:val="93"/>
              </w:rPr>
              <w:t>(1)</w:t>
            </w:r>
            <w:r>
              <w:rPr>
                <w:rFonts w:ascii="Arial" w:cs="Arial" w:eastAsia="Arial" w:hAnsi="Arial"/>
                <w:sz w:val="18"/>
                <w:szCs w:val="18"/>
                <w:color w:val="auto"/>
                <w:w w:val="93"/>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6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Year</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SBA</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Credit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Public</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20" w:type="dxa"/>
            <w:vAlign w:val="bottom"/>
            <w:gridSpan w:val="3"/>
            <w:vMerge w:val="continue"/>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87"/>
              </w:rPr>
              <w:t>debentures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line="158" w:lineRule="exact"/>
              <w:rPr>
                <w:sz w:val="20"/>
                <w:szCs w:val="20"/>
                <w:color w:val="auto"/>
              </w:rPr>
            </w:pPr>
            <w:r>
              <w:rPr>
                <w:rFonts w:ascii="Arial" w:cs="Arial" w:eastAsia="Arial" w:hAnsi="Arial"/>
                <w:sz w:val="14"/>
                <w:szCs w:val="14"/>
                <w:b w:val="1"/>
                <w:bCs w:val="1"/>
                <w:color w:val="auto"/>
              </w:rPr>
              <w:t>Facility</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3"/>
          </w:tcPr>
          <w:p>
            <w:pPr>
              <w:jc w:val="right"/>
              <w:ind w:right="90"/>
              <w:spacing w:after="0" w:line="158" w:lineRule="exact"/>
              <w:rPr>
                <w:sz w:val="20"/>
                <w:szCs w:val="20"/>
                <w:color w:val="auto"/>
              </w:rPr>
            </w:pPr>
            <w:r>
              <w:rPr>
                <w:rFonts w:ascii="Arial" w:cs="Arial" w:eastAsia="Arial" w:hAnsi="Arial"/>
                <w:sz w:val="14"/>
                <w:szCs w:val="14"/>
                <w:b w:val="1"/>
                <w:bCs w:val="1"/>
                <w:color w:val="auto"/>
              </w:rPr>
              <w:t>Notes</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ind w:right="54"/>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50,000</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132,250</w:t>
            </w:r>
          </w:p>
        </w:tc>
        <w:tc>
          <w:tcPr>
            <w:tcW w:w="10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158,250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156,500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156,500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157,500</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25,000</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182,250</w:t>
            </w:r>
          </w:p>
        </w:tc>
        <w:tc>
          <w:tcPr>
            <w:tcW w:w="10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364,750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360" w:hanging="436"/>
        <w:spacing w:after="0" w:line="264"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our senior securities is shown in the following table for the years indicated in the table, unless otherwise noted.</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 Amount</w:t>
            </w:r>
          </w:p>
        </w:tc>
        <w:tc>
          <w:tcPr>
            <w:tcW w:w="18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Asset Coverage per</w:t>
            </w:r>
          </w:p>
        </w:tc>
        <w:tc>
          <w:tcPr>
            <w:tcW w:w="2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Involuntary Liquidation</w:t>
            </w:r>
          </w:p>
        </w:tc>
        <w:tc>
          <w:tcPr>
            <w:tcW w:w="17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w w:val="97"/>
              </w:rPr>
              <w:t>Average Market Value</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2300" w:type="dxa"/>
            <w:vAlign w:val="bottom"/>
            <w:gridSpan w:val="2"/>
          </w:tcPr>
          <w:p>
            <w:pPr>
              <w:jc w:val="right"/>
              <w:ind w:right="271"/>
              <w:spacing w:after="0" w:line="149" w:lineRule="exact"/>
              <w:rPr>
                <w:sz w:val="20"/>
                <w:szCs w:val="20"/>
                <w:color w:val="auto"/>
              </w:rPr>
            </w:pPr>
            <w:r>
              <w:rPr>
                <w:rFonts w:ascii="Arial" w:cs="Arial" w:eastAsia="Arial" w:hAnsi="Arial"/>
                <w:sz w:val="14"/>
                <w:szCs w:val="14"/>
                <w:b w:val="1"/>
                <w:bCs w:val="1"/>
                <w:color w:val="auto"/>
              </w:rPr>
              <w:t>Outstanding Exclusive</w:t>
            </w:r>
          </w:p>
        </w:tc>
        <w:tc>
          <w:tcPr>
            <w:tcW w:w="1860" w:type="dxa"/>
            <w:vAlign w:val="bottom"/>
            <w:gridSpan w:val="2"/>
            <w:vMerge w:val="continue"/>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80" w:type="dxa"/>
            <w:vAlign w:val="bottom"/>
            <w:gridSpan w:val="2"/>
            <w:vMerge w:val="continue"/>
          </w:tcPr>
          <w:p>
            <w:pPr>
              <w:spacing w:after="0"/>
              <w:rPr>
                <w:sz w:val="13"/>
                <w:szCs w:val="13"/>
                <w:color w:val="auto"/>
              </w:rPr>
            </w:pPr>
          </w:p>
        </w:tc>
        <w:tc>
          <w:tcPr>
            <w:tcW w:w="230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xml:space="preserve">of Treasury Securities </w:t>
            </w:r>
            <w:r>
              <w:rPr>
                <w:rFonts w:ascii="Arial" w:cs="Arial" w:eastAsia="Arial" w:hAnsi="Arial"/>
                <w:sz w:val="12"/>
                <w:szCs w:val="12"/>
                <w:b w:val="1"/>
                <w:bCs w:val="1"/>
                <w:color w:val="auto"/>
              </w:rPr>
              <w:t>(1)</w:t>
            </w:r>
          </w:p>
        </w:tc>
        <w:tc>
          <w:tcPr>
            <w:tcW w:w="540" w:type="dxa"/>
            <w:vAlign w:val="bottom"/>
          </w:tcPr>
          <w:p>
            <w:pPr>
              <w:spacing w:after="0"/>
              <w:rPr>
                <w:sz w:val="13"/>
                <w:szCs w:val="13"/>
                <w:color w:val="auto"/>
              </w:rPr>
            </w:pPr>
          </w:p>
        </w:tc>
        <w:tc>
          <w:tcPr>
            <w:tcW w:w="1320" w:type="dxa"/>
            <w:vAlign w:val="bottom"/>
          </w:tcPr>
          <w:p>
            <w:pPr>
              <w:jc w:val="right"/>
              <w:ind w:right="591"/>
              <w:spacing w:after="0" w:line="153"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2"/>
                <w:szCs w:val="12"/>
                <w:b w:val="1"/>
                <w:bCs w:val="1"/>
                <w:color w:val="auto"/>
              </w:rPr>
              <w:t>(2)(5)</w:t>
            </w:r>
          </w:p>
        </w:tc>
        <w:tc>
          <w:tcPr>
            <w:tcW w:w="2060" w:type="dxa"/>
            <w:vAlign w:val="bottom"/>
            <w:gridSpan w:val="2"/>
          </w:tcPr>
          <w:p>
            <w:pPr>
              <w:jc w:val="right"/>
              <w:ind w:right="250"/>
              <w:spacing w:after="0" w:line="153" w:lineRule="exact"/>
              <w:rPr>
                <w:sz w:val="20"/>
                <w:szCs w:val="20"/>
                <w:color w:val="auto"/>
              </w:rPr>
            </w:pPr>
            <w:r>
              <w:rPr>
                <w:rFonts w:ascii="Arial" w:cs="Arial" w:eastAsia="Arial" w:hAnsi="Arial"/>
                <w:sz w:val="14"/>
                <w:szCs w:val="14"/>
                <w:b w:val="1"/>
                <w:bCs w:val="1"/>
                <w:color w:val="auto"/>
              </w:rPr>
              <w:t xml:space="preserve">Preference per Unit </w:t>
            </w: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22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 xml:space="preserve">per Unit </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gridSpan w:val="2"/>
          </w:tcPr>
          <w:p>
            <w:pPr>
              <w:ind w:left="800"/>
              <w:spacing w:after="0"/>
              <w:rPr>
                <w:sz w:val="20"/>
                <w:szCs w:val="20"/>
                <w:color w:val="auto"/>
              </w:rPr>
            </w:pPr>
            <w:r>
              <w:rPr>
                <w:rFonts w:ascii="Arial" w:cs="Arial" w:eastAsia="Arial" w:hAnsi="Arial"/>
                <w:sz w:val="14"/>
                <w:szCs w:val="14"/>
                <w:i w:val="1"/>
                <w:iCs w:val="1"/>
                <w:color w:val="auto"/>
                <w:w w:val="98"/>
              </w:rPr>
              <w:t>(dollars in thousands)</w:t>
            </w: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SBA debentures</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2010</w:t>
            </w:r>
          </w:p>
        </w:tc>
        <w:tc>
          <w:tcPr>
            <w:tcW w:w="700" w:type="dxa"/>
            <w:vAlign w:val="bottom"/>
          </w:tcPr>
          <w:p>
            <w:pPr>
              <w:ind w:left="5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93,500</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1,556</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104,000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2,351</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2012</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144,500</w:t>
            </w:r>
          </w:p>
        </w:tc>
        <w:tc>
          <w:tcPr>
            <w:tcW w:w="540" w:type="dxa"/>
            <w:vAlign w:val="bottom"/>
          </w:tcPr>
          <w:p>
            <w:pPr>
              <w:spacing w:after="0"/>
              <w:rPr>
                <w:sz w:val="18"/>
                <w:szCs w:val="18"/>
                <w:color w:val="auto"/>
              </w:rPr>
            </w:pP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144,500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173,500</w:t>
            </w:r>
          </w:p>
        </w:tc>
        <w:tc>
          <w:tcPr>
            <w:tcW w:w="540" w:type="dxa"/>
            <w:vAlign w:val="bottom"/>
          </w:tcPr>
          <w:p>
            <w:pPr>
              <w:spacing w:after="0"/>
              <w:rPr>
                <w:sz w:val="18"/>
                <w:szCs w:val="18"/>
                <w:color w:val="auto"/>
              </w:rPr>
            </w:pP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213,500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2016</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224,000</w:t>
            </w:r>
          </w:p>
        </w:tc>
        <w:tc>
          <w:tcPr>
            <w:tcW w:w="540" w:type="dxa"/>
            <w:vAlign w:val="bottom"/>
          </w:tcPr>
          <w:p>
            <w:pPr>
              <w:spacing w:after="0"/>
              <w:rPr>
                <w:sz w:val="18"/>
                <w:szCs w:val="18"/>
                <w:color w:val="auto"/>
              </w:rPr>
            </w:pP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231,300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2018</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191,000</w:t>
            </w:r>
          </w:p>
        </w:tc>
        <w:tc>
          <w:tcPr>
            <w:tcW w:w="540" w:type="dxa"/>
            <w:vAlign w:val="bottom"/>
          </w:tcPr>
          <w:p>
            <w:pPr>
              <w:spacing w:after="0"/>
              <w:rPr>
                <w:sz w:val="18"/>
                <w:szCs w:val="18"/>
                <w:color w:val="auto"/>
              </w:rPr>
            </w:pPr>
          </w:p>
        </w:tc>
        <w:tc>
          <w:tcPr>
            <w:tcW w:w="13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157,500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Credit Facility</w:t>
            </w: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2011</w:t>
            </w:r>
          </w:p>
        </w:tc>
        <w:tc>
          <w:tcPr>
            <w:tcW w:w="700" w:type="dxa"/>
            <w:vAlign w:val="bottom"/>
          </w:tcPr>
          <w:p>
            <w:pPr>
              <w:spacing w:after="0"/>
              <w:rPr>
                <w:sz w:val="18"/>
                <w:szCs w:val="18"/>
                <w:color w:val="auto"/>
              </w:rPr>
            </w:pPr>
          </w:p>
        </w:tc>
        <w:tc>
          <w:tcPr>
            <w:tcW w:w="160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N/A</w:t>
            </w:r>
          </w:p>
        </w:tc>
        <w:tc>
          <w:tcPr>
            <w:tcW w:w="102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2013</w:t>
            </w:r>
          </w:p>
        </w:tc>
        <w:tc>
          <w:tcPr>
            <w:tcW w:w="700" w:type="dxa"/>
            <w:vAlign w:val="bottom"/>
          </w:tcPr>
          <w:p>
            <w:pPr>
              <w:spacing w:after="0"/>
              <w:rPr>
                <w:sz w:val="18"/>
                <w:szCs w:val="18"/>
                <w:color w:val="auto"/>
              </w:rPr>
            </w:pPr>
          </w:p>
        </w:tc>
        <w:tc>
          <w:tcPr>
            <w:tcW w:w="160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N/A</w:t>
            </w:r>
          </w:p>
        </w:tc>
        <w:tc>
          <w:tcPr>
            <w:tcW w:w="102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25,326</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2015</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15,500</w:t>
            </w:r>
          </w:p>
        </w:tc>
        <w:tc>
          <w:tcPr>
            <w:tcW w:w="540" w:type="dxa"/>
            <w:vAlign w:val="bottom"/>
          </w:tcPr>
          <w:p>
            <w:pPr>
              <w:spacing w:after="0"/>
              <w:rPr>
                <w:sz w:val="18"/>
                <w:szCs w:val="18"/>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16,959</w:t>
            </w:r>
          </w:p>
        </w:tc>
        <w:tc>
          <w:tcPr>
            <w:tcW w:w="102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2017</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11,500</w:t>
            </w:r>
          </w:p>
        </w:tc>
        <w:tc>
          <w:tcPr>
            <w:tcW w:w="540" w:type="dxa"/>
            <w:vAlign w:val="bottom"/>
          </w:tcPr>
          <w:p>
            <w:pPr>
              <w:spacing w:after="0"/>
              <w:rPr>
                <w:sz w:val="18"/>
                <w:szCs w:val="18"/>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35,198</w:t>
            </w:r>
          </w:p>
        </w:tc>
        <w:tc>
          <w:tcPr>
            <w:tcW w:w="102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36,500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5,659</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2019</w:t>
            </w:r>
          </w:p>
        </w:tc>
        <w:tc>
          <w:tcPr>
            <w:tcW w:w="700" w:type="dxa"/>
            <w:vAlign w:val="bottom"/>
          </w:tcPr>
          <w:p>
            <w:pPr>
              <w:spacing w:after="0"/>
              <w:rPr>
                <w:sz w:val="18"/>
                <w:szCs w:val="18"/>
                <w:color w:val="auto"/>
              </w:rPr>
            </w:pP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25,000</w:t>
            </w:r>
          </w:p>
        </w:tc>
        <w:tc>
          <w:tcPr>
            <w:tcW w:w="540" w:type="dxa"/>
            <w:vAlign w:val="bottom"/>
          </w:tcPr>
          <w:p>
            <w:pPr>
              <w:spacing w:after="0"/>
              <w:rPr>
                <w:sz w:val="18"/>
                <w:szCs w:val="18"/>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2,989</w:t>
            </w:r>
          </w:p>
        </w:tc>
        <w:tc>
          <w:tcPr>
            <w:tcW w:w="102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2023 Notes</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2018</w:t>
            </w:r>
          </w:p>
        </w:tc>
        <w:tc>
          <w:tcPr>
            <w:tcW w:w="700" w:type="dxa"/>
            <w:vAlign w:val="bottom"/>
          </w:tcPr>
          <w:p>
            <w:pPr>
              <w:ind w:left="5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1"/>
              <w:spacing w:after="0"/>
              <w:rPr>
                <w:sz w:val="20"/>
                <w:szCs w:val="20"/>
                <w:color w:val="auto"/>
              </w:rPr>
            </w:pPr>
            <w:r>
              <w:rPr>
                <w:rFonts w:ascii="Arial" w:cs="Arial" w:eastAsia="Arial" w:hAnsi="Arial"/>
                <w:sz w:val="18"/>
                <w:szCs w:val="18"/>
                <w:color w:val="auto"/>
              </w:rPr>
              <w:t>50,000</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5,659</w:t>
            </w:r>
          </w:p>
        </w:tc>
        <w:tc>
          <w:tcPr>
            <w:tcW w:w="1020" w:type="dxa"/>
            <w:vAlign w:val="bottom"/>
          </w:tcPr>
          <w:p>
            <w:pPr>
              <w:ind w:lef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2,989</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February 2024 Notes</w:t>
            </w: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69,000</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2,989</w:t>
            </w:r>
          </w:p>
        </w:tc>
        <w:tc>
          <w:tcPr>
            <w:tcW w:w="1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November 2024 Notes</w:t>
            </w: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63,250</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2,989</w:t>
            </w:r>
          </w:p>
        </w:tc>
        <w:tc>
          <w:tcPr>
            <w:tcW w:w="1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23" w:lineRule="exact"/>
        <w:rPr>
          <w:rFonts w:ascii="Arial" w:cs="Arial" w:eastAsia="Arial" w:hAnsi="Arial"/>
          <w:sz w:val="18"/>
          <w:szCs w:val="18"/>
          <w:color w:val="auto"/>
        </w:rPr>
      </w:pPr>
    </w:p>
    <w:p>
      <w:pPr>
        <w:jc w:val="both"/>
        <w:ind w:left="640" w:right="140" w:hanging="436"/>
        <w:spacing w:after="0" w:line="250"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1" w:lineRule="exact"/>
        <w:rPr>
          <w:rFonts w:ascii="Arial" w:cs="Arial" w:eastAsia="Arial" w:hAnsi="Arial"/>
          <w:sz w:val="18"/>
          <w:szCs w:val="18"/>
          <w:color w:val="auto"/>
        </w:rPr>
      </w:pPr>
    </w:p>
    <w:p>
      <w:pPr>
        <w:ind w:left="640" w:right="160" w:hanging="436"/>
        <w:spacing w:after="0" w:line="281" w:lineRule="auto"/>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spacing w:after="0" w:line="1" w:lineRule="exact"/>
        <w:rPr>
          <w:rFonts w:ascii="Arial" w:cs="Arial" w:eastAsia="Arial" w:hAnsi="Arial"/>
          <w:sz w:val="16"/>
          <w:szCs w:val="16"/>
          <w:color w:val="auto"/>
        </w:rPr>
      </w:pPr>
    </w:p>
    <w:p>
      <w:pPr>
        <w:ind w:left="640" w:right="120" w:hanging="436"/>
        <w:spacing w:after="0" w:line="281" w:lineRule="auto"/>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Not applicable to SBA debentures and Credit Facility because these senior securities are not registered for public trading. The average market value per unit for the Public Notes is based on the average of the closing market price as of each quarter end during the fiscal year and the prior year end, as applicable, and is expressed per $1,000 of indebtedness. As the November 2024 Notes were issued in November 2019, the average market value per unit is simply the December 31, 2019 closing price. The Public Notes were issued in $25 increments.</w:t>
      </w:r>
    </w:p>
    <w:p>
      <w:pPr>
        <w:spacing w:after="0" w:line="2" w:lineRule="exact"/>
        <w:rPr>
          <w:rFonts w:ascii="Arial" w:cs="Arial" w:eastAsia="Arial" w:hAnsi="Arial"/>
          <w:sz w:val="16"/>
          <w:szCs w:val="16"/>
          <w:color w:val="auto"/>
        </w:rPr>
      </w:pPr>
    </w:p>
    <w:p>
      <w:pPr>
        <w:jc w:val="both"/>
        <w:ind w:left="640" w:hanging="436"/>
        <w:spacing w:after="0" w:line="277" w:lineRule="auto"/>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have excluded our SBA-guaranteed debentures from the asset coverage calculation as of December 31, 2012 pursuant to the exemptive relief granted by the SEC in March 2012 that permits us to exclude such debentures from the definition of senior securities in the 200% asset coverage ratio (or 150% if we satisfy certain requirements) we are required to maintain under the 1940 Act.</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240" w:top="459" w:right="5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 revolving loans, other debt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capital commitments totaling $4,757 and $10,846 as of December 31, 2019 and 2018, respectively. Such outstanding commitments are summarized in the following table:</w:t>
      </w:r>
    </w:p>
    <w:p>
      <w:pPr>
        <w:spacing w:after="0" w:line="7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right"/>
              <w:ind w:right="409"/>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Investment</w:t>
            </w: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Total</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Unfunded</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88"/>
              <w:spacing w:after="0" w:line="119" w:lineRule="exact"/>
              <w:rPr>
                <w:sz w:val="20"/>
                <w:szCs w:val="20"/>
                <w:color w:val="auto"/>
              </w:rPr>
            </w:pPr>
            <w:r>
              <w:rPr>
                <w:rFonts w:ascii="Arial" w:cs="Arial" w:eastAsia="Arial" w:hAnsi="Arial"/>
                <w:sz w:val="13"/>
                <w:szCs w:val="13"/>
                <w:b w:val="1"/>
                <w:bCs w:val="1"/>
                <w:color w:val="auto"/>
              </w:rPr>
              <w:t>Total</w:t>
            </w: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Unfunded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1420" w:type="dxa"/>
            <w:vAlign w:val="bottom"/>
            <w:gridSpan w:val="4"/>
          </w:tcPr>
          <w:p>
            <w:pPr>
              <w:ind w:left="300"/>
              <w:spacing w:after="0" w:line="158" w:lineRule="exact"/>
              <w:rPr>
                <w:sz w:val="20"/>
                <w:szCs w:val="20"/>
                <w:color w:val="auto"/>
              </w:rPr>
            </w:pPr>
            <w:r>
              <w:rPr>
                <w:rFonts w:ascii="Arial" w:cs="Arial" w:eastAsia="Arial" w:hAnsi="Arial"/>
                <w:sz w:val="14"/>
                <w:szCs w:val="14"/>
                <w:b w:val="1"/>
                <w:bCs w:val="1"/>
                <w:color w:val="auto"/>
              </w:rPr>
              <w:t>Commitment</w:t>
            </w:r>
          </w:p>
        </w:tc>
        <w:tc>
          <w:tcPr>
            <w:tcW w:w="1320" w:type="dxa"/>
            <w:vAlign w:val="bottom"/>
            <w:gridSpan w:val="4"/>
          </w:tcPr>
          <w:p>
            <w:pPr>
              <w:ind w:left="160"/>
              <w:spacing w:after="0" w:line="158" w:lineRule="exact"/>
              <w:rPr>
                <w:sz w:val="20"/>
                <w:szCs w:val="20"/>
                <w:color w:val="auto"/>
              </w:rPr>
            </w:pPr>
            <w:r>
              <w:rPr>
                <w:rFonts w:ascii="Arial" w:cs="Arial" w:eastAsia="Arial" w:hAnsi="Arial"/>
                <w:sz w:val="14"/>
                <w:szCs w:val="14"/>
                <w:b w:val="1"/>
                <w:bCs w:val="1"/>
                <w:color w:val="auto"/>
              </w:rPr>
              <w:t>Commitment</w:t>
            </w:r>
          </w:p>
        </w:tc>
        <w:tc>
          <w:tcPr>
            <w:tcW w:w="980" w:type="dxa"/>
            <w:vAlign w:val="bottom"/>
            <w:gridSpan w:val="3"/>
          </w:tcPr>
          <w:p>
            <w:pPr>
              <w:ind w:left="160"/>
              <w:spacing w:after="0" w:line="158" w:lineRule="exact"/>
              <w:rPr>
                <w:sz w:val="20"/>
                <w:szCs w:val="20"/>
                <w:color w:val="auto"/>
              </w:rPr>
            </w:pPr>
            <w:r>
              <w:rPr>
                <w:rFonts w:ascii="Arial" w:cs="Arial" w:eastAsia="Arial" w:hAnsi="Arial"/>
                <w:sz w:val="14"/>
                <w:szCs w:val="14"/>
                <w:b w:val="1"/>
                <w:bCs w:val="1"/>
                <w:color w:val="auto"/>
                <w:w w:val="93"/>
              </w:rPr>
              <w:t>Commitment</w:t>
            </w:r>
          </w:p>
        </w:tc>
        <w:tc>
          <w:tcPr>
            <w:tcW w:w="320" w:type="dxa"/>
            <w:vAlign w:val="bottom"/>
          </w:tcPr>
          <w:p>
            <w:pPr>
              <w:spacing w:after="0"/>
              <w:rPr>
                <w:sz w:val="13"/>
                <w:szCs w:val="13"/>
                <w:color w:val="auto"/>
              </w:rPr>
            </w:pPr>
          </w:p>
        </w:tc>
        <w:tc>
          <w:tcPr>
            <w:tcW w:w="980" w:type="dxa"/>
            <w:vAlign w:val="bottom"/>
            <w:gridSpan w:val="3"/>
          </w:tcPr>
          <w:p>
            <w:pPr>
              <w:ind w:left="160"/>
              <w:spacing w:after="0" w:line="158" w:lineRule="exact"/>
              <w:rPr>
                <w:sz w:val="20"/>
                <w:szCs w:val="20"/>
                <w:color w:val="auto"/>
              </w:rPr>
            </w:pPr>
            <w:r>
              <w:rPr>
                <w:rFonts w:ascii="Arial" w:cs="Arial" w:eastAsia="Arial" w:hAnsi="Arial"/>
                <w:sz w:val="14"/>
                <w:szCs w:val="14"/>
                <w:b w:val="1"/>
                <w:bCs w:val="1"/>
                <w:color w:val="auto"/>
                <w:w w:val="93"/>
              </w:rPr>
              <w:t>Commitment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488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American AllWaste LLC (dba WasteWater Transport Services) - Delayed Draw</w:t>
            </w: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Commitment - Term Loan-B</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3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B&amp;B Roadway and Security Solutions, LLC - Common Equity (Units)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FDS Avionics Corp. (dba Flight Display Systems) - Revolving Loan</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85"/>
              </w:rPr>
              <w:t>250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French Transit, LLC - Revolving Loan</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ind w:left="340"/>
              <w:spacing w:after="0" w:line="149" w:lineRule="exact"/>
              <w:rPr>
                <w:sz w:val="20"/>
                <w:szCs w:val="20"/>
                <w:color w:val="auto"/>
              </w:rPr>
            </w:pPr>
            <w:r>
              <w:rPr>
                <w:rFonts w:ascii="Arial" w:cs="Arial" w:eastAsia="Arial" w:hAnsi="Arial"/>
                <w:sz w:val="14"/>
                <w:szCs w:val="14"/>
                <w:color w:val="auto"/>
                <w:w w:val="85"/>
              </w:rPr>
              <w:t>1,000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Mesa Line Services, LLC - Delayed Draw Term Loan Commitment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Rhino Assembly Company, LLC - Delayed Draw Commitment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w w:val="85"/>
              </w:rPr>
              <w:t>875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875</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Safety Products Group, LLC - Common Equity (Units)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 xml:space="preserve">2,852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 xml:space="preserve">2,852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2,852</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w w:val="95"/>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2,852</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UBEO, LLC - Delayed Draw Term Loan Commitment</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85"/>
              </w:rPr>
              <w:t>4,977</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4,757</w:t>
            </w:r>
          </w:p>
        </w:tc>
        <w:tc>
          <w:tcPr>
            <w:tcW w:w="3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12,610</w:t>
            </w:r>
          </w:p>
        </w:tc>
        <w:tc>
          <w:tcPr>
            <w:tcW w:w="3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right="100" w:hanging="436"/>
        <w:spacing w:after="0" w:line="253"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commitments are generally subject to the borrowers meeting certain criteria such as compliance with financial and nonfinancial covenants.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Since commitments may expire without being drawn upon, the total commitment amount does not necessarily represent future cash requirements.</w:t>
      </w:r>
    </w:p>
    <w:p>
      <w:pPr>
        <w:spacing w:after="0" w:line="22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In the normal course of business, the Company enters into contracts and agreements that contain a variety of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62"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the normal course of business, the Company may be subject to legal and regulatory proceedings that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incidental to its 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Public Offerings of Common Stock</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summarizes the cumulative total shares issued, net proceeds received, and weighted average offering price in public offerings of the Company’s common stock since the IPO.</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Cumulative</w:t>
            </w:r>
          </w:p>
        </w:tc>
        <w:tc>
          <w:tcPr>
            <w:tcW w:w="1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Cumulative Gross</w:t>
            </w:r>
          </w:p>
        </w:tc>
        <w:tc>
          <w:tcPr>
            <w:tcW w:w="268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3"/>
              </w:rPr>
              <w:t>Cumulative Underwriting Fees and</w:t>
            </w:r>
          </w:p>
        </w:tc>
        <w:tc>
          <w:tcPr>
            <w:tcW w:w="166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4"/>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9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2180" w:type="dxa"/>
            <w:vAlign w:val="bottom"/>
            <w:gridSpan w:val="2"/>
          </w:tcPr>
          <w:p>
            <w:pPr>
              <w:jc w:val="center"/>
              <w:ind w:right="13"/>
              <w:spacing w:after="0" w:line="145" w:lineRule="exact"/>
              <w:rPr>
                <w:sz w:val="20"/>
                <w:szCs w:val="20"/>
                <w:color w:val="auto"/>
              </w:rPr>
            </w:pPr>
            <w:r>
              <w:rPr>
                <w:rFonts w:ascii="Arial" w:cs="Arial" w:eastAsia="Arial" w:hAnsi="Arial"/>
                <w:sz w:val="14"/>
                <w:szCs w:val="14"/>
                <w:b w:val="1"/>
                <w:bCs w:val="1"/>
                <w:color w:val="auto"/>
                <w:w w:val="91"/>
              </w:rPr>
              <w:t>Commissions and Offering Costs</w:t>
            </w: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3"/>
            <w:vMerge w:val="continue"/>
          </w:tcPr>
          <w:p>
            <w:pPr>
              <w:spacing w:after="0"/>
              <w:rPr>
                <w:sz w:val="12"/>
                <w:szCs w:val="12"/>
                <w:color w:val="auto"/>
              </w:rPr>
            </w:pPr>
          </w:p>
        </w:tc>
        <w:tc>
          <w:tcPr>
            <w:tcW w:w="2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Number of Shares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Proceeds</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jc w:val="center"/>
              <w:ind w:right="513"/>
              <w:spacing w:after="0"/>
              <w:rPr>
                <w:sz w:val="20"/>
                <w:szCs w:val="20"/>
                <w:color w:val="auto"/>
              </w:rPr>
            </w:pPr>
            <w:r>
              <w:rPr>
                <w:rFonts w:ascii="Arial" w:cs="Arial" w:eastAsia="Arial" w:hAnsi="Arial"/>
                <w:sz w:val="12"/>
                <w:szCs w:val="12"/>
                <w:b w:val="1"/>
                <w:bCs w:val="1"/>
                <w:color w:val="auto"/>
                <w:w w:val="95"/>
              </w:rPr>
              <w:t>(1)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Offering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1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Cumulative since IPO</w:t>
            </w:r>
          </w:p>
        </w:tc>
        <w:tc>
          <w:tcPr>
            <w:tcW w:w="9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14,388,414</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236,597</w:t>
            </w: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18"/>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8,989</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16.44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40" w:right="60" w:hanging="436"/>
        <w:spacing w:after="0" w:line="253" w:lineRule="auto"/>
        <w:tabs>
          <w:tab w:leader="none" w:pos="6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13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summarizes the cumulative total shares issued, net proceeds received, and weighted average offering price in public offerings of the Company’s common stock during the last three fiscal years ended December 31, 2019.</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Number of</w:t>
            </w:r>
          </w:p>
        </w:tc>
        <w:tc>
          <w:tcPr>
            <w:tcW w:w="1280" w:type="dxa"/>
            <w:vAlign w:val="bottom"/>
            <w:gridSpan w:val="3"/>
          </w:tcPr>
          <w:p>
            <w:pPr>
              <w:ind w:left="560"/>
              <w:spacing w:after="0"/>
              <w:rPr>
                <w:sz w:val="20"/>
                <w:szCs w:val="20"/>
                <w:color w:val="auto"/>
              </w:rPr>
            </w:pPr>
            <w:r>
              <w:rPr>
                <w:rFonts w:ascii="Arial" w:cs="Arial" w:eastAsia="Arial" w:hAnsi="Arial"/>
                <w:sz w:val="14"/>
                <w:szCs w:val="14"/>
                <w:b w:val="1"/>
                <w:bCs w:val="1"/>
                <w:color w:val="auto"/>
                <w:w w:val="89"/>
              </w:rPr>
              <w:t>Total Gross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Total Underwriting Fees and</w:t>
            </w:r>
          </w:p>
        </w:tc>
        <w:tc>
          <w:tcPr>
            <w:tcW w:w="1720" w:type="dxa"/>
            <w:vAlign w:val="bottom"/>
            <w:gridSpan w:val="4"/>
          </w:tcPr>
          <w:p>
            <w:pPr>
              <w:ind w:left="560"/>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58"/>
        </w:trPr>
        <w:tc>
          <w:tcPr>
            <w:tcW w:w="284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line="158" w:lineRule="exact"/>
              <w:rPr>
                <w:sz w:val="20"/>
                <w:szCs w:val="20"/>
                <w:color w:val="auto"/>
              </w:rPr>
            </w:pPr>
            <w:r>
              <w:rPr>
                <w:rFonts w:ascii="Arial" w:cs="Arial" w:eastAsia="Arial" w:hAnsi="Arial"/>
                <w:sz w:val="14"/>
                <w:szCs w:val="14"/>
                <w:b w:val="1"/>
                <w:bCs w:val="1"/>
                <w:color w:val="auto"/>
                <w:w w:val="98"/>
              </w:rPr>
              <w:t>Proceeds</w:t>
            </w:r>
          </w:p>
        </w:tc>
        <w:tc>
          <w:tcPr>
            <w:tcW w:w="2600" w:type="dxa"/>
            <w:vAlign w:val="bottom"/>
            <w:gridSpan w:val="3"/>
          </w:tcPr>
          <w:p>
            <w:pPr>
              <w:jc w:val="center"/>
              <w:ind w:left="468"/>
              <w:spacing w:after="0" w:line="158" w:lineRule="exact"/>
              <w:rPr>
                <w:sz w:val="20"/>
                <w:szCs w:val="20"/>
                <w:color w:val="auto"/>
              </w:rPr>
            </w:pPr>
            <w:r>
              <w:rPr>
                <w:rFonts w:ascii="Arial" w:cs="Arial" w:eastAsia="Arial" w:hAnsi="Arial"/>
                <w:sz w:val="14"/>
                <w:szCs w:val="14"/>
                <w:b w:val="1"/>
                <w:bCs w:val="1"/>
                <w:color w:val="auto"/>
                <w:w w:val="91"/>
              </w:rPr>
              <w:t>Commissions and Offering Costs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Offering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8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Fiscal year ended December 31, 2017</w:t>
            </w:r>
          </w:p>
        </w:tc>
        <w:tc>
          <w:tcPr>
            <w:tcW w:w="6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2,012,500</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33,810</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940" w:type="dxa"/>
            <w:vAlign w:val="bottom"/>
            <w:shd w:val="clear" w:color="auto" w:fill="CCEEFF"/>
          </w:tcPr>
          <w:p>
            <w:pPr>
              <w:jc w:val="center"/>
              <w:ind w:left="1528"/>
              <w:spacing w:after="0" w:line="136" w:lineRule="exact"/>
              <w:rPr>
                <w:sz w:val="20"/>
                <w:szCs w:val="20"/>
                <w:color w:val="auto"/>
              </w:rPr>
            </w:pPr>
            <w:r>
              <w:rPr>
                <w:rFonts w:ascii="Arial" w:cs="Arial" w:eastAsia="Arial" w:hAnsi="Arial"/>
                <w:sz w:val="14"/>
                <w:szCs w:val="14"/>
                <w:color w:val="auto"/>
                <w:w w:val="96"/>
              </w:rPr>
              <w:t>1,508</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center"/>
              <w:ind w:left="628"/>
              <w:spacing w:after="0" w:line="136" w:lineRule="exact"/>
              <w:rPr>
                <w:sz w:val="20"/>
                <w:szCs w:val="20"/>
                <w:color w:val="auto"/>
              </w:rPr>
            </w:pPr>
            <w:r>
              <w:rPr>
                <w:rFonts w:ascii="Arial" w:cs="Arial" w:eastAsia="Arial" w:hAnsi="Arial"/>
                <w:sz w:val="14"/>
                <w:szCs w:val="14"/>
                <w:color w:val="auto"/>
                <w:w w:val="91"/>
              </w:rPr>
              <w:t>16.80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Fiscal year ended December 31, 2018</w:t>
            </w:r>
          </w:p>
        </w:tc>
        <w:tc>
          <w:tcPr>
            <w:tcW w:w="68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940" w:type="dxa"/>
            <w:vAlign w:val="bottom"/>
          </w:tcPr>
          <w:p>
            <w:pPr>
              <w:jc w:val="center"/>
              <w:ind w:left="156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center"/>
              <w:ind w:left="608"/>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Fiscal year ended December 31, 2019</w:t>
            </w:r>
          </w:p>
        </w:tc>
        <w:tc>
          <w:tcPr>
            <w:tcW w:w="6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center"/>
              <w:ind w:left="1568"/>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center"/>
              <w:ind w:left="608"/>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Common Stock ATM Program</w:t>
      </w:r>
    </w:p>
    <w:p>
      <w:pPr>
        <w:sectPr>
          <w:pgSz w:w="11900" w:h="16838" w:orient="portrait"/>
          <w:cols w:equalWidth="0" w:num="1">
            <w:col w:w="11220"/>
          </w:cols>
          <w:pgMar w:left="240" w:top="459" w:right="439" w:bottom="1440" w:gutter="0" w:footer="0" w:header="0"/>
        </w:sectPr>
      </w:pP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220"/>
          </w:cols>
          <w:pgMar w:left="240" w:top="459" w:right="4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years ended December 31, 2019, 2018, and 2017.</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As described in Note 2, the Company has Stock Repurchase Program under which the Company may acquire up to $5,000 of its outstanding common stock. During the year ended December 31, 2018, the Company repurchased 44,821 shares of common stock on the open market for $582. The Company did not make any repurchases of common stock during the years ended December 31, 2019 and 2017. The Company’s NAV per share increased by approximately $0.01 for the year ended December 31, 2018 as a result of the share repurchases. The following table summarizes the Company’s share repurchases under the Stock Repurchase Program for the years ended December 31, 2019, 2018 and 2017:</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Repurchases of Common Stock</w:t>
            </w:r>
          </w:p>
        </w:tc>
        <w:tc>
          <w:tcPr>
            <w:tcW w:w="440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2320" w:type="dxa"/>
            <w:vAlign w:val="bottom"/>
            <w:gridSpan w:val="7"/>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9"/>
        </w:trPr>
        <w:tc>
          <w:tcPr>
            <w:tcW w:w="1940" w:type="dxa"/>
            <w:vAlign w:val="bottom"/>
            <w:tcBorders>
              <w:bottom w:val="single" w:sz="8" w:color="auto"/>
            </w:tcBorders>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Number of shares repurchased</w:t>
            </w:r>
          </w:p>
        </w:tc>
        <w:tc>
          <w:tcPr>
            <w:tcW w:w="6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44,821</w:t>
            </w: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Cost of shares repurchased, including commissions</w:t>
            </w: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582</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price per share</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12.94</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w w:val="97"/>
              </w:rPr>
              <w:t>Weighted average discount to net asset value at quarter end prior to repurchases</w:t>
            </w:r>
          </w:p>
        </w:tc>
        <w:tc>
          <w:tcPr>
            <w:tcW w:w="600" w:type="dxa"/>
            <w:vAlign w:val="bottom"/>
          </w:tcPr>
          <w:p>
            <w:pPr>
              <w:spacing w:after="0"/>
              <w:rPr>
                <w:sz w:val="20"/>
                <w:szCs w:val="20"/>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19.4%</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9 for additional information regarding the issuance of shares under the DRIP.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had 24,463,119 shares of common stock outstanding as of December 31, 2019 and 2018.</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Dividends and Distributions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last three fiscal years.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Record</w:t>
            </w:r>
          </w:p>
        </w:tc>
        <w:tc>
          <w:tcPr>
            <w:tcW w:w="8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Payment</w:t>
            </w:r>
          </w:p>
        </w:tc>
        <w:tc>
          <w:tcPr>
            <w:tcW w:w="160" w:type="dxa"/>
            <w:vAlign w:val="bottom"/>
          </w:tcPr>
          <w:p>
            <w:pPr>
              <w:spacing w:after="0"/>
              <w:rPr>
                <w:sz w:val="14"/>
                <w:szCs w:val="14"/>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DRIP</w:t>
            </w:r>
          </w:p>
        </w:tc>
        <w:tc>
          <w:tcPr>
            <w:tcW w:w="32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DRIP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4"/>
        </w:trPr>
        <w:tc>
          <w:tcPr>
            <w:tcW w:w="406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60" w:type="dxa"/>
            <w:vAlign w:val="bottom"/>
            <w:gridSpan w:val="2"/>
          </w:tcPr>
          <w:p>
            <w:pPr>
              <w:ind w:left="140"/>
              <w:spacing w:after="0" w:line="145"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62"/>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Date</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 Share</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Distribution</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Distribution</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7"/>
              </w:rPr>
              <w:t>Issue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Ended December 31, 2017:</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2/14/2017</w:t>
            </w:r>
          </w:p>
        </w:tc>
        <w:tc>
          <w:tcPr>
            <w:tcW w:w="880" w:type="dxa"/>
            <w:vAlign w:val="bottom"/>
          </w:tcPr>
          <w:p>
            <w:pPr>
              <w:jc w:val="right"/>
              <w:spacing w:after="0"/>
              <w:rPr>
                <w:sz w:val="20"/>
                <w:szCs w:val="20"/>
                <w:color w:val="auto"/>
              </w:rPr>
            </w:pPr>
            <w:r>
              <w:rPr>
                <w:rFonts w:ascii="Arial" w:cs="Arial" w:eastAsia="Arial" w:hAnsi="Arial"/>
                <w:sz w:val="18"/>
                <w:szCs w:val="18"/>
                <w:color w:val="auto"/>
              </w:rPr>
              <w:t>3/10/2017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3/24/2017</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8,556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$ 198</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11,500</w:t>
            </w:r>
          </w:p>
        </w:tc>
        <w:tc>
          <w:tcPr>
            <w:tcW w:w="2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6/9/2017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6/23/2017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10,548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7/31/2017</w:t>
            </w:r>
          </w:p>
        </w:tc>
        <w:tc>
          <w:tcPr>
            <w:tcW w:w="880" w:type="dxa"/>
            <w:vAlign w:val="bottom"/>
          </w:tcPr>
          <w:p>
            <w:pPr>
              <w:jc w:val="right"/>
              <w:spacing w:after="0"/>
              <w:rPr>
                <w:sz w:val="20"/>
                <w:szCs w:val="20"/>
                <w:color w:val="auto"/>
              </w:rPr>
            </w:pPr>
            <w:r>
              <w:rPr>
                <w:rFonts w:ascii="Arial" w:cs="Arial" w:eastAsia="Arial" w:hAnsi="Arial"/>
                <w:sz w:val="18"/>
                <w:szCs w:val="18"/>
                <w:color w:val="auto"/>
              </w:rPr>
              <w:t>9/8/2017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9/22/2017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9,353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12,256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10/30/2017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12/20/2017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12/27/2017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13,659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 xml:space="preserve">10/30/2017 </w:t>
            </w:r>
            <w:r>
              <w:rPr>
                <w:rFonts w:ascii="Arial" w:cs="Arial" w:eastAsia="Arial" w:hAnsi="Arial"/>
                <w:sz w:val="15"/>
                <w:szCs w:val="15"/>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12/20/2017</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12/27/2017</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$ 799</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49,364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Year Ended December 31, 2018:</w:t>
            </w: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2/13/2018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3/9/2018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3/23/2018</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87"/>
              </w:rPr>
              <w:t>(2)</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4/30/2018</w:t>
            </w:r>
          </w:p>
        </w:tc>
        <w:tc>
          <w:tcPr>
            <w:tcW w:w="880" w:type="dxa"/>
            <w:vAlign w:val="bottom"/>
          </w:tcPr>
          <w:p>
            <w:pPr>
              <w:jc w:val="right"/>
              <w:spacing w:after="0"/>
              <w:rPr>
                <w:sz w:val="20"/>
                <w:szCs w:val="20"/>
                <w:color w:val="auto"/>
              </w:rPr>
            </w:pPr>
            <w:r>
              <w:rPr>
                <w:rFonts w:ascii="Arial" w:cs="Arial" w:eastAsia="Arial" w:hAnsi="Arial"/>
                <w:sz w:val="18"/>
                <w:szCs w:val="18"/>
                <w:color w:val="auto"/>
              </w:rPr>
              <w:t>6/8/2018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6/22/2018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140" w:type="dxa"/>
            <w:vAlign w:val="bottom"/>
          </w:tcPr>
          <w:p>
            <w:pPr>
              <w:spacing w:after="0"/>
              <w:rPr>
                <w:sz w:val="18"/>
                <w:szCs w:val="18"/>
                <w:color w:val="auto"/>
              </w:rPr>
            </w:pPr>
          </w:p>
        </w:tc>
        <w:tc>
          <w:tcPr>
            <w:tcW w:w="4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w w:val="87"/>
              </w:rPr>
              <w:t>(2)</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7/30/2018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9/7/2018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9/21/2018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87"/>
              </w:rPr>
              <w:t>(2)</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10/30/2018</w:t>
            </w:r>
          </w:p>
        </w:tc>
        <w:tc>
          <w:tcPr>
            <w:tcW w:w="880" w:type="dxa"/>
            <w:vAlign w:val="bottom"/>
          </w:tcPr>
          <w:p>
            <w:pPr>
              <w:jc w:val="right"/>
              <w:spacing w:after="0"/>
              <w:rPr>
                <w:sz w:val="20"/>
                <w:szCs w:val="20"/>
                <w:color w:val="auto"/>
              </w:rPr>
            </w:pPr>
            <w:r>
              <w:rPr>
                <w:rFonts w:ascii="Arial" w:cs="Arial" w:eastAsia="Arial" w:hAnsi="Arial"/>
                <w:sz w:val="18"/>
                <w:szCs w:val="18"/>
                <w:color w:val="auto"/>
              </w:rPr>
              <w:t>12/7/2018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12/21/2018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140" w:type="dxa"/>
            <w:vAlign w:val="bottom"/>
          </w:tcPr>
          <w:p>
            <w:pPr>
              <w:spacing w:after="0"/>
              <w:rPr>
                <w:sz w:val="18"/>
                <w:szCs w:val="18"/>
                <w:color w:val="auto"/>
              </w:rPr>
            </w:pPr>
          </w:p>
        </w:tc>
        <w:tc>
          <w:tcPr>
            <w:tcW w:w="4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w w:val="87"/>
              </w:rPr>
              <w:t>(2)</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10/30/2018 </w:t>
            </w:r>
            <w:r>
              <w:rPr>
                <w:rFonts w:ascii="Arial" w:cs="Arial" w:eastAsia="Arial" w:hAnsi="Arial"/>
                <w:sz w:val="15"/>
                <w:szCs w:val="15"/>
                <w:color w:val="auto"/>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12/21/2018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87"/>
              </w:rPr>
              <w:t>(2)</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2019:</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1/31/2019</w:t>
            </w:r>
          </w:p>
        </w:tc>
        <w:tc>
          <w:tcPr>
            <w:tcW w:w="880" w:type="dxa"/>
            <w:vAlign w:val="bottom"/>
          </w:tcPr>
          <w:p>
            <w:pPr>
              <w:jc w:val="right"/>
              <w:spacing w:after="0"/>
              <w:rPr>
                <w:sz w:val="20"/>
                <w:szCs w:val="20"/>
                <w:color w:val="auto"/>
              </w:rPr>
            </w:pPr>
            <w:r>
              <w:rPr>
                <w:rFonts w:ascii="Arial" w:cs="Arial" w:eastAsia="Arial" w:hAnsi="Arial"/>
                <w:sz w:val="18"/>
                <w:szCs w:val="18"/>
                <w:color w:val="auto"/>
              </w:rPr>
              <w:t>3/8/2019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3/22/2019</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560" w:type="dxa"/>
            <w:vAlign w:val="bottom"/>
            <w:gridSpan w:val="2"/>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w w:val="87"/>
              </w:rPr>
              <w:t>(2)</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4/29/2019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6/7/2019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6/21/2019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87"/>
              </w:rPr>
              <w:t>(2)</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7/29/2019</w:t>
            </w:r>
          </w:p>
        </w:tc>
        <w:tc>
          <w:tcPr>
            <w:tcW w:w="880" w:type="dxa"/>
            <w:vAlign w:val="bottom"/>
          </w:tcPr>
          <w:p>
            <w:pPr>
              <w:jc w:val="right"/>
              <w:spacing w:after="0"/>
              <w:rPr>
                <w:sz w:val="20"/>
                <w:szCs w:val="20"/>
                <w:color w:val="auto"/>
              </w:rPr>
            </w:pPr>
            <w:r>
              <w:rPr>
                <w:rFonts w:ascii="Arial" w:cs="Arial" w:eastAsia="Arial" w:hAnsi="Arial"/>
                <w:sz w:val="18"/>
                <w:szCs w:val="18"/>
                <w:color w:val="auto"/>
              </w:rPr>
              <w:t>9/6/2019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9/20/2019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9,541</w:t>
            </w:r>
          </w:p>
        </w:tc>
        <w:tc>
          <w:tcPr>
            <w:tcW w:w="140" w:type="dxa"/>
            <w:vAlign w:val="bottom"/>
          </w:tcPr>
          <w:p>
            <w:pPr>
              <w:spacing w:after="0"/>
              <w:rPr>
                <w:sz w:val="18"/>
                <w:szCs w:val="18"/>
                <w:color w:val="auto"/>
              </w:rPr>
            </w:pPr>
          </w:p>
        </w:tc>
        <w:tc>
          <w:tcPr>
            <w:tcW w:w="4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w w:val="87"/>
              </w:rPr>
              <w:t>(2)</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10/29/2019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12/6/2019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12/20/2019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87"/>
              </w:rPr>
              <w:t>(2)</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 xml:space="preserve">10/29/2019 </w:t>
            </w:r>
            <w:r>
              <w:rPr>
                <w:rFonts w:ascii="Arial" w:cs="Arial" w:eastAsia="Arial" w:hAnsi="Arial"/>
                <w:sz w:val="15"/>
                <w:szCs w:val="15"/>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12/6/2019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12/20/2019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4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w w:val="87"/>
              </w:rPr>
              <w:t>(2)</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39,141</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Special dividend.</w:t>
      </w:r>
    </w:p>
    <w:p>
      <w:pPr>
        <w:spacing w:after="0" w:line="23" w:lineRule="exact"/>
        <w:rPr>
          <w:rFonts w:ascii="Arial" w:cs="Arial" w:eastAsia="Arial" w:hAnsi="Arial"/>
          <w:sz w:val="18"/>
          <w:szCs w:val="18"/>
          <w:color w:val="auto"/>
        </w:rPr>
      </w:pPr>
    </w:p>
    <w:p>
      <w:pPr>
        <w:ind w:left="640" w:right="260" w:hanging="436"/>
        <w:spacing w:after="0" w:line="255"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During the years ended December 31, 2019 and 2018, the Company directed the DRIP program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12"/>
                <w:szCs w:val="12"/>
                <w:color w:val="auto"/>
              </w:rPr>
            </w:pPr>
          </w:p>
        </w:tc>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Fiscal Year Ended December 31, 2018:</w:t>
            </w:r>
          </w:p>
        </w:tc>
        <w:tc>
          <w:tcPr>
            <w:tcW w:w="3480" w:type="dxa"/>
            <w:vAlign w:val="bottom"/>
            <w:vMerge w:val="restart"/>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Purchased</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60" w:type="dxa"/>
            <w:vAlign w:val="bottom"/>
            <w:vMerge w:val="continue"/>
          </w:tcPr>
          <w:p>
            <w:pPr>
              <w:spacing w:after="0"/>
              <w:rPr>
                <w:sz w:val="15"/>
                <w:szCs w:val="15"/>
                <w:color w:val="auto"/>
              </w:rPr>
            </w:pPr>
          </w:p>
        </w:tc>
        <w:tc>
          <w:tcPr>
            <w:tcW w:w="2380" w:type="dxa"/>
            <w:vAlign w:val="bottom"/>
            <w:tcBorders>
              <w:bottom w:val="single" w:sz="8" w:color="auto"/>
            </w:tcBorders>
            <w:gridSpan w:val="2"/>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13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87"/>
              </w:rPr>
              <w:t>and Reissued</w:t>
            </w:r>
          </w:p>
        </w:tc>
        <w:tc>
          <w:tcPr>
            <w:tcW w:w="9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5"/>
                <w:szCs w:val="15"/>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Amount Paid</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5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January 1, 2018 through March 31, 2018</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16,503</w:t>
            </w: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12.97</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April 1, 2018 through June 30, 2018</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16,216</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2018 through September 30, 2018</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16,207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October 1, 2018 through December 31, 2018</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29,152</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11.85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78,078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12"/>
                <w:szCs w:val="12"/>
                <w:color w:val="auto"/>
              </w:rPr>
            </w:pPr>
          </w:p>
        </w:tc>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Fiscal Year Ended December 31, 2019:</w:t>
            </w:r>
          </w:p>
        </w:tc>
        <w:tc>
          <w:tcPr>
            <w:tcW w:w="3480" w:type="dxa"/>
            <w:vAlign w:val="bottom"/>
            <w:vMerge w:val="restart"/>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Purchased</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60" w:type="dxa"/>
            <w:vAlign w:val="bottom"/>
            <w:vMerge w:val="continue"/>
          </w:tcPr>
          <w:p>
            <w:pPr>
              <w:spacing w:after="0"/>
              <w:rPr>
                <w:sz w:val="15"/>
                <w:szCs w:val="15"/>
                <w:color w:val="auto"/>
              </w:rPr>
            </w:pPr>
          </w:p>
        </w:tc>
        <w:tc>
          <w:tcPr>
            <w:tcW w:w="2380" w:type="dxa"/>
            <w:vAlign w:val="bottom"/>
            <w:tcBorders>
              <w:bottom w:val="single" w:sz="8" w:color="auto"/>
            </w:tcBorders>
            <w:gridSpan w:val="2"/>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13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87"/>
              </w:rPr>
              <w:t>and Reissued</w:t>
            </w:r>
          </w:p>
        </w:tc>
        <w:tc>
          <w:tcPr>
            <w:tcW w:w="9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5"/>
                <w:szCs w:val="15"/>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Amount Paid</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5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January 1, 2019 through March 31, 2019</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21,855</w:t>
            </w: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15.25</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April 1, 2019 through June 30, 2019</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14,067</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16.23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2019 through September 30, 2019</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15,289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October 1, 2019 through December 31, 2019</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17,525</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15.27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68,736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15.48</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240" w:top="459" w:right="419" w:bottom="1440" w:gutter="0" w:footer="0" w:header="0"/>
        </w:sectPr>
      </w:pPr>
    </w:p>
    <w:p>
      <w:pPr>
        <w:jc w:val="center"/>
        <w:ind w:right="-17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240"/>
          </w:cols>
          <w:pgMar w:left="240" w:top="459" w:right="41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Financial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schedule of financial highlights for the years ended December 31, 2019, 2018, 2017, 2016 and 2015:</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1"/>
              </w:rPr>
              <w:t>Years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16.47</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16.05</w:t>
            </w:r>
          </w:p>
        </w:tc>
        <w:tc>
          <w:tcPr>
            <w:tcW w:w="3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15.76</w:t>
            </w:r>
          </w:p>
        </w:tc>
        <w:tc>
          <w:tcPr>
            <w:tcW w:w="3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15.17</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line="203" w:lineRule="exact"/>
              <w:rPr>
                <w:sz w:val="20"/>
                <w:szCs w:val="20"/>
                <w:color w:val="auto"/>
              </w:rPr>
            </w:pPr>
            <w:r>
              <w:rPr>
                <w:rFonts w:ascii="Arial" w:cs="Arial" w:eastAsia="Arial" w:hAnsi="Arial"/>
                <w:sz w:val="18"/>
                <w:szCs w:val="18"/>
                <w:color w:val="auto"/>
                <w:w w:val="94"/>
              </w:rPr>
              <w:t>Net realized gain (loss) on investments, net of tax (provision)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vMerge w:val="restart"/>
          </w:tcPr>
          <w:p>
            <w:pPr>
              <w:jc w:val="right"/>
              <w:ind w:right="188"/>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0.67</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00" w:type="dxa"/>
            <w:vAlign w:val="bottom"/>
            <w:gridSpan w:val="2"/>
          </w:tcPr>
          <w:p>
            <w:pPr>
              <w:jc w:val="right"/>
              <w:ind w:right="4150"/>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4"/>
              </w:rPr>
              <w:t xml:space="preserve">Net unrealized appreciation (depreciation) on investments </w:t>
            </w:r>
            <w:r>
              <w:rPr>
                <w:rFonts w:ascii="Arial" w:cs="Arial" w:eastAsia="Arial" w:hAnsi="Arial"/>
                <w:sz w:val="15"/>
                <w:szCs w:val="15"/>
                <w:color w:val="auto"/>
                <w:w w:val="94"/>
              </w:rPr>
              <w:t>(1)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 xml:space="preserve">Realized losses on extinguishment of debt </w:t>
            </w:r>
            <w:r>
              <w:rPr>
                <w:rFonts w:ascii="Arial" w:cs="Arial" w:eastAsia="Arial" w:hAnsi="Arial"/>
                <w:sz w:val="15"/>
                <w:szCs w:val="15"/>
                <w:color w:val="auto"/>
              </w:rPr>
              <w:t>(1)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increase from investment operations </w:t>
            </w:r>
            <w:r>
              <w:rPr>
                <w:rFonts w:ascii="Arial" w:cs="Arial" w:eastAsia="Arial" w:hAnsi="Arial"/>
                <w:sz w:val="15"/>
                <w:szCs w:val="15"/>
                <w:color w:val="auto"/>
              </w:rPr>
              <w:t>(1)</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Accretive (dilutive) effect of share issuances and repurchases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Dividends to stockholders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Market value at end of period</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24,463,119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24,463,119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24,507,940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22,446,076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16,300,732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24,463,119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24,471,730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23,527,188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18,283,715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16,201,449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412,310</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402,985</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393,273</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353,785</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15"/>
                <w:szCs w:val="15"/>
                <w:color w:val="auto"/>
              </w:rPr>
              <w:t>(6)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404,284</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398,440</w:t>
            </w:r>
          </w:p>
        </w:tc>
        <w:tc>
          <w:tcPr>
            <w:tcW w:w="3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376,292</w:t>
            </w:r>
          </w:p>
        </w:tc>
        <w:tc>
          <w:tcPr>
            <w:tcW w:w="3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289,453</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245,705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to average net assets: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 xml:space="preserve">Portfolio turnover ratio </w:t>
            </w:r>
            <w:r>
              <w:rPr>
                <w:rFonts w:ascii="Arial" w:cs="Arial" w:eastAsia="Arial" w:hAnsi="Arial"/>
                <w:sz w:val="15"/>
                <w:szCs w:val="15"/>
                <w:color w:val="auto"/>
              </w:rPr>
              <w:t>(3)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15"/>
                <w:szCs w:val="15"/>
                <w:color w:val="auto"/>
              </w:rPr>
              <w:t>(7)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319,050</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271,560</w:t>
            </w:r>
          </w:p>
        </w:tc>
        <w:tc>
          <w:tcPr>
            <w:tcW w:w="3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219,920</w:t>
            </w:r>
          </w:p>
        </w:tc>
        <w:tc>
          <w:tcPr>
            <w:tcW w:w="3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221,200</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199,340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5"/>
                <w:szCs w:val="15"/>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Weighted average per share data.</w:t>
      </w:r>
    </w:p>
    <w:p>
      <w:pPr>
        <w:spacing w:after="0" w:line="23"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1" w:lineRule="exact"/>
        <w:rPr>
          <w:rFonts w:ascii="Arial" w:cs="Arial" w:eastAsia="Arial" w:hAnsi="Arial"/>
          <w:sz w:val="18"/>
          <w:szCs w:val="18"/>
          <w:color w:val="auto"/>
        </w:rPr>
      </w:pPr>
    </w:p>
    <w:p>
      <w:pPr>
        <w:ind w:left="640" w:right="220" w:hanging="436"/>
        <w:spacing w:after="0" w:line="250"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Total return based on market value for the years ended December 31, 2019, 2018, 2017, 2016 and 2015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1" w:lineRule="exact"/>
        <w:rPr>
          <w:rFonts w:ascii="Arial" w:cs="Arial" w:eastAsia="Arial" w:hAnsi="Arial"/>
          <w:sz w:val="18"/>
          <w:szCs w:val="18"/>
          <w:color w:val="auto"/>
        </w:rPr>
      </w:pPr>
    </w:p>
    <w:p>
      <w:pPr>
        <w:ind w:left="640" w:right="720" w:hanging="436"/>
        <w:spacing w:after="0" w:line="250"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total expenses to average net assets ratio is calculated using the total expenses caption as presented on the consolidated statements of operations, which includes incentive fee and excludes the income tax provision.</w:t>
      </w:r>
    </w:p>
    <w:p>
      <w:pPr>
        <w:ind w:left="640" w:right="500" w:hanging="436"/>
        <w:spacing w:after="0" w:line="250"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net investment income to average net assets ratio is calculated using the net investment income caption as presented on the consolidated statements of operations, which includes incentive fee.</w:t>
      </w:r>
    </w:p>
    <w:p>
      <w:pPr>
        <w:ind w:left="640" w:hanging="436"/>
        <w:spacing w:after="0"/>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Average net assets is calculated as the average of the net asset balances as of each quarter end during the fiscal year and the prior year end.</w:t>
      </w:r>
    </w:p>
    <w:p>
      <w:pPr>
        <w:spacing w:after="0" w:line="32" w:lineRule="exact"/>
        <w:rPr>
          <w:rFonts w:ascii="Arial" w:cs="Arial" w:eastAsia="Arial" w:hAnsi="Arial"/>
          <w:sz w:val="16"/>
          <w:szCs w:val="16"/>
          <w:color w:val="auto"/>
        </w:rPr>
      </w:pPr>
    </w:p>
    <w:p>
      <w:pPr>
        <w:ind w:left="640" w:right="240" w:hanging="436"/>
        <w:spacing w:after="0" w:line="250"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Average debt outstanding is calculated as the average of the outstanding debt balances as of each quarter end during the fiscal year and the prior year end.</w:t>
      </w:r>
    </w:p>
    <w:p>
      <w:pPr>
        <w:ind w:left="640" w:right="20" w:hanging="436"/>
        <w:spacing w:after="0" w:line="250"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following is a schedule of supplemental expense ratios to average net assets: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Ratio to average net assets:</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w w:val="95"/>
              </w:rPr>
              <w:t>Years Ended December 31,</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20" w:type="dxa"/>
            <w:vAlign w:val="bottom"/>
            <w:gridSpan w:val="3"/>
            <w:vMerge w:val="continue"/>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3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2016</w:t>
            </w:r>
          </w:p>
        </w:tc>
        <w:tc>
          <w:tcPr>
            <w:tcW w:w="30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Expenses other than incentive fee </w:t>
            </w:r>
            <w:r>
              <w:rPr>
                <w:rFonts w:ascii="Arial" w:cs="Arial" w:eastAsia="Arial" w:hAnsi="Arial"/>
                <w:sz w:val="15"/>
                <w:szCs w:val="15"/>
                <w:color w:val="auto"/>
              </w:rPr>
              <w:t>(3)</w:t>
            </w:r>
          </w:p>
        </w:tc>
        <w:tc>
          <w:tcPr>
            <w:tcW w:w="5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6.3%</w:t>
            </w:r>
          </w:p>
        </w:tc>
        <w:tc>
          <w:tcPr>
            <w:tcW w:w="6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7.9%</w:t>
            </w:r>
          </w:p>
        </w:tc>
        <w:tc>
          <w:tcPr>
            <w:tcW w:w="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 xml:space="preserve">Incentive fee </w:t>
            </w:r>
            <w:r>
              <w:rPr>
                <w:rFonts w:ascii="Arial" w:cs="Arial" w:eastAsia="Arial" w:hAnsi="Arial"/>
                <w:sz w:val="15"/>
                <w:szCs w:val="15"/>
                <w:color w:val="auto"/>
              </w:rPr>
              <w:t>(3)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3.1%</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11.0%</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240" w:top="459" w:right="419" w:bottom="1440" w:gutter="0" w:footer="0" w:header="0"/>
        </w:sectPr>
      </w:pPr>
    </w:p>
    <w:p>
      <w:pPr>
        <w:jc w:val="center"/>
        <w:ind w:right="-17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240"/>
          </w:cols>
          <w:pgMar w:left="240" w:top="459" w:right="41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Selected Quarterly Financial Data (unaudited)</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20" w:type="dxa"/>
            <w:vAlign w:val="bottom"/>
            <w:gridSpan w:val="3"/>
          </w:tcPr>
          <w:p>
            <w:pPr>
              <w:ind w:left="1000"/>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36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89"/>
              </w:rPr>
              <w:t>September 30,</w:t>
            </w:r>
          </w:p>
        </w:tc>
        <w:tc>
          <w:tcPr>
            <w:tcW w:w="1380" w:type="dxa"/>
            <w:vAlign w:val="bottom"/>
            <w:gridSpan w:val="4"/>
          </w:tcPr>
          <w:p>
            <w:pPr>
              <w:jc w:val="center"/>
              <w:ind w:left="334"/>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46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2019</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2019</w:t>
            </w: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$ 20,330</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$18,068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9,599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9,643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5,365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11,372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3,202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1100" w:type="dxa"/>
            <w:vAlign w:val="bottom"/>
            <w:gridSpan w:val="2"/>
          </w:tcPr>
          <w:p>
            <w:pPr>
              <w:ind w:left="9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6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0.31</w:t>
            </w:r>
          </w:p>
        </w:tc>
        <w:tc>
          <w:tcPr>
            <w:tcW w:w="6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 per share</w:t>
            </w:r>
          </w:p>
        </w:tc>
        <w:tc>
          <w:tcPr>
            <w:tcW w:w="11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asset value per share at end of period</w:t>
            </w:r>
          </w:p>
        </w:tc>
        <w:tc>
          <w:tcPr>
            <w:tcW w:w="1100" w:type="dxa"/>
            <w:vAlign w:val="bottom"/>
            <w:gridSpan w:val="2"/>
          </w:tcPr>
          <w:p>
            <w:pPr>
              <w:ind w:left="9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16.55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16.29</w:t>
            </w:r>
          </w:p>
        </w:tc>
        <w:tc>
          <w:tcPr>
            <w:tcW w:w="6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16.47</w:t>
            </w:r>
          </w:p>
        </w:tc>
        <w:tc>
          <w:tcPr>
            <w:tcW w:w="6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16.85</w:t>
            </w:r>
          </w:p>
        </w:tc>
        <w:tc>
          <w:tcPr>
            <w:tcW w:w="40" w:type="dxa"/>
            <w:vAlign w:val="bottom"/>
          </w:tcPr>
          <w:p>
            <w:pPr>
              <w:spacing w:after="0"/>
              <w:rPr>
                <w:sz w:val="20"/>
                <w:szCs w:val="20"/>
                <w:color w:val="auto"/>
              </w:rPr>
            </w:pPr>
          </w:p>
        </w:tc>
      </w:tr>
      <w:tr>
        <w:trPr>
          <w:trHeight w:val="355"/>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620" w:type="dxa"/>
            <w:vAlign w:val="bottom"/>
            <w:gridSpan w:val="3"/>
          </w:tcPr>
          <w:p>
            <w:pPr>
              <w:ind w:left="1000"/>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24"/>
                <w:szCs w:val="2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36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89"/>
              </w:rPr>
              <w:t>September 30,</w:t>
            </w:r>
          </w:p>
        </w:tc>
        <w:tc>
          <w:tcPr>
            <w:tcW w:w="1380" w:type="dxa"/>
            <w:vAlign w:val="bottom"/>
            <w:gridSpan w:val="4"/>
          </w:tcPr>
          <w:p>
            <w:pPr>
              <w:jc w:val="center"/>
              <w:ind w:left="334"/>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46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2018</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2018</w:t>
            </w: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$ 18,233</w:t>
            </w: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$18,112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7,527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8,958</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7,481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11,092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15,025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7,644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1100" w:type="dxa"/>
            <w:vAlign w:val="bottom"/>
            <w:gridSpan w:val="2"/>
          </w:tcPr>
          <w:p>
            <w:pPr>
              <w:ind w:left="9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0.37</w:t>
            </w:r>
          </w:p>
        </w:tc>
        <w:tc>
          <w:tcPr>
            <w:tcW w:w="6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0.31</w:t>
            </w:r>
          </w:p>
        </w:tc>
        <w:tc>
          <w:tcPr>
            <w:tcW w:w="6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 per share</w:t>
            </w:r>
          </w:p>
        </w:tc>
        <w:tc>
          <w:tcPr>
            <w:tcW w:w="11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asset value per share at end of period</w:t>
            </w:r>
          </w:p>
        </w:tc>
        <w:tc>
          <w:tcPr>
            <w:tcW w:w="1100" w:type="dxa"/>
            <w:vAlign w:val="bottom"/>
            <w:gridSpan w:val="2"/>
          </w:tcPr>
          <w:p>
            <w:pPr>
              <w:ind w:left="9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16.20</w:t>
            </w:r>
          </w:p>
        </w:tc>
        <w:tc>
          <w:tcPr>
            <w:tcW w:w="6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16.41</w:t>
            </w:r>
          </w:p>
        </w:tc>
        <w:tc>
          <w:tcPr>
            <w:tcW w:w="6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16.47</w:t>
            </w:r>
          </w:p>
        </w:tc>
        <w:tc>
          <w:tcPr>
            <w:tcW w:w="4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Company has elected to be treated for federal income tax purposes as a RIC, whereby the Company generally will not pay corporate-level federal income taxes on any net ordinary income or capital gains that the Company distributes to its stockholders as dividends. The Company must generally distribute at least 90% of its investment company taxable income to maintain its RIC status. As part of maintaining RIC status, undistributed taxable income pertaining to a given fiscal year may be distributed up to 12 months subsequent to the end of that fiscal year, provided such dividends are declared prior to the later of the due date for filing of the federal income tax return (including extensions) for the prior year or the 15th day of the 10th month following the prior tax year. Such taxable income carried forward to the next tax year will be subject to excise tax equal to 4% of the amount by which (i) 98% of the Company’s ordinary income recognized during a calendar year and (ii) 98.2% of the Company’s long term capital gains, as defined by Subchapter M of the Code, recognized for the one year period ending October 31</w:t>
      </w:r>
      <w:r>
        <w:rPr>
          <w:rFonts w:ascii="Arial" w:cs="Arial" w:eastAsia="Arial" w:hAnsi="Arial"/>
          <w:sz w:val="13"/>
          <w:szCs w:val="13"/>
          <w:color w:val="auto"/>
        </w:rPr>
        <w:t>st</w:t>
      </w:r>
      <w:r>
        <w:rPr>
          <w:rFonts w:ascii="Arial" w:cs="Arial" w:eastAsia="Arial" w:hAnsi="Arial"/>
          <w:sz w:val="16"/>
          <w:szCs w:val="16"/>
          <w:color w:val="auto"/>
        </w:rPr>
        <w:t xml:space="preserve"> of a calendar year exceeds the respective distributions for the year. Excise tax is included as a component of income tax provision and income tax (provision) on realized gains on investments, depending on the character of the underlying taxable income (ordinary or capital gains), on the consolidated statements of operations.</w:t>
      </w:r>
    </w:p>
    <w:p>
      <w:pPr>
        <w:spacing w:after="0" w:line="169" w:lineRule="exact"/>
        <w:rPr>
          <w:sz w:val="20"/>
          <w:szCs w:val="20"/>
          <w:color w:val="auto"/>
        </w:rPr>
      </w:pPr>
    </w:p>
    <w:p>
      <w:pPr>
        <w:ind w:left="200" w:right="60" w:firstLine="441"/>
        <w:spacing w:after="0" w:line="285" w:lineRule="auto"/>
        <w:rPr>
          <w:sz w:val="20"/>
          <w:szCs w:val="20"/>
          <w:color w:val="auto"/>
        </w:rPr>
      </w:pPr>
      <w:r>
        <w:rPr>
          <w:rFonts w:ascii="Arial" w:cs="Arial" w:eastAsia="Arial" w:hAnsi="Arial"/>
          <w:sz w:val="16"/>
          <w:szCs w:val="16"/>
          <w:color w:val="auto"/>
        </w:rPr>
        <w:t>The Taxable Subsidiaries hold certain portfolio investments for the Company. The Taxable Subsidiaries are consolidated for financial reporting purposes, and the portfolio investments held by the Taxable Subsidiaries are included in the Company’s consolidated financial statements. The principal purpose of the Taxable Subsidiaries is to permit the Company to hold equity investments in portfolio companies which are “pass through” entities for federal income tax purposes in order to comply with the “source-of-income” requirements contained in the RIC tax provisions of Subchapter M of the Code. The Taxable Subsidiaries are not consolidated with the Company for U.S. federal corporate income tax purposes, and each Taxable Subsidiary is subject to U.S. federal corporate income tax on its taxable income. The Taxable Subsidiaries are taxed as corporations and do not intend to qualify as a RIC pursuant to Subchapter M of the Code. As corporations, the Taxable Subsidiaries are obligated to pay federal, state and local income tax on taxable income, as applicable. Income earned and gains realized on the investment or investments held by the Taxable Subsidiary are taxable to such subsidiary. A tax provision for ordinary income, if any, is shown as income tax provision in the Consolidated Statements of Operations of the Company. A tax provision for realized and unrealized gains on investments is included as a reduction of realized and unrealized gains (losses) on investments in the Consolidated Statements of Operations of the Company. On December 2017, the Tax Cuts and Jobs Act (“TCJA”) legislation was enacted. The TCJA includes significant changes to the U.S. corporate tax system, including a U.S. federal corporate income tax rate reduction from a progressive corporate tax rate structure, with a maximum rate of 35%, to a flat tax rate of 21%. For the years ended December 31, 2019 and 2018, the Taxable Subsidiaries were subject to a 21% federal income tax rate. For the year ended December 31, 2017, the Taxable Subsidiaries were subject to the progressive federal tax rate structure, with a maximum rate of 35%. The Company classifies interest and penalties, if any, as a component of income tax provision on the consolidated statements of operations. Income tax expense at the Taxable Subsidiaries is included as a component of the income tax provisions, depending on the character of the underlying taxable income (ordinary or capital gains), on the consolidated statements of operations. For the years ended December 31, 2019, 2018 and 2017, income tax expense at the Taxable Subsidiaries was $233, $1,103, and $1,973, respectively.</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and the Taxable Subsidiaries are also subject to various state and local income taxes.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The following table is a reconciliation of net increase in net assets resulting from operations on the consolidated statements of operations to taxable income and to total distributions declared to common stockholders for the years ended December 31, 2019, 2018 and 2017.</w:t>
      </w:r>
    </w:p>
    <w:p>
      <w:pPr>
        <w:spacing w:after="0" w:line="143"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4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(1)</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$ 48,465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$ 49,452</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$ 43,951</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(18,188)</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(25,718)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5,426</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Permanent book income and tax income differences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1,133</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Temporary book income and tax income differences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5,845</w:t>
            </w:r>
          </w:p>
        </w:tc>
        <w:tc>
          <w:tcPr>
            <w:tcW w:w="3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(1,820)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 forward (utilization)</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15,347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(11,968)</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Taxable income</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38,819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39,518</w:t>
            </w: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39,238</w:t>
            </w:r>
          </w:p>
        </w:tc>
        <w:tc>
          <w:tcPr>
            <w:tcW w:w="100" w:type="dxa"/>
            <w:vAlign w:val="bottom"/>
          </w:tcPr>
          <w:p>
            <w:pPr>
              <w:spacing w:after="0"/>
              <w:rPr>
                <w:sz w:val="19"/>
                <w:szCs w:val="19"/>
                <w:color w:val="auto"/>
              </w:rPr>
            </w:pPr>
          </w:p>
        </w:tc>
      </w:tr>
      <w:tr>
        <w:trPr>
          <w:trHeight w:val="202"/>
        </w:trPr>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Taxable income earned in prior year and carried forward for distribution in current</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15,634</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14,005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Taxable Subsidiaries liquidating distributions</w:t>
            </w: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1,269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Taxable income earned in current period and carried forward for distribution in</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following year</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(15,312)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(15,634)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(14,005)</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distributions to common stockholders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$ 39,141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$ 39,158</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$ 37,592</w:t>
            </w:r>
          </w:p>
        </w:tc>
        <w:tc>
          <w:tcPr>
            <w:tcW w:w="10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40" w:hanging="436"/>
        <w:spacing w:after="0" w:line="264"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Company’s taxable income for 2019 is an estimate and will not be finalized until the Company files its 2019 federal income tax returns in 2020. Therefore, the Company’s actual taxable income, and the Company’s actual taxable income that was earned in 2019 and carried forward for distribution in 2020, may be different than this estimate.</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tax purposes, distributions paid to stockholders are reported as ordinary income, long term capital gains and return of capital, or a combination thereof. The tax character of distributions paid for the years ended December 31, 2019, 2018 and 2017 was as follows: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76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$39,141</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$39,158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$37,592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Long term capital gains</w:t>
            </w:r>
          </w:p>
        </w:tc>
        <w:tc>
          <w:tcPr>
            <w:tcW w:w="9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distributions to common stockholders</w:t>
            </w: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39,141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39,158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37,592</w:t>
            </w:r>
          </w:p>
        </w:tc>
        <w:tc>
          <w:tcPr>
            <w:tcW w:w="6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Company estimates that it generated undistributed ordinary taxable income of approximately $15,312, or a total of $0.63 per share, during 2019 that will be carried forward and distributed in 2020. Ordinary dividend distributions from a RIC do not qualify for the preferential federal income tax rate on dividend income from certain domestic corporations and qualified foreign corporations, except to the extent that the RIC received the income in the form of qualifying dividends from domestic corporations and qualified foreign corporations.</w:t>
      </w:r>
    </w:p>
    <w:p>
      <w:pPr>
        <w:spacing w:after="0" w:line="17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Company may distribute a portion of its realized net long term capital gains in excess of realized net short term capital losses to its stockholders, but may also decide to retain a portion, or all, of its net capital gains and elect to make a “deemed distribution” to its stockholders. For the years ended December 31, 2019, 2018 and 2017, the Company did not elect to designate retained net capital gains as a deemed distribution.</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2019 and 2018, the tax basis components of distributable earnings were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(1)</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Undistributed long term capital 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Unrealized appreciation (depreciation)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Temporary book/tax differences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(9,393)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(3,547)</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 forward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(20,550)</w:t>
            </w: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Total distributable earnings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46,225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right="160" w:hanging="436"/>
        <w:spacing w:after="0" w:line="258"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Company’s distributable earnings for 2019 is an estimate and will not be finally determined until the Company files its 2019 federal income tax returns in 2020. Therefore, the Company’s actual distributable earnings may be different than this estimate.</w:t>
      </w:r>
    </w:p>
    <w:p>
      <w:pPr>
        <w:spacing w:after="0" w:line="1" w:lineRule="exact"/>
        <w:rPr>
          <w:rFonts w:ascii="Arial" w:cs="Arial" w:eastAsia="Arial" w:hAnsi="Arial"/>
          <w:sz w:val="18"/>
          <w:szCs w:val="18"/>
          <w:color w:val="auto"/>
        </w:rPr>
      </w:pPr>
    </w:p>
    <w:p>
      <w:pPr>
        <w:ind w:left="640" w:right="200" w:hanging="436"/>
        <w:spacing w:after="0" w:line="261"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addition, there is net unrealized appreciation (depreciation) of zero and $(504) included in additional paid-in capital as of December 31, 2019 and 2018, respectively, that was recognized prior to the IPO.</w:t>
      </w:r>
    </w:p>
    <w:p>
      <w:pPr>
        <w:spacing w:after="0" w:line="18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For federal income tax purposes, the cost of investments owned at December 31, 2019 and 2018 was approximately $700,264 and $596,847, respectively.</w:t>
      </w:r>
    </w:p>
    <w:p>
      <w:pPr>
        <w:sectPr>
          <w:pgSz w:w="11900" w:h="16838" w:orient="portrait"/>
          <w:cols w:equalWidth="0" w:num="1">
            <w:col w:w="11200"/>
          </w:cols>
          <w:pgMar w:left="240" w:top="459" w:right="459" w:bottom="1440" w:gutter="0" w:footer="0" w:header="0"/>
        </w:sectPr>
      </w:pP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200"/>
          </w:cols>
          <w:pgMar w:left="240" w:top="459" w:right="45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180" w:type="dxa"/>
            <w:vAlign w:val="bottom"/>
            <w:gridSpan w:val="4"/>
          </w:tcPr>
          <w:p>
            <w:pPr>
              <w:ind w:left="106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Tax-basis amortized cost of investments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Tax-basis gross unrealized appreciation on investments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83,301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70,999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Tax-basis gross unrealized depreciation on investments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(24,864)</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Tax-basis net unrealized appreciation on investments</w:t>
            </w:r>
          </w:p>
        </w:tc>
        <w:tc>
          <w:tcPr>
            <w:tcW w:w="10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investments</w:t>
            </w:r>
          </w:p>
        </w:tc>
        <w:tc>
          <w:tcPr>
            <w:tcW w:w="12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766,919</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642,982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160" w:hanging="436"/>
        <w:spacing w:after="0" w:line="264"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Company’s tax-basis amortized cost of investments for 2019 is an estimate and will not be finally determined until 2020 when the Company receives the relevant tax forms from portfolio companies with equity investments. Therefore, the Company’s actual tax-basis amortized cost of investments may be different than this estimate.</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Distributions from net investment income and net realized capital gains are determined in accordance with U.S. federal tax regulations, which may differ from amounts determined in accordance with GAAP and those differences could be material. These permanent book-to-tax differences are reclassified on the consolidated statements of changes in net assets to reflect their tax character but have no impact on total net assets. The following permanent book-to-tax differences were reclassified on the consolidated statements of changes in net assets for the years ended December 31, 2019,</w:t>
      </w:r>
    </w:p>
    <w:p>
      <w:pPr>
        <w:spacing w:after="0" w:line="2" w:lineRule="exact"/>
        <w:rPr>
          <w:sz w:val="20"/>
          <w:szCs w:val="20"/>
          <w:color w:val="auto"/>
        </w:rPr>
      </w:pPr>
    </w:p>
    <w:p>
      <w:pPr>
        <w:jc w:val="both"/>
        <w:ind w:left="200"/>
        <w:spacing w:after="0" w:line="331" w:lineRule="auto"/>
        <w:rPr>
          <w:sz w:val="20"/>
          <w:szCs w:val="20"/>
          <w:color w:val="auto"/>
        </w:rPr>
      </w:pPr>
      <w:r>
        <w:rPr>
          <w:rFonts w:ascii="Arial" w:cs="Arial" w:eastAsia="Arial" w:hAnsi="Arial"/>
          <w:sz w:val="15"/>
          <w:szCs w:val="15"/>
          <w:color w:val="auto"/>
        </w:rPr>
        <w:t xml:space="preserve">2018 and 2017. In 2018, the Company adopted SEC Final Rule Release No. 33-10532, </w:t>
      </w:r>
      <w:r>
        <w:rPr>
          <w:rFonts w:ascii="Arial" w:cs="Arial" w:eastAsia="Arial" w:hAnsi="Arial"/>
          <w:sz w:val="15"/>
          <w:szCs w:val="15"/>
          <w:i w:val="1"/>
          <w:iCs w:val="1"/>
          <w:color w:val="auto"/>
        </w:rPr>
        <w:t>Disclosure Update and Simplification</w:t>
      </w:r>
      <w:r>
        <w:rPr>
          <w:rFonts w:ascii="Arial" w:cs="Arial" w:eastAsia="Arial" w:hAnsi="Arial"/>
          <w:sz w:val="15"/>
          <w:szCs w:val="15"/>
          <w:color w:val="auto"/>
        </w:rPr>
        <w:t>, pursuant to which certain presentation changes are reflected in the consolidated statements of assets and liabilities and the consolidated statements of changes in net assets. Certain amounts from 2017 have been retrospectively reclassified to conform to the current year presentation resulting from the adoption of the amended rule.</w:t>
      </w:r>
    </w:p>
    <w:p>
      <w:pPr>
        <w:spacing w:after="0" w:line="155"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8"/>
              </w:rPr>
              <w:t xml:space="preserve">2019 </w:t>
            </w:r>
            <w:r>
              <w:rPr>
                <w:rFonts w:ascii="Arial" w:cs="Arial" w:eastAsia="Arial" w:hAnsi="Arial"/>
                <w:sz w:val="12"/>
                <w:szCs w:val="12"/>
                <w:b w:val="1"/>
                <w:bCs w:val="1"/>
                <w:color w:val="auto"/>
                <w:w w:val="88"/>
              </w:rPr>
              <w:t>(1)</w:t>
            </w:r>
          </w:p>
        </w:tc>
        <w:tc>
          <w:tcPr>
            <w:tcW w:w="180" w:type="dxa"/>
            <w:vAlign w:val="bottom"/>
          </w:tcPr>
          <w:p>
            <w:pPr>
              <w:spacing w:after="0"/>
              <w:rPr>
                <w:sz w:val="14"/>
                <w:szCs w:val="14"/>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Additional paid-in capital </w:t>
            </w:r>
            <w:r>
              <w:rPr>
                <w:rFonts w:ascii="Arial" w:cs="Arial" w:eastAsia="Arial" w:hAnsi="Arial"/>
                <w:sz w:val="15"/>
                <w:szCs w:val="15"/>
                <w:color w:val="auto"/>
              </w:rPr>
              <w:t>(2)</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(627)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$(3,526)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Total distributable earnings</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627</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3,526</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2,500</w:t>
            </w:r>
          </w:p>
        </w:tc>
      </w:tr>
    </w:tbl>
    <w:p>
      <w:pPr>
        <w:spacing w:after="0" w:line="214" w:lineRule="exact"/>
        <w:rPr>
          <w:sz w:val="20"/>
          <w:szCs w:val="20"/>
          <w:color w:val="auto"/>
        </w:rPr>
      </w:pPr>
    </w:p>
    <w:p>
      <w:pPr>
        <w:ind w:left="640" w:right="60" w:hanging="436"/>
        <w:spacing w:after="0" w:line="254"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Company’s permanent book-to-tax reclassifications for 2019 are an estimate and will not be finalized until the Company files its 2019 federal income tax returns in 2020. Therefore, the Company’s actual permanent book-to-tax reclassifications may be different than this estimate. The Company adjusts such reclassifications in the following years when finalized, and such adjustments are reflected in the consolidated statements of changes in net assets and the consolidated statements of assets and liabilities.</w:t>
      </w:r>
    </w:p>
    <w:p>
      <w:pPr>
        <w:spacing w:after="0" w:line="2" w:lineRule="exact"/>
        <w:rPr>
          <w:rFonts w:ascii="Arial" w:cs="Arial" w:eastAsia="Arial" w:hAnsi="Arial"/>
          <w:sz w:val="18"/>
          <w:szCs w:val="18"/>
          <w:color w:val="auto"/>
        </w:rPr>
      </w:pPr>
    </w:p>
    <w:p>
      <w:pPr>
        <w:ind w:left="640" w:right="220" w:hanging="436"/>
        <w:spacing w:after="0" w:line="261"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the reversal of unrealized (appreciation) depreciation that was recognized prior to the IPO of $504, zero and $(501) for the years ended December 31, 2019, 2018 and 2017, respectively.</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Subsequent Events</w:t>
      </w:r>
    </w:p>
    <w:p>
      <w:pPr>
        <w:spacing w:after="0" w:line="12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On January 10, 2020, the Company received a distribution on its equity investment in Fiber Materials Inc., resulting in a realized gain of approximately $9,769.</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On January 29, 2020, the Company exited its debt investment in Hunter Defense Technologies, Inc. The Company received payment in full of $9,242 on its first lien debt.</w:t>
      </w:r>
    </w:p>
    <w:p>
      <w:pPr>
        <w:spacing w:after="0" w:line="17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On January 31, 2020, the Company invested $11,000 in a revolving loan and first lien debt of Combined Systems, Inc., a leading designer, manufacturer, and marketer of non-lethal security products for the global defense and law enforcement markets.</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On February 7, 2020, the Company invested $15,000 in first lien debt of Routeware, Inc., a leading provider of highly integrated fleet automation software and systems for waste haulers and municipalities.</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On February 12, 2020, the Board declared a regular quarterly dividend of $0.39 per share payable on March 27, 2020 to stockholders of record as of March 13, 2020.</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Management’s Annual Report on Internal Control over Financial Reporting and Attestation Report of the Registered Public Accounting Firm</w:t>
      </w:r>
    </w:p>
    <w:p>
      <w:pPr>
        <w:spacing w:after="0" w:line="129"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is responsible for establishing and maintaining adequate internal control over financial reporting, as such term is defined in Rules 13a-15(f) and 15d-15(f) under the Exchange Act. Our internal control over financial reporting is a process designed to provide reasonable assurance regarding the reliability of financial reporting and the preparation of our financial statements for external reporting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3"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 xml:space="preserve">Management (with the participation of our Chief Executive Officer and Chief Financial Officer)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 Based on this evaluation, management concluded that our internal control over financial reporting was effective as of December 31, 2019.</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Attestation Report of the Registered Public Accounting Firm</w:t>
      </w:r>
    </w:p>
    <w:p>
      <w:pPr>
        <w:spacing w:after="0" w:line="117"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Our internal control over financial reporting as of December 31, 2019 has been audited by RSM US LLP, an independent registered public accounting firm, as stated in their report, which is included in Item 8 of Part II of this Annual Report under the heading Report of Independent Registered Public Accounting Firm.</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2019 that have materially affected, or are reasonably likely to materially affect, our internal control over financial reporting.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The information required by Item 10 is hereby incorporated by reference from our definitive Proxy Statement relating to our 2020 Annual Meeting of Stockholders, to be filed with the U.S. Securities and Exchange Commission within 120 days following the end of our fiscal year.</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information required by Item 11 is hereby incorporated by reference from our definitive Proxy Statement relating to our 2020 Annual Meeting of Stockholders, to be filed with the U.S. Securities and Exchange Commission within 120 days following the end of our fiscal year.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The information required by Item 12 is hereby incorporated by reference from our definitive Proxy Statement relating to our 2020 Annual Meeting of Stockholders, to be filed with the U.S. Securities and Exchange Commission within 120 days following the end of our fiscal year.</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The information required by Item 13 is hereby incorporated by reference from our definitive Proxy Statement relating to our 2020 Annual Meeting of Stockholders, to be filed with the U.S. Securities and Exchange Commission within 120 days following the end of our fiscal year.</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The information required by Item 14 is hereby incorporated by reference from our definitive Proxy Statement relating to our 2020 Annual Meeting of Stockholders, to be filed with the U.S. Securities and Exchange Commission within 120 days following the end of our fiscal year.</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80" w:type="dxa"/>
            <w:vAlign w:val="bottom"/>
            <w:gridSpan w:val="6"/>
          </w:tcPr>
          <w:p>
            <w:pPr>
              <w:ind w:left="860"/>
              <w:spacing w:after="0"/>
              <w:rPr>
                <w:sz w:val="20"/>
                <w:szCs w:val="20"/>
                <w:color w:val="auto"/>
              </w:rPr>
            </w:pPr>
            <w:r>
              <w:rPr>
                <w:rFonts w:ascii="Arial" w:cs="Arial" w:eastAsia="Arial" w:hAnsi="Arial"/>
                <w:sz w:val="18"/>
                <w:szCs w:val="18"/>
                <w:b w:val="1"/>
                <w:bCs w:val="1"/>
                <w:color w:val="auto"/>
              </w:rPr>
              <w:t>PART IV</w:t>
            </w:r>
          </w:p>
        </w:tc>
        <w:tc>
          <w:tcPr>
            <w:tcW w:w="1600" w:type="dxa"/>
            <w:vAlign w:val="bottom"/>
          </w:tcPr>
          <w:p>
            <w:pPr>
              <w:spacing w:after="0"/>
              <w:rPr>
                <w:sz w:val="20"/>
                <w:szCs w:val="20"/>
                <w:color w:val="auto"/>
              </w:rPr>
            </w:pPr>
          </w:p>
        </w:tc>
      </w:tr>
      <w:tr>
        <w:trPr>
          <w:trHeight w:val="324"/>
        </w:trPr>
        <w:tc>
          <w:tcPr>
            <w:tcW w:w="938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60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9020" w:type="dxa"/>
            <w:vAlign w:val="bottom"/>
            <w:gridSpan w:val="9"/>
          </w:tcPr>
          <w:p>
            <w:pPr>
              <w:ind w:left="80"/>
              <w:spacing w:after="0"/>
              <w:rPr>
                <w:sz w:val="20"/>
                <w:szCs w:val="20"/>
                <w:color w:val="auto"/>
              </w:rPr>
            </w:pPr>
            <w:r>
              <w:rPr>
                <w:rFonts w:ascii="Arial" w:cs="Arial" w:eastAsia="Arial" w:hAnsi="Arial"/>
                <w:sz w:val="18"/>
                <w:szCs w:val="18"/>
                <w:color w:val="auto"/>
              </w:rPr>
              <w:t>The following documents are filed or incorporated by reference as part of this Annual Report:</w:t>
            </w:r>
          </w:p>
        </w:tc>
        <w:tc>
          <w:tcPr>
            <w:tcW w:w="16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9020" w:type="dxa"/>
            <w:vAlign w:val="bottom"/>
            <w:gridSpan w:val="9"/>
          </w:tcPr>
          <w:p>
            <w:pPr>
              <w:ind w:left="8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Consolidated Financial Statements</w:t>
            </w:r>
          </w:p>
        </w:tc>
        <w:tc>
          <w:tcPr>
            <w:tcW w:w="1600" w:type="dxa"/>
            <w:vAlign w:val="bottom"/>
          </w:tcPr>
          <w:p>
            <w:pPr>
              <w:spacing w:after="0"/>
              <w:rPr>
                <w:sz w:val="24"/>
                <w:szCs w:val="24"/>
                <w:color w:val="auto"/>
              </w:rPr>
            </w:pPr>
          </w:p>
        </w:tc>
      </w:tr>
      <w:tr>
        <w:trPr>
          <w:trHeight w:val="377"/>
        </w:trPr>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4300" w:type="dxa"/>
            <w:vAlign w:val="bottom"/>
            <w:tcBorders>
              <w:bottom w:val="single" w:sz="8" w:color="0000EE"/>
            </w:tcBorders>
            <w:gridSpan w:val="4"/>
          </w:tcPr>
          <w:p>
            <w:pPr>
              <w:spacing w:after="0" w:line="190"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Reports of Independent Registered Public Accounting Firm</w:t>
              </w:r>
            </w:hyperlink>
          </w:p>
        </w:tc>
        <w:tc>
          <w:tcPr>
            <w:tcW w:w="5080" w:type="dxa"/>
            <w:vAlign w:val="bottom"/>
            <w:gridSpan w:val="6"/>
          </w:tcPr>
          <w:p>
            <w:pPr>
              <w:spacing w:after="0"/>
              <w:rPr>
                <w:sz w:val="16"/>
                <w:szCs w:val="16"/>
                <w:color w:val="auto"/>
              </w:rPr>
            </w:pPr>
          </w:p>
        </w:tc>
        <w:tc>
          <w:tcPr>
            <w:tcW w:w="1600" w:type="dxa"/>
            <w:vAlign w:val="bottom"/>
          </w:tcPr>
          <w:p>
            <w:pPr>
              <w:jc w:val="right"/>
              <w:spacing w:after="0" w:line="190" w:lineRule="exact"/>
              <w:rPr>
                <w:sz w:val="20"/>
                <w:szCs w:val="20"/>
                <w:color w:val="auto"/>
              </w:rPr>
            </w:pPr>
            <w:r>
              <w:rPr>
                <w:rFonts w:ascii="Arial" w:cs="Arial" w:eastAsia="Arial" w:hAnsi="Arial"/>
                <w:sz w:val="18"/>
                <w:szCs w:val="18"/>
                <w:color w:val="auto"/>
              </w:rPr>
              <w:t>71</w:t>
            </w:r>
          </w:p>
        </w:tc>
      </w:tr>
      <w:tr>
        <w:trPr>
          <w:trHeight w:val="196"/>
        </w:trPr>
        <w:tc>
          <w:tcPr>
            <w:tcW w:w="9380" w:type="dxa"/>
            <w:vAlign w:val="bottom"/>
            <w:gridSpan w:val="10"/>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Consolidated Financial Statements</w:t>
              </w:r>
            </w:hyperlink>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3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020" w:type="dxa"/>
            <w:vAlign w:val="bottom"/>
            <w:gridSpan w:val="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Assets and Liabilities as of December 31, 2019 and 2018</w:t>
              </w:r>
            </w:hyperlink>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36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9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Statements of Operations for the Years Ended December 31, 2019, 2018 and 2017</w:t>
              </w:r>
            </w:hyperlink>
          </w:p>
        </w:tc>
        <w:tc>
          <w:tcPr>
            <w:tcW w:w="2060" w:type="dxa"/>
            <w:vAlign w:val="bottom"/>
            <w:gridSpan w:val="3"/>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360" w:type="dxa"/>
            <w:vAlign w:val="bottom"/>
          </w:tcPr>
          <w:p>
            <w:pPr>
              <w:spacing w:after="0"/>
              <w:rPr>
                <w:sz w:val="17"/>
                <w:szCs w:val="17"/>
                <w:color w:val="auto"/>
              </w:rPr>
            </w:pPr>
          </w:p>
        </w:tc>
        <w:tc>
          <w:tcPr>
            <w:tcW w:w="9020" w:type="dxa"/>
            <w:vAlign w:val="bottom"/>
            <w:gridSpan w:val="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Changes in Net Assets for the Years Ended December 31, 2019, 2018 and 2017</w:t>
              </w:r>
            </w:hyperlink>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360" w:type="dxa"/>
            <w:vAlign w:val="bottom"/>
          </w:tcPr>
          <w:p>
            <w:pPr>
              <w:spacing w:after="0"/>
              <w:rPr>
                <w:sz w:val="17"/>
                <w:szCs w:val="17"/>
                <w:color w:val="auto"/>
              </w:rPr>
            </w:pPr>
          </w:p>
        </w:tc>
        <w:tc>
          <w:tcPr>
            <w:tcW w:w="7740" w:type="dxa"/>
            <w:vAlign w:val="bottom"/>
            <w:tcBorders>
              <w:top w:val="single" w:sz="8" w:color="0000EE"/>
            </w:tcBorders>
            <w:gridSpan w:val="8"/>
          </w:tcPr>
          <w:p>
            <w:pPr>
              <w:spacing w:after="0" w:line="196"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Consolidated Statements of Cash Flows for the Years Ended December 31, 2019, 2018 and 2017</w:t>
              </w:r>
            </w:hyperlink>
          </w:p>
        </w:tc>
        <w:tc>
          <w:tcPr>
            <w:tcW w:w="128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60" w:type="dxa"/>
            <w:vAlign w:val="bottom"/>
          </w:tcPr>
          <w:p>
            <w:pPr>
              <w:spacing w:after="0"/>
              <w:rPr>
                <w:sz w:val="17"/>
                <w:szCs w:val="17"/>
                <w:color w:val="auto"/>
              </w:rPr>
            </w:pPr>
          </w:p>
        </w:tc>
        <w:tc>
          <w:tcPr>
            <w:tcW w:w="5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Schedules of Investments as of December 31, 2019 and 2018</w:t>
              </w:r>
            </w:hyperlink>
          </w:p>
        </w:tc>
        <w:tc>
          <w:tcPr>
            <w:tcW w:w="1600" w:type="dxa"/>
            <w:vAlign w:val="bottom"/>
            <w:tcBorders>
              <w:top w:val="single" w:sz="8" w:color="0000EE"/>
            </w:tcBorders>
            <w:gridSpan w:val="3"/>
          </w:tcPr>
          <w:p>
            <w:pPr>
              <w:spacing w:after="0"/>
              <w:rPr>
                <w:sz w:val="17"/>
                <w:szCs w:val="17"/>
                <w:color w:val="auto"/>
              </w:rPr>
            </w:pPr>
          </w:p>
        </w:tc>
        <w:tc>
          <w:tcPr>
            <w:tcW w:w="2020" w:type="dxa"/>
            <w:vAlign w:val="bottom"/>
            <w:gridSpan w:val="2"/>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360" w:type="dxa"/>
            <w:vAlign w:val="bottom"/>
          </w:tcPr>
          <w:p>
            <w:pPr>
              <w:spacing w:after="0"/>
              <w:rPr>
                <w:sz w:val="17"/>
                <w:szCs w:val="17"/>
                <w:color w:val="auto"/>
              </w:rPr>
            </w:pPr>
          </w:p>
        </w:tc>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Notes to Consolidated Financial Statements</w:t>
              </w:r>
            </w:hyperlink>
          </w:p>
        </w:tc>
        <w:tc>
          <w:tcPr>
            <w:tcW w:w="5860" w:type="dxa"/>
            <w:vAlign w:val="bottom"/>
            <w:gridSpan w:val="7"/>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bl>
    <w:p>
      <w:pPr>
        <w:spacing w:after="0" w:line="225" w:lineRule="exact"/>
        <w:rPr>
          <w:sz w:val="20"/>
          <w:szCs w:val="20"/>
          <w:color w:val="auto"/>
        </w:rPr>
      </w:pPr>
    </w:p>
    <w:p>
      <w:pPr>
        <w:ind w:left="1200" w:right="7940" w:hanging="556"/>
        <w:spacing w:after="0" w:line="407" w:lineRule="auto"/>
        <w:tabs>
          <w:tab w:leader="none" w:pos="904"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None.</w:t>
      </w:r>
    </w:p>
    <w:p>
      <w:pPr>
        <w:spacing w:after="0" w:line="54" w:lineRule="exact"/>
        <w:rPr>
          <w:rFonts w:ascii="Arial" w:cs="Arial" w:eastAsia="Arial" w:hAnsi="Arial"/>
          <w:sz w:val="18"/>
          <w:szCs w:val="18"/>
          <w:b w:val="1"/>
          <w:bCs w:val="1"/>
          <w:color w:val="auto"/>
        </w:rPr>
      </w:pPr>
    </w:p>
    <w:p>
      <w:pPr>
        <w:ind w:left="900" w:hanging="256"/>
        <w:spacing w:after="0"/>
        <w:tabs>
          <w:tab w:leader="none" w:pos="9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1200" w:right="280"/>
        <w:spacing w:after="0" w:line="277" w:lineRule="auto"/>
        <w:rPr>
          <w:sz w:val="20"/>
          <w:szCs w:val="20"/>
          <w:color w:val="auto"/>
        </w:rPr>
      </w:pPr>
      <w:r>
        <w:rPr>
          <w:rFonts w:ascii="Arial" w:cs="Arial" w:eastAsia="Arial" w:hAnsi="Arial"/>
          <w:sz w:val="18"/>
          <w:szCs w:val="18"/>
          <w:color w:val="auto"/>
        </w:rPr>
        <w:t>Unless otherwise noted, the following exhibits are filed as part of this report or hereby incorporated by reference to exhibits previously filed with the SEC:</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040" w:type="dxa"/>
            <w:vAlign w:val="bottom"/>
            <w:gridSpan w:val="20"/>
          </w:tcPr>
          <w:p>
            <w:pPr>
              <w:spacing w:after="0"/>
              <w:rPr>
                <w:sz w:val="14"/>
                <w:szCs w:val="14"/>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w w:val="92"/>
              </w:rPr>
            </w:pPr>
            <w:hyperlink r:id="rId167">
              <w:r>
                <w:rPr>
                  <w:rFonts w:ascii="Arial" w:cs="Arial" w:eastAsia="Arial" w:hAnsi="Arial"/>
                  <w:sz w:val="18"/>
                  <w:szCs w:val="18"/>
                  <w:color w:val="0000EE"/>
                  <w:w w:val="92"/>
                </w:rPr>
                <w:t>Articles of Amendment and Restatement of the Registrant (Filed as Exhibit (a)(1) to Pre-Effective Amendment No. 2 to the Registrant’s</w:t>
              </w:r>
            </w:hyperlink>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Registration Statement on Form N-2 (File No. 333-172550) filed with the U.S. Securities and Exchange Commission on April 29, 2011</w:t>
              </w:r>
            </w:hyperlink>
          </w:p>
        </w:tc>
        <w:tc>
          <w:tcPr>
            <w:tcW w:w="40" w:type="dxa"/>
            <w:vAlign w:val="bottom"/>
            <w:tcBorders>
              <w:top w:val="single" w:sz="8" w:color="0000EE"/>
            </w:tcBorders>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67">
              <w:r>
                <w:rPr>
                  <w:rFonts w:ascii="Arial" w:cs="Arial" w:eastAsia="Arial" w:hAnsi="Arial"/>
                  <w:sz w:val="18"/>
                  <w:szCs w:val="18"/>
                  <w:color w:val="0000EE"/>
                  <w:w w:val="89"/>
                </w:rPr>
                <w:t>and incorporated herein by reference).</w:t>
              </w:r>
            </w:hyperlink>
          </w:p>
        </w:tc>
        <w:tc>
          <w:tcPr>
            <w:tcW w:w="7200" w:type="dxa"/>
            <w:vAlign w:val="bottom"/>
            <w:gridSpan w:val="25"/>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9820" w:type="dxa"/>
            <w:vAlign w:val="bottom"/>
            <w:tcBorders>
              <w:bottom w:val="single" w:sz="8" w:color="0000EE"/>
            </w:tcBorders>
            <w:gridSpan w:val="25"/>
          </w:tcPr>
          <w:p>
            <w:pPr>
              <w:spacing w:after="0"/>
              <w:rPr>
                <w:rFonts w:ascii="Arial" w:cs="Arial" w:eastAsia="Arial" w:hAnsi="Arial"/>
                <w:sz w:val="18"/>
                <w:szCs w:val="18"/>
                <w:color w:val="0000EE"/>
                <w:w w:val="92"/>
              </w:rPr>
            </w:pPr>
            <w:hyperlink r:id="rId168">
              <w:r>
                <w:rPr>
                  <w:rFonts w:ascii="Arial" w:cs="Arial" w:eastAsia="Arial" w:hAnsi="Arial"/>
                  <w:sz w:val="18"/>
                  <w:szCs w:val="18"/>
                  <w:color w:val="0000EE"/>
                  <w:w w:val="92"/>
                </w:rPr>
                <w:t>Bylaws of the Registrant (Filed as Exhibit (b)(1) to Pre-Effective Amendment No. 2 to the Registrant’s Registration Statement on Form</w:t>
              </w:r>
            </w:hyperlink>
          </w:p>
        </w:tc>
        <w:tc>
          <w:tcPr>
            <w:tcW w:w="140" w:type="dxa"/>
            <w:vAlign w:val="bottom"/>
            <w:gridSpan w:val="4"/>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N-2 (File No. 333-172550) filed with the U.S. Securities and Exchange Commission on April 29, 2011 and incorporated herein by</w:t>
              </w:r>
            </w:hyperlink>
          </w:p>
        </w:tc>
        <w:tc>
          <w:tcPr>
            <w:tcW w:w="520" w:type="dxa"/>
            <w:vAlign w:val="bottom"/>
            <w:gridSpan w:val="12"/>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68">
              <w:r>
                <w:rPr>
                  <w:rFonts w:ascii="Arial" w:cs="Arial" w:eastAsia="Arial" w:hAnsi="Arial"/>
                  <w:sz w:val="18"/>
                  <w:szCs w:val="18"/>
                  <w:color w:val="0000EE"/>
                  <w:w w:val="87"/>
                </w:rPr>
                <w:t>reference).</w:t>
              </w:r>
            </w:hyperlink>
          </w:p>
        </w:tc>
        <w:tc>
          <w:tcPr>
            <w:tcW w:w="9180" w:type="dxa"/>
            <w:vAlign w:val="bottom"/>
            <w:gridSpan w:val="28"/>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w w:val="97"/>
              </w:rPr>
            </w:pPr>
            <w:hyperlink r:id="rId169">
              <w:r>
                <w:rPr>
                  <w:rFonts w:ascii="Arial" w:cs="Arial" w:eastAsia="Arial" w:hAnsi="Arial"/>
                  <w:sz w:val="18"/>
                  <w:szCs w:val="18"/>
                  <w:color w:val="0000EE"/>
                  <w:w w:val="97"/>
                </w:rPr>
                <w:t>Form of Stock Certificate of the Registrant (Filed as Exhibit (d) to Pre-Effective Amendment No. 2 to the Registrant’s Registration</w:t>
              </w:r>
            </w:hyperlink>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Statement on Form N-2 (File No. 333-172550) filed with the U.S. Securities and Exchange Commission on April 29, 2011 and</w:t>
              </w:r>
            </w:hyperlink>
          </w:p>
        </w:tc>
        <w:tc>
          <w:tcPr>
            <w:tcW w:w="280" w:type="dxa"/>
            <w:vAlign w:val="bottom"/>
            <w:tcBorders>
              <w:top w:val="single" w:sz="8" w:color="0000EE"/>
            </w:tcBorders>
            <w:gridSpan w:val="3"/>
          </w:tcPr>
          <w:p>
            <w:pPr>
              <w:spacing w:after="0"/>
              <w:rPr>
                <w:sz w:val="17"/>
                <w:szCs w:val="17"/>
                <w:color w:val="auto"/>
              </w:rPr>
            </w:pPr>
          </w:p>
        </w:tc>
        <w:tc>
          <w:tcPr>
            <w:tcW w:w="480" w:type="dxa"/>
            <w:vAlign w:val="bottom"/>
            <w:gridSpan w:val="10"/>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incorporated herein by reference).</w:t>
              </w:r>
            </w:hyperlink>
          </w:p>
        </w:tc>
        <w:tc>
          <w:tcPr>
            <w:tcW w:w="7500" w:type="dxa"/>
            <w:vAlign w:val="bottom"/>
            <w:gridSpan w:val="26"/>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9600" w:type="dxa"/>
            <w:vAlign w:val="bottom"/>
            <w:tcBorders>
              <w:bottom w:val="single" w:sz="8" w:color="0000EE"/>
            </w:tcBorders>
            <w:gridSpan w:val="21"/>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Agreement to Furnish Certain Instruments (Filed as Exhibit (f)(2) to Pre-Effective Amendment No. 3 to the Registrant’s Registration</w:t>
              </w:r>
            </w:hyperlink>
          </w:p>
        </w:tc>
        <w:tc>
          <w:tcPr>
            <w:tcW w:w="360" w:type="dxa"/>
            <w:vAlign w:val="bottom"/>
            <w:gridSpan w:val="8"/>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1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Statement on Form N-2 (File No. 333-172550) filed with the U.S. Securities and Exchange Commission on May 26, 2011 and</w:t>
              </w:r>
            </w:hyperlink>
          </w:p>
        </w:tc>
        <w:tc>
          <w:tcPr>
            <w:tcW w:w="860" w:type="dxa"/>
            <w:vAlign w:val="bottom"/>
            <w:gridSpan w:val="15"/>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incorporated herein by reference).</w:t>
              </w:r>
            </w:hyperlink>
          </w:p>
        </w:tc>
        <w:tc>
          <w:tcPr>
            <w:tcW w:w="7500" w:type="dxa"/>
            <w:vAlign w:val="bottom"/>
            <w:gridSpan w:val="26"/>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w w:val="94"/>
              </w:rPr>
            </w:pPr>
            <w:hyperlink r:id="rId171">
              <w:r>
                <w:rPr>
                  <w:rFonts w:ascii="Arial" w:cs="Arial" w:eastAsia="Arial" w:hAnsi="Arial"/>
                  <w:sz w:val="18"/>
                  <w:szCs w:val="18"/>
                  <w:color w:val="0000EE"/>
                  <w:w w:val="94"/>
                </w:rPr>
                <w:t>Form of Indenture (Filed as Exhibit (d)(5) to Post-Effective Amendment No. 2 to the Registrant’s Registration Statement on Form N-2</w:t>
              </w:r>
            </w:hyperlink>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(File No. 333-202531) filed with the Securities and Exchange Commission on April 29, 2016 and incorporated herein by reference).</w:t>
              </w:r>
            </w:hyperlink>
          </w:p>
        </w:tc>
        <w:tc>
          <w:tcPr>
            <w:tcW w:w="160" w:type="dxa"/>
            <w:vAlign w:val="bottom"/>
            <w:tcBorders>
              <w:top w:val="single" w:sz="8" w:color="0000EE"/>
            </w:tcBorders>
            <w:gridSpan w:val="2"/>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First Supplemental Indenture dated as of February 2, 2018, between Fidus Investment Corporation and U.S. Bank National Association,</w:t>
              </w:r>
            </w:hyperlink>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40" w:type="dxa"/>
            <w:vAlign w:val="bottom"/>
            <w:tcBorders>
              <w:top w:val="single" w:sz="8" w:color="0000EE"/>
            </w:tcBorders>
            <w:gridSpan w:val="26"/>
          </w:tcPr>
          <w:p>
            <w:pPr>
              <w:spacing w:after="0" w:line="196" w:lineRule="exact"/>
              <w:rPr>
                <w:rFonts w:ascii="Arial" w:cs="Arial" w:eastAsia="Arial" w:hAnsi="Arial"/>
                <w:sz w:val="18"/>
                <w:szCs w:val="18"/>
                <w:color w:val="0000EE"/>
                <w:w w:val="98"/>
              </w:rPr>
            </w:pPr>
            <w:hyperlink r:id="rId172">
              <w:r>
                <w:rPr>
                  <w:rFonts w:ascii="Arial" w:cs="Arial" w:eastAsia="Arial" w:hAnsi="Arial"/>
                  <w:sz w:val="18"/>
                  <w:szCs w:val="18"/>
                  <w:color w:val="0000EE"/>
                  <w:w w:val="98"/>
                </w:rPr>
                <w:t>as trustee, including the form of global note attached thereto (Filed as Exhibit (d)(9) to Post-Effective Amendment No. 4 to the</w:t>
              </w:r>
            </w:hyperlink>
          </w:p>
        </w:tc>
        <w:tc>
          <w:tcPr>
            <w:tcW w:w="120" w:type="dxa"/>
            <w:vAlign w:val="bottom"/>
            <w:gridSpan w:val="3"/>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Registrant’s Registration Statement on Form N-2 (File No. 333-202531) filed with the Securities and Exchange Commission on April 18,</w:t>
              </w:r>
            </w:hyperlink>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2017 and incorporated herein by reference).</w:t>
              </w:r>
            </w:hyperlink>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rPr>
            </w:pPr>
            <w:hyperlink r:id="rId172">
              <w:r>
                <w:rPr>
                  <w:rFonts w:ascii="Arial" w:cs="Arial" w:eastAsia="Arial" w:hAnsi="Arial"/>
                  <w:sz w:val="18"/>
                  <w:szCs w:val="18"/>
                  <w:color w:val="0000EE"/>
                </w:rPr>
                <w:t>Form of 5.875% Notes due 2023 (incorporated by reference to Exhibit 4.4 hereto and Exhibit A therein).</w:t>
              </w:r>
            </w:hyperlink>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w w:val="98"/>
              </w:rPr>
            </w:pPr>
            <w:hyperlink r:id="rId173">
              <w:r>
                <w:rPr>
                  <w:rFonts w:ascii="Arial" w:cs="Arial" w:eastAsia="Arial" w:hAnsi="Arial"/>
                  <w:sz w:val="18"/>
                  <w:szCs w:val="18"/>
                  <w:color w:val="0000EE"/>
                  <w:w w:val="98"/>
                </w:rPr>
                <w:t>Second Supplemental Indenture dated as of February 5, 2019, between Fidus Investment Corporation and U.S. Bank National</w:t>
              </w:r>
            </w:hyperlink>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Association, as trustee, including the form of global note attached thereto (Filed as Exhibit (d)(11) to the Registrant’s post-effective</w:t>
              </w:r>
            </w:hyperlink>
          </w:p>
        </w:tc>
        <w:tc>
          <w:tcPr>
            <w:tcW w:w="480" w:type="dxa"/>
            <w:vAlign w:val="bottom"/>
            <w:gridSpan w:val="10"/>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Amendment No. 1 to the Registration Statement on Form N-2 (File No. 333-223350) filed with the Securities and Exchange Commission</w:t>
              </w:r>
            </w:hyperlink>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on May 1, 2018 and incorporated herein by reference).</w:t>
              </w:r>
            </w:hyperlink>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24"/>
                <w:szCs w:val="24"/>
                <w:color w:val="auto"/>
              </w:rPr>
            </w:pPr>
          </w:p>
        </w:tc>
        <w:tc>
          <w:tcPr>
            <w:tcW w:w="7460" w:type="dxa"/>
            <w:vAlign w:val="bottom"/>
            <w:tcBorders>
              <w:bottom w:val="single" w:sz="8" w:color="0000EE"/>
            </w:tcBorders>
            <w:gridSpan w:val="11"/>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Form of 6.00% Notes due 2024 (incorporated by reference to Exhibit 4.6 hereto and Exhibit A therein).</w:t>
              </w:r>
            </w:hyperlink>
          </w:p>
        </w:tc>
        <w:tc>
          <w:tcPr>
            <w:tcW w:w="2500" w:type="dxa"/>
            <w:vAlign w:val="bottom"/>
            <w:gridSpan w:val="18"/>
          </w:tcPr>
          <w:p>
            <w:pPr>
              <w:spacing w:after="0"/>
              <w:rPr>
                <w:sz w:val="24"/>
                <w:szCs w:val="24"/>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24"/>
                <w:szCs w:val="24"/>
                <w:color w:val="auto"/>
              </w:rPr>
            </w:pPr>
          </w:p>
        </w:tc>
        <w:tc>
          <w:tcPr>
            <w:tcW w:w="9940" w:type="dxa"/>
            <w:vAlign w:val="bottom"/>
            <w:tcBorders>
              <w:bottom w:val="single" w:sz="8" w:color="0000EE"/>
            </w:tcBorders>
            <w:gridSpan w:val="28"/>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Third Supplemental Indenture dated as of October 16, 2019, between Fidus Investment Corporation and U.S. Bank National Association,</w:t>
              </w:r>
            </w:hyperlink>
          </w:p>
        </w:tc>
        <w:tc>
          <w:tcPr>
            <w:tcW w:w="2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as trustee (Filed as Exhibit 4.2 to the Registrant’s current report on Form 8-K filed with the U.S. Securities and Exchange Commission on</w:t>
              </w:r>
            </w:hyperlink>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October 16, 2019 and incorporated herein by reference).</w:t>
              </w:r>
            </w:hyperlink>
          </w:p>
        </w:tc>
        <w:tc>
          <w:tcPr>
            <w:tcW w:w="5860" w:type="dxa"/>
            <w:vAlign w:val="bottom"/>
            <w:tcBorders>
              <w:top w:val="single" w:sz="8" w:color="0000EE"/>
            </w:tcBorders>
            <w:gridSpan w:val="2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24"/>
                <w:szCs w:val="24"/>
                <w:color w:val="auto"/>
              </w:rPr>
            </w:pPr>
          </w:p>
        </w:tc>
        <w:tc>
          <w:tcPr>
            <w:tcW w:w="7560" w:type="dxa"/>
            <w:vAlign w:val="bottom"/>
            <w:tcBorders>
              <w:bottom w:val="single" w:sz="8" w:color="0000EE"/>
            </w:tcBorders>
            <w:gridSpan w:val="13"/>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Form of 5.375% Notes due 2024 (Incorporated by reference to Exhibit 4.8 hereto and Exhibit A therein).</w:t>
              </w:r>
            </w:hyperlink>
          </w:p>
        </w:tc>
        <w:tc>
          <w:tcPr>
            <w:tcW w:w="2400" w:type="dxa"/>
            <w:vAlign w:val="bottom"/>
            <w:gridSpan w:val="16"/>
          </w:tcPr>
          <w:p>
            <w:pPr>
              <w:spacing w:after="0"/>
              <w:rPr>
                <w:sz w:val="24"/>
                <w:szCs w:val="24"/>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5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Description of Securities.*</w:t>
              </w:r>
            </w:hyperlink>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w w:val="96"/>
              </w:rPr>
            </w:pPr>
            <w:hyperlink r:id="rId175">
              <w:r>
                <w:rPr>
                  <w:rFonts w:ascii="Arial" w:cs="Arial" w:eastAsia="Arial" w:hAnsi="Arial"/>
                  <w:sz w:val="18"/>
                  <w:szCs w:val="18"/>
                  <w:color w:val="0000EE"/>
                  <w:w w:val="96"/>
                </w:rPr>
                <w:t>Investment Advisory and Management Agreement between Registrant and Fidus Investment Advisors, LLC (Filed as Exhibit (g) to</w:t>
              </w:r>
            </w:hyperlink>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175">
              <w:r>
                <w:rPr>
                  <w:rFonts w:ascii="Arial" w:cs="Arial" w:eastAsia="Arial" w:hAnsi="Arial"/>
                  <w:sz w:val="18"/>
                  <w:szCs w:val="18"/>
                  <w:color w:val="0000EE"/>
                  <w:w w:val="92"/>
                </w:rPr>
                <w:t>Pre-Effective Amendment No. 2 to the Registrant’s Registration Statement on Form N-2 (File No. 333-172550) filed with the U.S.</w:t>
              </w:r>
            </w:hyperlink>
          </w:p>
        </w:tc>
        <w:tc>
          <w:tcPr>
            <w:tcW w:w="20" w:type="dxa"/>
            <w:vAlign w:val="bottom"/>
            <w:tcBorders>
              <w:top w:val="single" w:sz="8" w:color="0000EE"/>
            </w:tcBorders>
          </w:tcPr>
          <w:p>
            <w:pPr>
              <w:spacing w:after="0"/>
              <w:rPr>
                <w:sz w:val="17"/>
                <w:szCs w:val="17"/>
                <w:color w:val="auto"/>
              </w:rPr>
            </w:pPr>
          </w:p>
        </w:tc>
        <w:tc>
          <w:tcPr>
            <w:tcW w:w="480" w:type="dxa"/>
            <w:vAlign w:val="bottom"/>
            <w:gridSpan w:val="10"/>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Securities and Exchange Commission on April 29, 2011 and incorporated herein by reference).</w:t>
              </w:r>
            </w:hyperlink>
          </w:p>
        </w:tc>
      </w:tr>
      <w:tr>
        <w:trPr>
          <w:trHeight w:val="385"/>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20" w:type="dxa"/>
            <w:vAlign w:val="bottom"/>
            <w:tcBorders>
              <w:top w:val="single" w:sz="8" w:color="0000EE"/>
            </w:tcBorders>
            <w:gridSpan w:val="9"/>
          </w:tcPr>
          <w:p>
            <w:pPr>
              <w:ind w:left="4340"/>
              <w:spacing w:after="0"/>
              <w:rPr>
                <w:sz w:val="20"/>
                <w:szCs w:val="20"/>
                <w:color w:val="auto"/>
              </w:rPr>
            </w:pPr>
            <w:r>
              <w:rPr>
                <w:rFonts w:ascii="Arial" w:cs="Arial" w:eastAsia="Arial" w:hAnsi="Arial"/>
                <w:sz w:val="18"/>
                <w:szCs w:val="18"/>
                <w:color w:val="auto"/>
              </w:rPr>
              <w:t>115</w:t>
            </w:r>
          </w:p>
        </w:tc>
        <w:tc>
          <w:tcPr>
            <w:tcW w:w="192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80" w:right="280" w:hanging="782"/>
        <w:spacing w:after="0" w:line="342"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77">
        <w:r>
          <w:rPr>
            <w:rFonts w:ascii="Arial" w:cs="Arial" w:eastAsia="Arial" w:hAnsi="Arial"/>
            <w:sz w:val="16"/>
            <w:szCs w:val="16"/>
            <w:u w:val="single" w:color="auto"/>
            <w:color w:val="0000EE"/>
          </w:rPr>
          <w:t>Custody Agreement (Filed as Exhibit (j) to Pre-Effective Amendment No. 3 to the Registrant’s Registration Statement on Form N-2 (File</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No. 333-172550) filed with the U.S. Securities and Exchange Commission on May 26, 2011 and incorporated herein by reference).</w:t>
        </w:r>
      </w:hyperlink>
    </w:p>
    <w:p>
      <w:pPr>
        <w:spacing w:after="0" w:line="16" w:lineRule="exact"/>
        <w:rPr>
          <w:sz w:val="20"/>
          <w:szCs w:val="20"/>
          <w:color w:val="auto"/>
        </w:rPr>
      </w:pPr>
    </w:p>
    <w:p>
      <w:pPr>
        <w:ind w:left="980" w:right="300" w:hanging="78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78">
        <w:r>
          <w:rPr>
            <w:rFonts w:ascii="Arial" w:cs="Arial" w:eastAsia="Arial" w:hAnsi="Arial"/>
            <w:sz w:val="18"/>
            <w:szCs w:val="18"/>
            <w:u w:val="single" w:color="auto"/>
            <w:color w:val="0000EE"/>
          </w:rPr>
          <w:t>Administration Agreement between Registrant and Fidus Investment Advisors, LLC (Filed as Exhibit (k)(1) to Pre-Effective Amendment</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No. 2 to the Registrant’s Registration Statement on Form N-2 (File No. 333-172550) filed with the U.S. Securities and Exchange</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Commission on April 29, 2011 and incorporated herein by reference).</w:t>
        </w:r>
      </w:hyperlink>
    </w:p>
    <w:p>
      <w:pPr>
        <w:spacing w:after="0" w:line="73" w:lineRule="exact"/>
        <w:rPr>
          <w:rFonts w:ascii="Arial" w:cs="Arial" w:eastAsia="Arial" w:hAnsi="Arial"/>
          <w:sz w:val="18"/>
          <w:szCs w:val="18"/>
          <w:u w:val="single" w:color="auto"/>
          <w:color w:val="0000EE"/>
        </w:rPr>
      </w:pPr>
    </w:p>
    <w:p>
      <w:pPr>
        <w:jc w:val="both"/>
        <w:ind w:left="980" w:hanging="78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79">
        <w:r>
          <w:rPr>
            <w:rFonts w:ascii="Arial" w:cs="Arial" w:eastAsia="Arial" w:hAnsi="Arial"/>
            <w:sz w:val="18"/>
            <w:szCs w:val="18"/>
            <w:u w:val="single" w:color="auto"/>
            <w:color w:val="0000EE"/>
          </w:rPr>
          <w:t>Trademark License Agreement between Registrant and Fidus Partners, LLC (Filed as Exhibit (k)(2) to Pre-Effective Amendment No. 3 to the</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Registrant’s Registration Statement on Form N-2 (File No. 333-172550) filed with the U.S. Securities and Exchange Commission on May 26,</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2011 and incorporated herein by reference).</w:t>
        </w:r>
      </w:hyperlink>
    </w:p>
    <w:p>
      <w:pPr>
        <w:spacing w:after="0" w:line="73" w:lineRule="exact"/>
        <w:rPr>
          <w:rFonts w:ascii="Arial" w:cs="Arial" w:eastAsia="Arial" w:hAnsi="Arial"/>
          <w:sz w:val="18"/>
          <w:szCs w:val="18"/>
          <w:u w:val="single" w:color="auto"/>
          <w:color w:val="0000EE"/>
        </w:rPr>
      </w:pPr>
    </w:p>
    <w:p>
      <w:pPr>
        <w:ind w:left="980" w:right="40" w:hanging="78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80">
        <w:r>
          <w:rPr>
            <w:rFonts w:ascii="Arial" w:cs="Arial" w:eastAsia="Arial" w:hAnsi="Arial"/>
            <w:sz w:val="18"/>
            <w:szCs w:val="18"/>
            <w:u w:val="single" w:color="auto"/>
            <w:color w:val="0000EE"/>
          </w:rPr>
          <w:t>Form of Indemnification Agreement by and between Registrant and each of its directors (Filed as Exhibit (k)(3) to Pre-Effective Amendment</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No. 4 to the Registrant’s Registration Statement on Form N-2 (File No. 333-172550) filed with the U.S. Securities and Exchange</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Commission on June 10, 2011 and incorporated herein by reference).</w:t>
        </w:r>
      </w:hyperlink>
    </w:p>
    <w:p>
      <w:pPr>
        <w:spacing w:after="0" w:line="73" w:lineRule="exact"/>
        <w:rPr>
          <w:rFonts w:ascii="Arial" w:cs="Arial" w:eastAsia="Arial" w:hAnsi="Arial"/>
          <w:sz w:val="18"/>
          <w:szCs w:val="18"/>
          <w:u w:val="single" w:color="auto"/>
          <w:color w:val="0000EE"/>
        </w:rPr>
      </w:pPr>
    </w:p>
    <w:p>
      <w:pPr>
        <w:ind w:left="980" w:right="20" w:hanging="782"/>
        <w:spacing w:after="0" w:line="342"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181">
        <w:r>
          <w:rPr>
            <w:rFonts w:ascii="Arial" w:cs="Arial" w:eastAsia="Arial" w:hAnsi="Arial"/>
            <w:sz w:val="16"/>
            <w:szCs w:val="16"/>
            <w:u w:val="single" w:color="auto"/>
            <w:color w:val="0000EE"/>
          </w:rPr>
          <w:t>Dividend Reinvestment Plan (Filed as Exhibit (e) to Pre-Effective Amendment No. 1 to the Registrant’s Registration Statement on Form N-2</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(File No. 333-182785) filed with the U.S. Securities and Exchange Commission on August 27, 2012 and incorporated herein by reference).</w:t>
        </w:r>
      </w:hyperlink>
    </w:p>
    <w:p>
      <w:pPr>
        <w:spacing w:after="0" w:line="16" w:lineRule="exact"/>
        <w:rPr>
          <w:sz w:val="20"/>
          <w:szCs w:val="20"/>
          <w:color w:val="auto"/>
        </w:rPr>
      </w:pPr>
    </w:p>
    <w:p>
      <w:pPr>
        <w:ind w:left="980" w:right="100" w:hanging="78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82">
        <w:r>
          <w:rPr>
            <w:rFonts w:ascii="Arial" w:cs="Arial" w:eastAsia="Arial" w:hAnsi="Arial"/>
            <w:sz w:val="18"/>
            <w:szCs w:val="18"/>
            <w:u w:val="single" w:color="auto"/>
            <w:color w:val="0000EE"/>
          </w:rPr>
          <w:t>First Amendment to Investment Advisory and Management Agreement between Registrant and Fidus Investment Advisors, LLC (Filed as</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exhibit 10.7 to the Registrant’s annual report on Form 10-K, filed with the U.S. Securities and Exchange Commission on March 6, 2014 and</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incorporated herein by reference).</w:t>
        </w:r>
      </w:hyperlink>
    </w:p>
    <w:p>
      <w:pPr>
        <w:spacing w:after="0" w:line="73" w:lineRule="exact"/>
        <w:rPr>
          <w:rFonts w:ascii="Arial" w:cs="Arial" w:eastAsia="Arial" w:hAnsi="Arial"/>
          <w:sz w:val="18"/>
          <w:szCs w:val="18"/>
          <w:u w:val="single" w:color="auto"/>
          <w:color w:val="0000EE"/>
        </w:rPr>
      </w:pPr>
    </w:p>
    <w:p>
      <w:pPr>
        <w:ind w:left="980" w:right="180" w:hanging="78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83">
        <w:r>
          <w:rPr>
            <w:rFonts w:ascii="Arial" w:cs="Arial" w:eastAsia="Arial" w:hAnsi="Arial"/>
            <w:sz w:val="18"/>
            <w:szCs w:val="18"/>
            <w:u w:val="single" w:color="auto"/>
            <w:color w:val="0000EE"/>
          </w:rPr>
          <w:t>Senior Secured Revolving Credit Agreement, dated June 16, 2014, by and among the Registrant, the lenders party thereto and ING Capital</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LLC, as Administrative Agent, (Filed as exhibit 10.1 to the Registrant’s current report on Form 8-K filed with the U.S. Securities and</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Exchange Commission on June 20, 2014 and incorporated herein by reference).</w:t>
        </w:r>
      </w:hyperlink>
    </w:p>
    <w:p>
      <w:pPr>
        <w:spacing w:after="0" w:line="73" w:lineRule="exact"/>
        <w:rPr>
          <w:rFonts w:ascii="Arial" w:cs="Arial" w:eastAsia="Arial" w:hAnsi="Arial"/>
          <w:sz w:val="18"/>
          <w:szCs w:val="18"/>
          <w:u w:val="single" w:color="auto"/>
          <w:color w:val="0000EE"/>
        </w:rPr>
      </w:pPr>
    </w:p>
    <w:p>
      <w:pPr>
        <w:ind w:left="980" w:right="140" w:hanging="782"/>
        <w:spacing w:after="0" w:line="312"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184">
        <w:r>
          <w:rPr>
            <w:rFonts w:ascii="Arial" w:cs="Arial" w:eastAsia="Arial" w:hAnsi="Arial"/>
            <w:sz w:val="16"/>
            <w:szCs w:val="16"/>
            <w:u w:val="single" w:color="auto"/>
            <w:color w:val="0000EE"/>
          </w:rPr>
          <w:t>Amendment No. 1, dated December 19, 2014, to the Senior Secured Revolving Credit Agreement dated June 16, 2014, by and among the</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Registrant, the lenders party thereto and ING Capital LLC as Administrative Agent filed as exhibit 10.1 to the Registrant’s current report on</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Form 8-K (Filed with the U.S. Securities and Exchange Commission on December 22, 2014 and incorporated herein by reference).</w:t>
        </w:r>
      </w:hyperlink>
    </w:p>
    <w:p>
      <w:pPr>
        <w:spacing w:after="0" w:line="39" w:lineRule="exact"/>
        <w:rPr>
          <w:rFonts w:ascii="Arial" w:cs="Arial" w:eastAsia="Arial" w:hAnsi="Arial"/>
          <w:sz w:val="16"/>
          <w:szCs w:val="16"/>
          <w:u w:val="single" w:color="auto"/>
          <w:color w:val="0000EE"/>
        </w:rPr>
      </w:pPr>
    </w:p>
    <w:p>
      <w:pPr>
        <w:ind w:left="980" w:right="140" w:hanging="782"/>
        <w:spacing w:after="0" w:line="312"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85">
        <w:r>
          <w:rPr>
            <w:rFonts w:ascii="Arial" w:cs="Arial" w:eastAsia="Arial" w:hAnsi="Arial"/>
            <w:sz w:val="16"/>
            <w:szCs w:val="16"/>
            <w:u w:val="single" w:color="auto"/>
            <w:color w:val="0000EE"/>
          </w:rPr>
          <w:t>Amendment No. 2, dated December 29, 2017, to the Senior Secured Revolving Credit Agreement dated June 16, 2014, by and among the</w:t>
        </w:r>
      </w:hyperlink>
      <w:r>
        <w:rPr>
          <w:rFonts w:ascii="Arial" w:cs="Arial" w:eastAsia="Arial" w:hAnsi="Arial"/>
          <w:sz w:val="16"/>
          <w:szCs w:val="16"/>
          <w:u w:val="single" w:color="auto"/>
          <w:color w:val="0000EE"/>
        </w:rPr>
        <w:t xml:space="preserve"> </w:t>
      </w:r>
      <w:hyperlink r:id="rId185">
        <w:r>
          <w:rPr>
            <w:rFonts w:ascii="Arial" w:cs="Arial" w:eastAsia="Arial" w:hAnsi="Arial"/>
            <w:sz w:val="16"/>
            <w:szCs w:val="16"/>
            <w:u w:val="single" w:color="auto"/>
            <w:color w:val="0000EE"/>
          </w:rPr>
          <w:t>Registrant, the lenders party thereto and ING Capital LLC as Administrative Agent filed as exhibit 10.1 to the Registrant’s current report on</w:t>
        </w:r>
      </w:hyperlink>
      <w:r>
        <w:rPr>
          <w:rFonts w:ascii="Arial" w:cs="Arial" w:eastAsia="Arial" w:hAnsi="Arial"/>
          <w:sz w:val="16"/>
          <w:szCs w:val="16"/>
          <w:u w:val="single" w:color="auto"/>
          <w:color w:val="0000EE"/>
        </w:rPr>
        <w:t xml:space="preserve"> </w:t>
      </w:r>
      <w:hyperlink r:id="rId185">
        <w:r>
          <w:rPr>
            <w:rFonts w:ascii="Arial" w:cs="Arial" w:eastAsia="Arial" w:hAnsi="Arial"/>
            <w:sz w:val="16"/>
            <w:szCs w:val="16"/>
            <w:u w:val="single" w:color="auto"/>
            <w:color w:val="0000EE"/>
          </w:rPr>
          <w:t>Form 8-K (Filed with the U.S. Securities and Exchange Commission on January 2, 2018 and incorporated herein by reference).</w:t>
        </w:r>
      </w:hyperlink>
    </w:p>
    <w:p>
      <w:pPr>
        <w:spacing w:after="0" w:line="39" w:lineRule="exact"/>
        <w:rPr>
          <w:rFonts w:ascii="Arial" w:cs="Arial" w:eastAsia="Arial" w:hAnsi="Arial"/>
          <w:sz w:val="16"/>
          <w:szCs w:val="16"/>
          <w:u w:val="single" w:color="auto"/>
          <w:color w:val="0000EE"/>
        </w:rPr>
      </w:pPr>
    </w:p>
    <w:p>
      <w:pPr>
        <w:ind w:left="980" w:right="40" w:hanging="782"/>
        <w:spacing w:after="0" w:line="259"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86">
        <w:r>
          <w:rPr>
            <w:rFonts w:ascii="Arial" w:cs="Arial" w:eastAsia="Arial" w:hAnsi="Arial"/>
            <w:sz w:val="18"/>
            <w:szCs w:val="18"/>
            <w:u w:val="single" w:color="auto"/>
            <w:color w:val="0000EE"/>
          </w:rPr>
          <w:t>Incremental Commitment Agreement to Senior Secured Revolving Credit Agreement, dated June 5, 2018 by and among the Registrant, the</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subsidiary guarantors party thereto and ING Capital LLC as Administrative Agent and increasing lender (Filed as exhibit 10.1 to the</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Registrant’s current report on Form 8-K filed with the U.S. Securities and Exchange Commission on June 5, 2018 and incorporated herein by</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reference).</w:t>
        </w:r>
      </w:hyperlink>
    </w:p>
    <w:p>
      <w:pPr>
        <w:spacing w:after="0" w:line="119" w:lineRule="exact"/>
        <w:rPr>
          <w:rFonts w:ascii="Arial" w:cs="Arial" w:eastAsia="Arial" w:hAnsi="Arial"/>
          <w:sz w:val="18"/>
          <w:szCs w:val="18"/>
          <w:u w:val="single" w:color="auto"/>
          <w:color w:val="0000EE"/>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80" w:right="40" w:hanging="782"/>
        <w:spacing w:after="0" w:line="302"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188">
        <w:r>
          <w:rPr>
            <w:rFonts w:ascii="Arial" w:cs="Arial" w:eastAsia="Arial" w:hAnsi="Arial"/>
            <w:sz w:val="16"/>
            <w:szCs w:val="16"/>
            <w:u w:val="single" w:color="auto"/>
            <w:color w:val="0000EE"/>
          </w:rPr>
          <w:t>Amendment No. 3 and Incremental Commitment Agreement to Senior Secured Revolving Credit Agreement, dated October 19, 2018, to the</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Senior Secured Revolving Credit Agreement dated June 16, 2014, by and among the Registrant, the lenders party thereto, TIAA, FSB, as</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increasing lender and a lender and ING Capital LLC as Administrative Agent and a lender (Filed as exhibit 10.1 to the Registrant’s current</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report on Form 8-K filed with the U.S. Securities and Exchange Commission on October 19, 2018 and incorporated herein by reference).</w:t>
        </w:r>
      </w:hyperlink>
    </w:p>
    <w:p>
      <w:pPr>
        <w:spacing w:after="0" w:line="46" w:lineRule="exact"/>
        <w:rPr>
          <w:rFonts w:ascii="Arial" w:cs="Arial" w:eastAsia="Arial" w:hAnsi="Arial"/>
          <w:sz w:val="16"/>
          <w:szCs w:val="16"/>
          <w:u w:val="single" w:color="auto"/>
          <w:color w:val="0000EE"/>
        </w:rPr>
      </w:pPr>
    </w:p>
    <w:p>
      <w:pPr>
        <w:ind w:left="980" w:hanging="782"/>
        <w:spacing w:after="0" w:line="286" w:lineRule="auto"/>
        <w:tabs>
          <w:tab w:leader="none" w:pos="960" w:val="left"/>
        </w:tabs>
        <w:rPr>
          <w:rFonts w:ascii="Arial" w:cs="Arial" w:eastAsia="Arial" w:hAnsi="Arial"/>
          <w:sz w:val="17"/>
          <w:szCs w:val="17"/>
          <w:u w:val="single" w:color="auto"/>
          <w:color w:val="0000EE"/>
        </w:rPr>
      </w:pPr>
      <w:r>
        <w:rPr>
          <w:rFonts w:ascii="Arial" w:cs="Arial" w:eastAsia="Arial" w:hAnsi="Arial"/>
          <w:sz w:val="18"/>
          <w:szCs w:val="18"/>
          <w:color w:val="auto"/>
        </w:rPr>
        <w:t>10.13</w:t>
      </w:r>
      <w:r>
        <w:rPr>
          <w:sz w:val="20"/>
          <w:szCs w:val="20"/>
          <w:color w:val="auto"/>
        </w:rPr>
        <w:tab/>
      </w:r>
      <w:hyperlink r:id="rId189">
        <w:r>
          <w:rPr>
            <w:rFonts w:ascii="Arial" w:cs="Arial" w:eastAsia="Arial" w:hAnsi="Arial"/>
            <w:sz w:val="17"/>
            <w:szCs w:val="17"/>
            <w:u w:val="single" w:color="auto"/>
            <w:color w:val="0000EE"/>
          </w:rPr>
          <w:t>Amended &amp; Restated Senior Secured Revolving Credit Agreement, dated as of April 24, 2019, by and among the Company, as borrower, the</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lenders party thereto, and ING Capital LLC, as administrative agent (Filed as Exhibit 10.1 to the Registrant’s current report on Form 8-K</w:t>
        </w:r>
      </w:hyperlink>
      <w:r>
        <w:rPr>
          <w:rFonts w:ascii="Arial" w:cs="Arial" w:eastAsia="Arial" w:hAnsi="Arial"/>
          <w:sz w:val="17"/>
          <w:szCs w:val="17"/>
          <w:u w:val="single" w:color="auto"/>
          <w:color w:val="0000EE"/>
        </w:rPr>
        <w:t xml:space="preserve"> </w:t>
      </w:r>
      <w:hyperlink r:id="rId189">
        <w:r>
          <w:rPr>
            <w:rFonts w:ascii="Arial" w:cs="Arial" w:eastAsia="Arial" w:hAnsi="Arial"/>
            <w:sz w:val="17"/>
            <w:szCs w:val="17"/>
            <w:u w:val="single" w:color="auto"/>
            <w:color w:val="0000EE"/>
          </w:rPr>
          <w:t>filed with the U.S. Securities and Exchange Commission on April 24, 2019 and incorporated herein by reference).</w:t>
        </w:r>
      </w:hyperlink>
    </w:p>
    <w:p>
      <w:pPr>
        <w:spacing w:after="0" w:line="57" w:lineRule="exact"/>
        <w:rPr>
          <w:rFonts w:ascii="Arial" w:cs="Arial" w:eastAsia="Arial" w:hAnsi="Arial"/>
          <w:sz w:val="17"/>
          <w:szCs w:val="17"/>
          <w:u w:val="single" w:color="auto"/>
          <w:color w:val="0000EE"/>
        </w:rPr>
      </w:pPr>
    </w:p>
    <w:p>
      <w:pPr>
        <w:ind w:left="980" w:hanging="782"/>
        <w:spacing w:after="0" w:line="259"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90">
        <w:r>
          <w:rPr>
            <w:rFonts w:ascii="Arial" w:cs="Arial" w:eastAsia="Arial" w:hAnsi="Arial"/>
            <w:sz w:val="18"/>
            <w:szCs w:val="18"/>
            <w:u w:val="single" w:color="auto"/>
            <w:color w:val="0000EE"/>
          </w:rPr>
          <w:t>Amended and Restated Guarantee, Pledge and Security Agreement, dated as of April 24, 2019, by and among the Company, as borrower, the</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subsidiary guarantors party thereto, ING Capital LLC, as revolving administrative agent, and ING Capital LLC, as collateral agent (Filed as</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Exhibit 10.2 to the Registrant’s current report on Form 8-K filed with the U.S. Securities and Exchange Commission on April 24, 2019 and</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incorporated herein by reference).</w:t>
        </w:r>
      </w:hyperlink>
    </w:p>
    <w:p>
      <w:pPr>
        <w:spacing w:after="0" w:line="79" w:lineRule="exact"/>
        <w:rPr>
          <w:rFonts w:ascii="Arial" w:cs="Arial" w:eastAsia="Arial" w:hAnsi="Arial"/>
          <w:sz w:val="18"/>
          <w:szCs w:val="18"/>
          <w:u w:val="single" w:color="auto"/>
          <w:color w:val="0000EE"/>
        </w:rPr>
      </w:pPr>
    </w:p>
    <w:p>
      <w:pPr>
        <w:ind w:left="980" w:right="300" w:hanging="782"/>
        <w:spacing w:after="0" w:line="308" w:lineRule="auto"/>
        <w:tabs>
          <w:tab w:leader="none" w:pos="960" w:val="left"/>
        </w:tabs>
        <w:rPr>
          <w:rFonts w:ascii="Arial" w:cs="Arial" w:eastAsia="Arial" w:hAnsi="Arial"/>
          <w:sz w:val="17"/>
          <w:szCs w:val="17"/>
          <w:u w:val="single" w:color="auto"/>
          <w:color w:val="0000EE"/>
        </w:rPr>
      </w:pPr>
      <w:r>
        <w:rPr>
          <w:rFonts w:ascii="Arial" w:cs="Arial" w:eastAsia="Arial" w:hAnsi="Arial"/>
          <w:sz w:val="18"/>
          <w:szCs w:val="18"/>
          <w:color w:val="auto"/>
        </w:rPr>
        <w:t>14.1</w:t>
      </w:r>
      <w:r>
        <w:rPr>
          <w:sz w:val="20"/>
          <w:szCs w:val="20"/>
          <w:color w:val="auto"/>
        </w:rPr>
        <w:tab/>
      </w:r>
      <w:hyperlink r:id="rId191">
        <w:r>
          <w:rPr>
            <w:rFonts w:ascii="Arial" w:cs="Arial" w:eastAsia="Arial" w:hAnsi="Arial"/>
            <w:sz w:val="17"/>
            <w:szCs w:val="17"/>
            <w:u w:val="single" w:color="auto"/>
            <w:color w:val="0000EE"/>
          </w:rPr>
          <w:t>Code of Business Conduct of the Registrant (Filed as Exhibit 14.1 to the Registrant’s Annual Report on Form 10-K (File No. 814-00861)</w:t>
        </w:r>
      </w:hyperlink>
      <w:r>
        <w:rPr>
          <w:rFonts w:ascii="Arial" w:cs="Arial" w:eastAsia="Arial" w:hAnsi="Arial"/>
          <w:sz w:val="17"/>
          <w:szCs w:val="17"/>
          <w:u w:val="single" w:color="auto"/>
          <w:color w:val="0000EE"/>
        </w:rPr>
        <w:t xml:space="preserve"> </w:t>
      </w:r>
      <w:hyperlink r:id="rId191">
        <w:r>
          <w:rPr>
            <w:rFonts w:ascii="Arial" w:cs="Arial" w:eastAsia="Arial" w:hAnsi="Arial"/>
            <w:sz w:val="17"/>
            <w:szCs w:val="17"/>
            <w:u w:val="single" w:color="auto"/>
            <w:color w:val="0000EE"/>
          </w:rPr>
          <w:t>filed with the U.S. Securities and Exchange Commission on March 8, 2012 and incorporated herein by reference).</w:t>
        </w:r>
      </w:hyperlink>
    </w:p>
    <w:p>
      <w:pPr>
        <w:spacing w:after="0" w:line="38" w:lineRule="exact"/>
        <w:rPr>
          <w:sz w:val="20"/>
          <w:szCs w:val="20"/>
          <w:color w:val="auto"/>
        </w:rPr>
      </w:pPr>
    </w:p>
    <w:p>
      <w:pPr>
        <w:ind w:left="20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137">
        <w:r>
          <w:rPr>
            <w:rFonts w:ascii="Arial" w:cs="Arial" w:eastAsia="Arial" w:hAnsi="Arial"/>
            <w:sz w:val="16"/>
            <w:szCs w:val="16"/>
            <w:u w:val="single" w:color="auto"/>
            <w:color w:val="0000EE"/>
          </w:rPr>
          <w:t>List of Subsidiaries.*</w:t>
        </w:r>
      </w:hyperlink>
    </w:p>
    <w:p>
      <w:pPr>
        <w:spacing w:after="0" w:line="117" w:lineRule="exact"/>
        <w:rPr>
          <w:sz w:val="20"/>
          <w:szCs w:val="20"/>
          <w:color w:val="auto"/>
        </w:rPr>
      </w:pPr>
    </w:p>
    <w:p>
      <w:pPr>
        <w:ind w:left="20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38">
        <w:r>
          <w:rPr>
            <w:rFonts w:ascii="Arial" w:cs="Arial" w:eastAsia="Arial" w:hAnsi="Arial"/>
            <w:sz w:val="16"/>
            <w:szCs w:val="16"/>
            <w:u w:val="single" w:color="auto"/>
            <w:color w:val="0000EE"/>
          </w:rPr>
          <w:t>Certification of Chief Executive Officer pursuant to Rule 13a-14 of the Securities Exchange Act of 1934, as amended.*</w:t>
        </w:r>
      </w:hyperlink>
    </w:p>
    <w:p>
      <w:pPr>
        <w:spacing w:after="0" w:line="117" w:lineRule="exact"/>
        <w:rPr>
          <w:sz w:val="20"/>
          <w:szCs w:val="20"/>
          <w:color w:val="auto"/>
        </w:rPr>
      </w:pPr>
    </w:p>
    <w:p>
      <w:pPr>
        <w:ind w:left="20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39">
        <w:r>
          <w:rPr>
            <w:rFonts w:ascii="Arial" w:cs="Arial" w:eastAsia="Arial" w:hAnsi="Arial"/>
            <w:sz w:val="16"/>
            <w:szCs w:val="16"/>
            <w:u w:val="single" w:color="auto"/>
            <w:color w:val="0000EE"/>
          </w:rPr>
          <w:t>Certification of Chief Financial Officer pursuant to Rule 13a-14 of the Securities Exchange Act of 1934, as amended.*</w:t>
        </w:r>
      </w:hyperlink>
    </w:p>
    <w:p>
      <w:pPr>
        <w:spacing w:after="0" w:line="117" w:lineRule="exact"/>
        <w:rPr>
          <w:sz w:val="20"/>
          <w:szCs w:val="20"/>
          <w:color w:val="auto"/>
        </w:rPr>
      </w:pPr>
    </w:p>
    <w:p>
      <w:pPr>
        <w:ind w:left="20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40">
        <w:r>
          <w:rPr>
            <w:rFonts w:ascii="Arial" w:cs="Arial" w:eastAsia="Arial" w:hAnsi="Arial"/>
            <w:sz w:val="16"/>
            <w:szCs w:val="16"/>
            <w:u w:val="single" w:color="auto"/>
            <w:color w:val="0000EE"/>
          </w:rPr>
          <w:t>Certification of Chief Executive Officer and Chief Financial Officer pursuant to section 906 of The Sarbanes-Oxley Act of 2002.*</w:t>
        </w:r>
      </w:hyperlink>
    </w:p>
    <w:p>
      <w:pPr>
        <w:spacing w:after="0" w:line="252"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580" w:right="4780" w:hanging="5376"/>
        <w:spacing w:after="0" w:line="517" w:lineRule="auto"/>
        <w:tabs>
          <w:tab w:leader="none" w:pos="634" w:val="left"/>
        </w:tabs>
        <w:numPr>
          <w:ilvl w:val="0"/>
          <w:numId w:val="87"/>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contract or arrangement. 117</w:t>
      </w:r>
    </w:p>
    <w:p>
      <w:pPr>
        <w:sectPr>
          <w:pgSz w:w="11900" w:h="16838" w:orient="portrait"/>
          <w:cols w:equalWidth="0" w:num="1">
            <w:col w:w="11180"/>
          </w:cols>
          <w:pgMar w:left="24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80" w:firstLine="99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FIDUS INVESTMENT CORPORATION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February 27, 2020</w:t>
      </w:r>
    </w:p>
    <w:p>
      <w:pPr>
        <w:spacing w:after="0" w:line="22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32156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Edward H. Ross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Chairman and Chief Executive Officer</w:t>
      </w:r>
    </w:p>
    <w:p>
      <w:pPr>
        <w:spacing w:after="0" w:line="211" w:lineRule="exact"/>
        <w:rPr>
          <w:sz w:val="20"/>
          <w:szCs w:val="20"/>
          <w:color w:val="auto"/>
        </w:rPr>
      </w:pPr>
    </w:p>
    <w:p>
      <w:pPr>
        <w:ind w:left="200" w:right="60" w:firstLine="99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3620" w:type="dxa"/>
            <w:vAlign w:val="bottom"/>
            <w:gridSpan w:val="2"/>
          </w:tcPr>
          <w:p>
            <w:pPr>
              <w:ind w:left="1600"/>
              <w:spacing w:after="0"/>
              <w:rPr>
                <w:sz w:val="20"/>
                <w:szCs w:val="20"/>
                <w:color w:val="auto"/>
              </w:rPr>
            </w:pPr>
            <w:r>
              <w:rPr>
                <w:rFonts w:ascii="Arial" w:cs="Arial" w:eastAsia="Arial" w:hAnsi="Arial"/>
                <w:sz w:val="14"/>
                <w:szCs w:val="14"/>
                <w:b w:val="1"/>
                <w:bCs w:val="1"/>
                <w:color w:val="auto"/>
              </w:rPr>
              <w:t>Title</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r>
      <w:tr>
        <w:trPr>
          <w:trHeight w:val="412"/>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H. ROSS</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Chairman and Chief Executive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r>
      <w:tr>
        <w:trPr>
          <w:trHeight w:val="224"/>
        </w:trPr>
        <w:tc>
          <w:tcPr>
            <w:tcW w:w="3880" w:type="dxa"/>
            <w:vAlign w:val="bottom"/>
            <w:gridSpan w:val="2"/>
          </w:tcPr>
          <w:p>
            <w:pPr>
              <w:spacing w:after="0"/>
              <w:rPr>
                <w:sz w:val="20"/>
                <w:szCs w:val="20"/>
                <w:color w:val="auto"/>
              </w:rPr>
            </w:pPr>
            <w:r>
              <w:rPr>
                <w:rFonts w:ascii="Arial" w:cs="Arial" w:eastAsia="Arial" w:hAnsi="Arial"/>
                <w:sz w:val="18"/>
                <w:szCs w:val="18"/>
                <w:color w:val="auto"/>
              </w:rPr>
              <w:t>Edward H. Ross</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3420" w:type="dxa"/>
            <w:vAlign w:val="bottom"/>
          </w:tcPr>
          <w:p>
            <w:pPr>
              <w:spacing w:after="0"/>
              <w:rPr>
                <w:sz w:val="19"/>
                <w:szCs w:val="19"/>
                <w:color w:val="auto"/>
              </w:rPr>
            </w:pPr>
          </w:p>
        </w:tc>
      </w:tr>
      <w:tr>
        <w:trPr>
          <w:trHeight w:val="431"/>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C. LAUER</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President and 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r>
      <w:tr>
        <w:trPr>
          <w:trHeight w:val="224"/>
        </w:trPr>
        <w:tc>
          <w:tcPr>
            <w:tcW w:w="3880" w:type="dxa"/>
            <w:vAlign w:val="bottom"/>
            <w:gridSpan w:val="2"/>
          </w:tcPr>
          <w:p>
            <w:pPr>
              <w:spacing w:after="0"/>
              <w:rPr>
                <w:sz w:val="20"/>
                <w:szCs w:val="20"/>
                <w:color w:val="auto"/>
              </w:rPr>
            </w:pPr>
            <w:r>
              <w:rPr>
                <w:rFonts w:ascii="Arial" w:cs="Arial" w:eastAsia="Arial" w:hAnsi="Arial"/>
                <w:sz w:val="18"/>
                <w:szCs w:val="18"/>
                <w:color w:val="auto"/>
              </w:rPr>
              <w:t>Thomas C. Lauer</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SHELBY E. SHERARD</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r>
      <w:tr>
        <w:trPr>
          <w:trHeight w:val="224"/>
        </w:trPr>
        <w:tc>
          <w:tcPr>
            <w:tcW w:w="3880" w:type="dxa"/>
            <w:vAlign w:val="bottom"/>
            <w:gridSpan w:val="2"/>
          </w:tcPr>
          <w:p>
            <w:pPr>
              <w:spacing w:after="0"/>
              <w:rPr>
                <w:sz w:val="20"/>
                <w:szCs w:val="20"/>
                <w:color w:val="auto"/>
              </w:rPr>
            </w:pPr>
            <w:r>
              <w:rPr>
                <w:rFonts w:ascii="Arial" w:cs="Arial" w:eastAsia="Arial" w:hAnsi="Arial"/>
                <w:sz w:val="18"/>
                <w:szCs w:val="18"/>
                <w:color w:val="auto"/>
              </w:rPr>
              <w:t>Shelby E. Sherard</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3420" w:type="dxa"/>
            <w:vAlign w:val="bottom"/>
          </w:tcPr>
          <w:p>
            <w:pPr>
              <w:spacing w:after="0"/>
              <w:rPr>
                <w:sz w:val="19"/>
                <w:szCs w:val="19"/>
                <w:color w:val="auto"/>
              </w:rPr>
            </w:pPr>
          </w:p>
        </w:tc>
      </w:tr>
      <w:tr>
        <w:trPr>
          <w:trHeight w:val="431"/>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RAYMOND L. ANSTISS, JR.</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r>
      <w:tr>
        <w:trPr>
          <w:trHeight w:val="224"/>
        </w:trPr>
        <w:tc>
          <w:tcPr>
            <w:tcW w:w="3880" w:type="dxa"/>
            <w:vAlign w:val="bottom"/>
            <w:gridSpan w:val="2"/>
          </w:tcPr>
          <w:p>
            <w:pPr>
              <w:spacing w:after="0"/>
              <w:rPr>
                <w:sz w:val="20"/>
                <w:szCs w:val="20"/>
                <w:color w:val="auto"/>
              </w:rPr>
            </w:pPr>
            <w:r>
              <w:rPr>
                <w:rFonts w:ascii="Arial" w:cs="Arial" w:eastAsia="Arial" w:hAnsi="Arial"/>
                <w:sz w:val="18"/>
                <w:szCs w:val="18"/>
                <w:color w:val="auto"/>
              </w:rPr>
              <w:t>Raymond L. Anstiss, Jr.</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D. HYMAN</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r>
      <w:tr>
        <w:trPr>
          <w:trHeight w:val="224"/>
        </w:trPr>
        <w:tc>
          <w:tcPr>
            <w:tcW w:w="3880" w:type="dxa"/>
            <w:vAlign w:val="bottom"/>
            <w:gridSpan w:val="2"/>
          </w:tcPr>
          <w:p>
            <w:pPr>
              <w:spacing w:after="0"/>
              <w:rPr>
                <w:sz w:val="20"/>
                <w:szCs w:val="20"/>
                <w:color w:val="auto"/>
              </w:rPr>
            </w:pPr>
            <w:r>
              <w:rPr>
                <w:rFonts w:ascii="Arial" w:cs="Arial" w:eastAsia="Arial" w:hAnsi="Arial"/>
                <w:sz w:val="18"/>
                <w:szCs w:val="18"/>
                <w:color w:val="auto"/>
              </w:rPr>
              <w:t>Charles D. Hyman</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X. TUNE</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r>
      <w:tr>
        <w:trPr>
          <w:trHeight w:val="224"/>
        </w:trPr>
        <w:tc>
          <w:tcPr>
            <w:tcW w:w="3880" w:type="dxa"/>
            <w:vAlign w:val="bottom"/>
            <w:gridSpan w:val="2"/>
          </w:tcPr>
          <w:p>
            <w:pPr>
              <w:spacing w:after="0"/>
              <w:rPr>
                <w:sz w:val="20"/>
                <w:szCs w:val="20"/>
                <w:color w:val="auto"/>
              </w:rPr>
            </w:pPr>
            <w:r>
              <w:rPr>
                <w:rFonts w:ascii="Arial" w:cs="Arial" w:eastAsia="Arial" w:hAnsi="Arial"/>
                <w:sz w:val="18"/>
                <w:szCs w:val="18"/>
                <w:color w:val="auto"/>
              </w:rPr>
              <w:t>Edward X. Tune</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6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40" w:type="dxa"/>
            <w:vAlign w:val="bottom"/>
            <w:gridSpan w:val="2"/>
          </w:tcPr>
          <w:p>
            <w:pPr>
              <w:ind w:left="15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760" w:firstLine="441"/>
        <w:spacing w:after="0" w:line="277" w:lineRule="auto"/>
        <w:rPr>
          <w:sz w:val="20"/>
          <w:szCs w:val="20"/>
          <w:color w:val="auto"/>
        </w:rPr>
      </w:pPr>
      <w:r>
        <w:rPr>
          <w:rFonts w:ascii="Arial" w:cs="Arial" w:eastAsia="Arial" w:hAnsi="Arial"/>
          <w:sz w:val="18"/>
          <w:szCs w:val="18"/>
          <w:color w:val="auto"/>
        </w:rPr>
        <w:t>Capitalized terms used but not defined herein shall have the meaning ascribed to them in the Annual Report on Form 10-K to which this Description of Securities is an exhibit.</w:t>
      </w:r>
    </w:p>
    <w:p>
      <w:pPr>
        <w:spacing w:after="0" w:line="315" w:lineRule="exact"/>
        <w:rPr>
          <w:sz w:val="20"/>
          <w:szCs w:val="20"/>
          <w:color w:val="auto"/>
        </w:rPr>
      </w:pPr>
    </w:p>
    <w:p>
      <w:pPr>
        <w:ind w:left="980" w:hanging="544"/>
        <w:spacing w:after="0"/>
        <w:tabs>
          <w:tab w:leader="none" w:pos="9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 $0.001 par value per share</w:t>
      </w:r>
    </w:p>
    <w:p>
      <w:pPr>
        <w:spacing w:after="0" w:line="121" w:lineRule="exact"/>
        <w:rPr>
          <w:sz w:val="20"/>
          <w:szCs w:val="20"/>
          <w:color w:val="auto"/>
        </w:rPr>
      </w:pPr>
    </w:p>
    <w:p>
      <w:pPr>
        <w:ind w:right="240" w:firstLine="441"/>
        <w:spacing w:after="0" w:line="302" w:lineRule="auto"/>
        <w:rPr>
          <w:sz w:val="20"/>
          <w:szCs w:val="20"/>
          <w:color w:val="auto"/>
        </w:rPr>
      </w:pPr>
      <w:r>
        <w:rPr>
          <w:rFonts w:ascii="Arial" w:cs="Arial" w:eastAsia="Arial" w:hAnsi="Arial"/>
          <w:sz w:val="16"/>
          <w:szCs w:val="16"/>
          <w:color w:val="auto"/>
        </w:rPr>
        <w:t>The authorized capital stock of Fidus Investment Corporation (the “Company,” “we,” “our” or “us”) consists of 100,000,000 shares of common stock, par value $0.001 per share, of which 24,463,119 were outstanding as of December 31, 2019. Our common stock trades on the Nasdaq Global Select Market under the ticker symbol “FDUS.” There are no outstanding options or warrants to purchase our stock. No stock has been authorized for issuance under any equity compensation plan. Under Maryland law, our stockholders generally are not personally liable for our debts or obligations.</w:t>
      </w:r>
    </w:p>
    <w:p>
      <w:pPr>
        <w:spacing w:after="0" w:line="154"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7"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expire in 2021, 2019 and 2020, respectively, and in each case, those directors will serve until their successors are elected and qualify.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ectPr>
          <w:pgSz w:w="11900" w:h="16838" w:orient="portrait"/>
          <w:cols w:equalWidth="0" w:num="1">
            <w:col w:w="11020"/>
          </w:cols>
          <w:pgMar w:left="440" w:top="121" w:right="4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of Directors</w:t>
      </w:r>
    </w:p>
    <w:p>
      <w:pPr>
        <w:spacing w:after="0" w:line="12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Our charter and bylaws provide that the affirmative vote of the holders of a plurality of the outstanding shares of stock entitled to vote in the election of directors cast at a meeting of stockholders duly called and at which a quorum is present is required to elect a director. Pursuant to our bylaws our board of directors may amend the bylaws to alter the vote required to elect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Vacancies; Removal</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eight.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89"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Stockholders</w:t>
      </w:r>
    </w:p>
    <w:p>
      <w:pPr>
        <w:spacing w:after="0" w:line="121"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Provisions for Stockholder Nominations and Stockholder Proposals</w:t>
      </w:r>
    </w:p>
    <w:p>
      <w:pPr>
        <w:spacing w:after="0" w:line="121"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(a) pursuant to our notice of the meeting, (b) by the board of directors or (c) by a stockholder who was a stockholder of record both at the time of giving notice and at the time of the annual meeting and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(a) pursuant to our notice of the meeting, (b) by the board of directors or (c) provided that the board of directors has determined that directors will be elected at the meeting, by a stockholder who was a stockholder of record both at the time of giving notice and at the time of the annual meeting and who is entitled to vote at the meeting and who has complied with the advance notice provisions of the bylaws.</w:t>
      </w:r>
    </w:p>
    <w:p>
      <w:pPr>
        <w:spacing w:after="0" w:line="166"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(a) precluding a contest for the election of directors or the consideration of stockholder proposals if proper procedures are not followed and (b)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ectPr>
          <w:pgSz w:w="11900" w:h="16838" w:orient="portrait"/>
          <w:cols w:equalWidth="0" w:num="1">
            <w:col w:w="11020"/>
          </w:cols>
          <w:pgMar w:left="440" w:top="270" w:right="4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Calling of Special Meetings of Stockholders</w:t>
      </w:r>
    </w:p>
    <w:p>
      <w:pPr>
        <w:spacing w:after="0" w:line="121"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Our bylaws provide that special meetings of stockholders may be called by the chairman of our board of directors, our President and our board of directors.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Extraordinary Corporate Action; Amendment of Charter and Bylaws</w:t>
      </w:r>
    </w:p>
    <w:p>
      <w:pPr>
        <w:spacing w:after="0" w:line="121" w:lineRule="exact"/>
        <w:rPr>
          <w:sz w:val="20"/>
          <w:szCs w:val="20"/>
          <w:color w:val="auto"/>
        </w:rPr>
      </w:pPr>
    </w:p>
    <w:p>
      <w:pPr>
        <w:ind w:right="80" w:firstLine="441"/>
        <w:spacing w:after="0" w:line="285"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provides that certain charter amendments, any proposal for our conversion, whether by charter amendment, merger or otherwise, from a closed-end company to</w:t>
      </w:r>
    </w:p>
    <w:p>
      <w:pPr>
        <w:spacing w:after="0" w:line="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an open-end company and any proposal for our liquidation or dissolution requires the approval of the stockholders entitled to cast at least 80.0%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(a) our current directors, (b) those directors whose nomination for election by the stockholders or whose election by the directors to fill vacancies is approved by a majority of our current directors then on the board of directors or (c) any successor directors whose nomination for election by the stockholders or whose election by the directors to fill vacancies is approved by a majority of continuing directors or the successor continuing directors then in office.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charter and bylaws provide that the board of directors has the exclusive power to make, alter, amend or repeal any provision of our bylaws.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12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84" w:lineRule="exact"/>
        <w:rPr>
          <w:sz w:val="20"/>
          <w:szCs w:val="20"/>
          <w:color w:val="auto"/>
        </w:rPr>
      </w:pPr>
    </w:p>
    <w:p>
      <w:pPr>
        <w:ind w:left="1420" w:hanging="322"/>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ectPr>
          <w:pgSz w:w="11900" w:h="16838" w:orient="portrait"/>
          <w:cols w:equalWidth="0" w:num="1">
            <w:col w:w="11000"/>
          </w:cols>
          <w:pgMar w:left="440" w:top="270" w:right="459" w:bottom="1440" w:gutter="0" w:footer="0" w:header="0"/>
        </w:sectPr>
      </w:pPr>
    </w:p>
    <w:bookmarkStart w:id="126" w:name="page127"/>
    <w:bookmarkEnd w:id="126"/>
    <w:p>
      <w:pPr>
        <w:ind w:right="26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79"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77" w:lineRule="exact"/>
        <w:rPr>
          <w:sz w:val="20"/>
          <w:szCs w:val="20"/>
          <w:color w:val="auto"/>
        </w:rPr>
      </w:pPr>
    </w:p>
    <w:p>
      <w:pPr>
        <w:ind w:left="980" w:hanging="436"/>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person who beneficially owns 10.0% or more of the voting power of the corporation’s outstanding voting stock; or</w:t>
      </w:r>
    </w:p>
    <w:p>
      <w:pPr>
        <w:spacing w:after="0" w:line="130" w:lineRule="exact"/>
        <w:rPr>
          <w:rFonts w:ascii="Arial" w:cs="Arial" w:eastAsia="Arial" w:hAnsi="Arial"/>
          <w:sz w:val="18"/>
          <w:szCs w:val="18"/>
          <w:color w:val="auto"/>
        </w:rPr>
      </w:pPr>
    </w:p>
    <w:p>
      <w:pPr>
        <w:ind w:left="980" w:right="400" w:hanging="436"/>
        <w:spacing w:after="0" w:line="277" w:lineRule="auto"/>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10.0% or more of the voting power of the then outstanding voting stock of the corporation.</w:t>
      </w:r>
    </w:p>
    <w:p>
      <w:pPr>
        <w:spacing w:after="0" w:line="170"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6"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420" w:hanging="322"/>
        <w:spacing w:after="0"/>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80.0%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1420" w:right="220" w:hanging="322"/>
        <w:spacing w:after="0" w:line="264"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ectPr>
          <w:pgSz w:w="11900" w:h="16838" w:orient="portrait"/>
          <w:cols w:equalWidth="0" w:num="1">
            <w:col w:w="11000"/>
          </w:cols>
          <w:pgMar w:left="440" w:top="274" w:right="459" w:bottom="1440" w:gutter="0" w:footer="0" w:header="0"/>
        </w:sectPr>
      </w:pPr>
    </w:p>
    <w:bookmarkStart w:id="127" w:name="page128"/>
    <w:bookmarkEnd w:id="127"/>
    <w:p>
      <w:pPr>
        <w:ind w:right="8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subject to the provisions of the 1940 Act,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with 1940 Act</w:t>
      </w:r>
    </w:p>
    <w:p>
      <w:pPr>
        <w:spacing w:after="0" w:line="121"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Debt Securities</w:t>
      </w:r>
    </w:p>
    <w:p>
      <w:pPr>
        <w:spacing w:after="0" w:line="135" w:lineRule="exact"/>
        <w:rPr>
          <w:sz w:val="20"/>
          <w:szCs w:val="20"/>
          <w:color w:val="auto"/>
        </w:rPr>
      </w:pPr>
    </w:p>
    <w:p>
      <w:pPr>
        <w:ind w:left="980" w:hanging="436"/>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5.875% Notes due 2023 (the “2023 Notes”);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6.000% Notes due 2024 (the “February 2024 Notes”); and</w:t>
      </w:r>
    </w:p>
    <w:p>
      <w:pPr>
        <w:spacing w:after="0" w:line="130" w:lineRule="exact"/>
        <w:rPr>
          <w:rFonts w:ascii="Arial" w:cs="Arial" w:eastAsia="Arial" w:hAnsi="Arial"/>
          <w:sz w:val="18"/>
          <w:szCs w:val="18"/>
          <w:color w:val="auto"/>
        </w:rPr>
      </w:pPr>
    </w:p>
    <w:p>
      <w:pPr>
        <w:ind w:left="980" w:right="320" w:hanging="436"/>
        <w:spacing w:after="0" w:line="277"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5.375% Notes due 2024 (the “November 2024 Notes,” and together with the 2023 Notes and the February 2024 Notes, the “Note,” and collectively, the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2023 Notes</w:t>
      </w:r>
    </w:p>
    <w:p>
      <w:pPr>
        <w:spacing w:after="0" w:line="12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In January 2018, we issued $43,478,275 in aggregate principal amount of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estimated offering expenses of $0.4 million, were approximately $48.1 million.</w:t>
      </w:r>
    </w:p>
    <w:p>
      <w:pPr>
        <w:spacing w:after="0" w:line="187"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The 2023 Notes were issued under a base indenture (the “Base Indenture”), dated April 29, 2016, by and between the Company and U.S. Bank National Association (“Trustee”), as supplemented by the first supplemental indenture dated February 2, 2018 (the “First Supplemental Indenture”). The 2023 Notes will mature on February 1, 2023 and bear interest at a rate of 5.875% per year. The 2023 Notes may be redeemed in whole or in part at any time or from time to time at our option on or after February 1, 2020. Interest on the 2023 Notes is payable quarterly on February 1, May 1, August 1 and November 1 of each year, beginning May 1, 2018. The 2023 Notes are listed on the NASDAQ Global Select Market under the trading symbol “FDUSL.” As of December 31, 2019, the outstanding principal balance of the 2023 Notes was $50.0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February 2024 Notes</w:t>
      </w:r>
    </w:p>
    <w:p>
      <w:pPr>
        <w:spacing w:after="0" w:line="121" w:lineRule="exact"/>
        <w:rPr>
          <w:sz w:val="20"/>
          <w:szCs w:val="20"/>
          <w:color w:val="auto"/>
        </w:rPr>
      </w:pPr>
    </w:p>
    <w:p>
      <w:pPr>
        <w:ind w:right="320" w:firstLine="441"/>
        <w:spacing w:after="0" w:line="259" w:lineRule="auto"/>
        <w:rPr>
          <w:sz w:val="20"/>
          <w:szCs w:val="20"/>
          <w:color w:val="auto"/>
        </w:rPr>
      </w:pPr>
      <w:r>
        <w:rPr>
          <w:rFonts w:ascii="Arial" w:cs="Arial" w:eastAsia="Arial" w:hAnsi="Arial"/>
          <w:sz w:val="18"/>
          <w:szCs w:val="18"/>
          <w:color w:val="auto"/>
        </w:rPr>
        <w:t>In February 2019, we issued $60,000,000 in aggregate principal amount of the February 2024 Notes. On February 19, 2019, the underwriters exercised their option to purchase an additional $9.0 million in aggregate principal of the February 2024 Notes. The total net proceeds to us from the February 2024 Notes, including the exercise of the underwriters’ option, after deducting underwriting discounts of approximately $2.1 million and estimated offering expenses of $0.4 million, were approximately $66.5 million.</w:t>
      </w:r>
    </w:p>
    <w:p>
      <w:pPr>
        <w:sectPr>
          <w:pgSz w:w="11900" w:h="16838" w:orient="portrait"/>
          <w:cols w:equalWidth="0" w:num="1">
            <w:col w:w="11020"/>
          </w:cols>
          <w:pgMar w:left="440" w:top="274" w:right="439" w:bottom="1440" w:gutter="0" w:footer="0" w:header="0"/>
        </w:sectPr>
      </w:pPr>
    </w:p>
    <w:bookmarkStart w:id="128" w:name="page129"/>
    <w:bookmarkEnd w:id="128"/>
    <w:p>
      <w:pPr>
        <w:ind w:right="4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February 2024 Notes were issued under the Base Indenture, as supplemented by the second supplemental indenture dated February 5, 2019 (the “Second Supplemental Indenture”). The February 2024 Notes will mature on February 15, 2024 and bear interest at a rate of 6.000%. The February 2024 Notes may be redeemed in whole or in part at any time or from time to time at our option on or after February 15, 2021. Interest on the February 2024 Notes is payable quarterly on February 15, May 15, August 15 and November 15 of each year, beginning May 15, 2019. The February 2024 Notes are listed on the NASDAQ Global Select Market under the trading symbol “FDUSZ.” As of December 31, 2019, the outstanding principal balance of the February 2024 Notes was $69.0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November 2024 Notes</w:t>
      </w:r>
    </w:p>
    <w:p>
      <w:pPr>
        <w:spacing w:after="0" w:line="121"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In October 2019, we issued $55,000,000 in aggregate principal amount of the November 2024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estimated offering expenses of $0.3 million, were approximately $61.1 million.</w:t>
      </w:r>
    </w:p>
    <w:p>
      <w:pPr>
        <w:spacing w:after="0" w:line="18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November 2024 Notes were issued under the Base Indenture, as supplemented by the third supplemental indenture dated October 16, 2019 (the “Third Supplemental Indenture,” and together with the First Supplemental Indenture and the Second Supplemental Indenture, the “Indenture”). The November 2024 Notes will mature on November 1, 2024 and bear interest at a rate of 5.375%. The November 2024 Notes may be redeemed in whole or in part at any time or from time to time at our option on or after November 1, 2021. Interest on the November 2024 Notes is payable quarterly on February 1, May 1, August 1 and November 1 of each year, beginning February 1, 2020. The November 2024 Notes are listed on the NASDAQ Global Select Market under the trading symbol “FDUSG.” As of December 31, 2019, the outstanding principal balance of the November 2024 Notes was approximately $63.3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purposes of this description, any reference to the payment of principal of, or premium or interest, if any, on, the 2023 Notes, the February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2024 Notes and the November 2024 Notes will include additional amounts if required by the terms of such Notes.</w:t>
      </w:r>
    </w:p>
    <w:p>
      <w:pPr>
        <w:spacing w:after="0" w:line="21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“Events of Default” for more information. Second, the Trustee performs certain administrative duties for us with respect to our debt securities.</w:t>
      </w:r>
    </w:p>
    <w:p>
      <w:pPr>
        <w:spacing w:after="0" w:line="188"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The Indenture provides that any debt securities may be issued under the Indenture in one or more series. 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for more information.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Except as described under “Events of Default” and “Merger or Consolidation” below, the Indenture does not contain any provisions that give you protection in the event we issue a large amount of debt or we are acquired by another entity.</w:t>
      </w:r>
    </w:p>
    <w:p>
      <w:pPr>
        <w:sectPr>
          <w:pgSz w:w="11900" w:h="16838" w:orient="portrait"/>
          <w:cols w:equalWidth="0" w:num="1">
            <w:col w:w="11000"/>
          </w:cols>
          <w:pgMar w:left="440" w:top="274" w:right="459" w:bottom="1440" w:gutter="0" w:footer="0" w:header="0"/>
        </w:sectPr>
      </w:pPr>
    </w:p>
    <w:bookmarkStart w:id="129" w:name="page130"/>
    <w:bookmarkEnd w:id="129"/>
    <w:p>
      <w:pPr>
        <w:ind w:right="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The 2023 Notes, the February 2024 Notes and the November 2024 Notes may be redeemed in whole or in part at any time or from time to time at our option on or after February 1, 2020, February 15, 2021 and November 1, 2021, respectively, upon not less than 30 days nor more than 60 days written notice by mail prior to the date fixed for redemption thereof, at a redemption price of 100% of the outstanding principal amount of the Note plus accrued and unpaid interest payments otherwise payable for the then-current quarterly interest period accrued to the date fixed for redemption.</w:t>
      </w:r>
    </w:p>
    <w:p>
      <w:pPr>
        <w:spacing w:after="0" w:line="154"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You may be prevented from exchanging or transferring the Notes when they are subject to redemption. In case any Notes are to be redeemed in part only, the redemption notice will provide that, upon surrender of such Note, you will receive, without a charge, a new Note or Notes of authorized denominations representing the principal amount of your remaining unredeemed Notes. Any exercise of our option to redeem the Notes will be done in compliance with the 1940 Act, to the extent applicable.</w:t>
      </w:r>
    </w:p>
    <w:p>
      <w:pPr>
        <w:spacing w:after="0" w:line="18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If we redeem only some of the Notes, the Trustee or the Depositary Trust Company (“DTC”), as applicable, will determine the method for selection of the particular Notes to be redeemed, in accordance with the Indenture governing the Notes and in accordance with the rules of any national securities exchange or quotation system on which the Notes are listed. Unless we default in payment of the redemption price, on and after the date of redemption, interest will cease to accrue on the Notes called for redemption.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of the Notes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are the Company’s direct unsecured obligations and will rank:</w:t>
      </w:r>
    </w:p>
    <w:p>
      <w:pPr>
        <w:spacing w:after="0" w:line="131" w:lineRule="exact"/>
        <w:rPr>
          <w:sz w:val="20"/>
          <w:szCs w:val="20"/>
          <w:color w:val="auto"/>
        </w:rPr>
      </w:pPr>
    </w:p>
    <w:p>
      <w:pPr>
        <w:ind w:left="980" w:hanging="436"/>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our other outstanding and future unsecured unsubordinated indebtedness;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provides it is subordinated to the Notes;</w:t>
      </w:r>
    </w:p>
    <w:p>
      <w:pPr>
        <w:spacing w:after="0" w:line="130" w:lineRule="exact"/>
        <w:rPr>
          <w:rFonts w:ascii="Arial" w:cs="Arial" w:eastAsia="Arial" w:hAnsi="Arial"/>
          <w:sz w:val="18"/>
          <w:szCs w:val="18"/>
          <w:color w:val="auto"/>
        </w:rPr>
      </w:pPr>
    </w:p>
    <w:p>
      <w:pPr>
        <w:ind w:left="980" w:right="40" w:hanging="436"/>
        <w:spacing w:after="0" w:line="308" w:lineRule="auto"/>
        <w:tabs>
          <w:tab w:leader="none" w:pos="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effectively subordinated to all of our existing and future secured indebtedness (including indebtedness that is initially unsecured in respect of which we subsequently grant a security interest), to the extent of the value of the assets securing such indebtedness; and</w:t>
      </w:r>
    </w:p>
    <w:p>
      <w:pPr>
        <w:spacing w:after="0" w:line="51" w:lineRule="exact"/>
        <w:rPr>
          <w:rFonts w:ascii="Arial" w:cs="Arial" w:eastAsia="Arial" w:hAnsi="Arial"/>
          <w:sz w:val="17"/>
          <w:szCs w:val="17"/>
          <w:color w:val="auto"/>
        </w:rPr>
      </w:pPr>
    </w:p>
    <w:p>
      <w:pPr>
        <w:ind w:left="980" w:hanging="436"/>
        <w:spacing w:after="0"/>
        <w:tabs>
          <w:tab w:leader="none" w:pos="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structurally subordinated to all existing and future indebtedness and other obligations of any of our subsidiaries, including the Funds.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are issued in denominations of $25 and integral multiples of $25 in excess thereof.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will not be subject to any sinking fund.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Notes were issued as registered securities in book-entry form only. 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ectPr>
          <w:pgSz w:w="11900" w:h="16838" w:orient="portrait"/>
          <w:cols w:equalWidth="0" w:num="1">
            <w:col w:w="10980"/>
          </w:cols>
          <w:pgMar w:left="440" w:top="274" w:right="479" w:bottom="1440" w:gutter="0" w:footer="0" w:header="0"/>
        </w:sectPr>
      </w:pPr>
    </w:p>
    <w:bookmarkStart w:id="130" w:name="page131"/>
    <w:bookmarkEnd w:id="130"/>
    <w:p>
      <w:pPr>
        <w:ind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3"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As noted above, the Notes are issued in book-entry form and represented by a global security that we deposit with and register in the name of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Notes represented by a global security, and investors will be permitted to own only beneficial interests in a global security.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a Global Security</w:t>
      </w:r>
    </w:p>
    <w:p>
      <w:pPr>
        <w:spacing w:after="0" w:line="12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If a global security is terminated for any reason, interests in it will be exchanged for certificates in non-book-entry form (certificated securities). After that exchange, the choice of whether to hold the certificated Notes directly or in street name will be up to the investor. Investors must consult their own banks or brokers to find out how to have their interests in a global security transferred on termination to their own names, so that they will be 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 are not convertible into or exchangeable for other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will pay interest to the person listed in the Trustee’s records as the owner of the Notes at the close of business on a particular day in advance of each due date for interest, even if that person no longer owns the Note on the interest due date. That day, usually about two weeks in advance of the interest due date, is called the “record date.” Because we will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 This prorated interest amount is called “accrued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We will make payments on the Notes so long as they are represented by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ectPr>
          <w:pgSz w:w="11900" w:h="16838" w:orient="portrait"/>
          <w:cols w:equalWidth="0" w:num="1">
            <w:col w:w="11000"/>
          </w:cols>
          <w:pgMar w:left="440" w:top="274"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Events of Default</w:t>
      </w:r>
    </w:p>
    <w:p>
      <w:pPr>
        <w:spacing w:after="0" w:line="121"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You will have rights if an Event of Default occurs in respect of the Notes and the Event of Default is not cured, as described later in this subsection.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“Event of Default” in respect of the Notes means any of the following:</w:t>
      </w:r>
    </w:p>
    <w:p>
      <w:pPr>
        <w:spacing w:after="0" w:line="131" w:lineRule="exact"/>
        <w:rPr>
          <w:sz w:val="20"/>
          <w:szCs w:val="20"/>
          <w:color w:val="auto"/>
        </w:rPr>
      </w:pPr>
    </w:p>
    <w:p>
      <w:pPr>
        <w:ind w:left="1420" w:hanging="322"/>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any Note when due and payable at maturity;</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do not pay interest on any Note when due and payable, and such default is not cured within 30 days of its due date;</w:t>
      </w:r>
    </w:p>
    <w:p>
      <w:pPr>
        <w:spacing w:after="0" w:line="130" w:lineRule="exact"/>
        <w:rPr>
          <w:rFonts w:ascii="Arial" w:cs="Arial" w:eastAsia="Arial" w:hAnsi="Arial"/>
          <w:sz w:val="18"/>
          <w:szCs w:val="18"/>
          <w:color w:val="auto"/>
        </w:rPr>
      </w:pPr>
    </w:p>
    <w:p>
      <w:pPr>
        <w:ind w:left="1420" w:right="80" w:hanging="322"/>
        <w:spacing w:after="0" w:line="264"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remain in breach of any other covenant in respect of the Notes for 60 days after we receive a written notice of default stating we are in breach (the notice must be sent by either the Trustee or holders of at least 25% of the principal amount of the outstanding Notes);</w:t>
      </w:r>
    </w:p>
    <w:p>
      <w:pPr>
        <w:spacing w:after="0" w:line="86" w:lineRule="exact"/>
        <w:rPr>
          <w:rFonts w:ascii="Arial" w:cs="Arial" w:eastAsia="Arial" w:hAnsi="Arial"/>
          <w:sz w:val="18"/>
          <w:szCs w:val="18"/>
          <w:color w:val="auto"/>
        </w:rPr>
      </w:pPr>
    </w:p>
    <w:p>
      <w:pPr>
        <w:ind w:left="1420" w:right="620" w:hanging="322"/>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60 days; or</w:t>
      </w:r>
    </w:p>
    <w:p>
      <w:pPr>
        <w:spacing w:after="0" w:line="75" w:lineRule="exact"/>
        <w:rPr>
          <w:rFonts w:ascii="Arial" w:cs="Arial" w:eastAsia="Arial" w:hAnsi="Arial"/>
          <w:sz w:val="18"/>
          <w:szCs w:val="18"/>
          <w:color w:val="auto"/>
        </w:rPr>
      </w:pPr>
    </w:p>
    <w:p>
      <w:pPr>
        <w:ind w:left="1420" w:right="220" w:hanging="322"/>
        <w:spacing w:after="0" w:line="342" w:lineRule="auto"/>
        <w:tabs>
          <w:tab w:leader="none" w:pos="14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On the last business day of each of twenty-four consecutive calendar months, the Notes have an asset coverage of less than 100%, giving effect to the exemptive relief granted to us by the SEC with respect to the consolidation of debt of the Funds.</w:t>
      </w:r>
    </w:p>
    <w:p>
      <w:pPr>
        <w:spacing w:after="0" w:line="124"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An Event of Default for the Notes may, but does not necessarily, constitute an Event of Default for any other series of debt securities issued under the same or any other indenture. The Trustee may withhold notice to the holders of the Notes of any default, except in the payment of principal or interest, if it in good faith considers the withholding of notice to be in the best interests of the holders.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If an Event of Default has occurred and is continuing, the Trustee or the holders of not less than 25% in principal amount of the Notes may declare the entire principal amount of all the Notes to be due and immediately payable, but this does not entitle any holder of Notes to any redemption payout or redemption premium. This is called a declaration of acceleration of maturity. In certain circumstances, a declaration of acceleration of maturity may be canceled by the holders of a majority in principal amount of the Notes if (1) we have deposited with the Trustee all amounts due and owing with respect to the Notes (other than principal or any payment that has become due solely by reason of such acceleration) and certain other amounts, and (2) any other Events of Default have been cured or waived.</w:t>
      </w:r>
    </w:p>
    <w:p>
      <w:pPr>
        <w:spacing w:after="0" w:line="193"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93"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Before you are allowed to bypass the Trustee and bring your own lawsuit or other formal legal action or take other steps to enforce your rights or protect your interests relating to the Notes, the following must occur:</w:t>
      </w:r>
    </w:p>
    <w:p>
      <w:pPr>
        <w:spacing w:after="0" w:line="76" w:lineRule="exact"/>
        <w:rPr>
          <w:sz w:val="20"/>
          <w:szCs w:val="20"/>
          <w:color w:val="auto"/>
        </w:rPr>
      </w:pPr>
    </w:p>
    <w:p>
      <w:pPr>
        <w:ind w:left="980" w:hanging="436"/>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jc w:val="both"/>
        <w:ind w:left="980" w:right="260" w:hanging="436"/>
        <w:spacing w:after="0" w:line="264"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the Notes must make a written request that the Trustee take action because of the default and must offer the Trustee indemnity, security, or both reasonably satisfactory to it against the cost and other liabilities of taking that action;</w:t>
      </w:r>
    </w:p>
    <w:p>
      <w:pPr>
        <w:spacing w:after="0" w:line="86" w:lineRule="exact"/>
        <w:rPr>
          <w:rFonts w:ascii="Arial" w:cs="Arial" w:eastAsia="Arial" w:hAnsi="Arial"/>
          <w:sz w:val="18"/>
          <w:szCs w:val="18"/>
          <w:color w:val="auto"/>
        </w:rPr>
      </w:pPr>
    </w:p>
    <w:p>
      <w:pPr>
        <w:ind w:left="980" w:hanging="436"/>
        <w:spacing w:after="0"/>
        <w:tabs>
          <w:tab w:leader="none" w:pos="9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Trustee must not have taken action for 60 days after receipt of the above notice and offer of indemnity and/or security; and</w:t>
      </w:r>
    </w:p>
    <w:p>
      <w:pPr>
        <w:sectPr>
          <w:pgSz w:w="11900" w:h="16838" w:orient="portrait"/>
          <w:cols w:equalWidth="0" w:num="1">
            <w:col w:w="11000"/>
          </w:cols>
          <w:pgMar w:left="440" w:top="270" w:right="459" w:bottom="1440" w:gutter="0" w:footer="0" w:header="0"/>
        </w:sectPr>
      </w:pPr>
    </w:p>
    <w:bookmarkStart w:id="132" w:name="page133"/>
    <w:bookmarkEnd w:id="132"/>
    <w:p>
      <w:pPr>
        <w:ind w:left="980" w:right="160" w:hanging="436"/>
        <w:spacing w:after="0" w:line="277"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holders of a majority in principal amount of the Notes must not have given the Trustee a direction inconsistent with the above notice during that 60-day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However, you are entitled at any time to bring a lawsuit for the payment of money due on your Notes on or after the due date.</w:t>
      </w:r>
    </w:p>
    <w:p>
      <w:pPr>
        <w:spacing w:after="0" w:line="221"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a majority in principal amount of the Notes may waive any past defaults other than a default:</w:t>
      </w:r>
    </w:p>
    <w:p>
      <w:pPr>
        <w:spacing w:after="0" w:line="131" w:lineRule="exact"/>
        <w:rPr>
          <w:sz w:val="20"/>
          <w:szCs w:val="20"/>
          <w:color w:val="auto"/>
        </w:rPr>
      </w:pPr>
    </w:p>
    <w:p>
      <w:pPr>
        <w:ind w:left="1420" w:hanging="322"/>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payment of principal (or premium, if any) or interest; or</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 of the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420" w:right="300" w:hanging="322"/>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where we merge out of existence or convey or transfer our assets substantially as an entirety, the resulting entity must agree to be legally responsible for our obligations under the Notes;</w:t>
      </w:r>
    </w:p>
    <w:p>
      <w:pPr>
        <w:spacing w:after="0" w:line="75" w:lineRule="exact"/>
        <w:rPr>
          <w:rFonts w:ascii="Arial" w:cs="Arial" w:eastAsia="Arial" w:hAnsi="Arial"/>
          <w:sz w:val="18"/>
          <w:szCs w:val="18"/>
          <w:color w:val="auto"/>
        </w:rPr>
      </w:pPr>
    </w:p>
    <w:p>
      <w:pPr>
        <w:ind w:left="1420" w:right="40" w:hanging="322"/>
        <w:spacing w:after="0" w:line="25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merger or sale of assets must not cause a default on the Notes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and</w:t>
      </w:r>
    </w:p>
    <w:p>
      <w:pPr>
        <w:spacing w:after="0" w:line="93" w:lineRule="exact"/>
        <w:rPr>
          <w:rFonts w:ascii="Arial" w:cs="Arial" w:eastAsia="Arial" w:hAnsi="Arial"/>
          <w:sz w:val="18"/>
          <w:szCs w:val="18"/>
          <w:color w:val="auto"/>
        </w:rPr>
      </w:pPr>
    </w:p>
    <w:p>
      <w:pPr>
        <w:ind w:left="1420" w:hanging="322"/>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three types of changes we can make to the Indenture and the Notes issued thereunder.</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Requiring Your Approval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First, there are changes that we cannot make to your Notes without your specific approval. The following is a list of those types of changes:</w:t>
      </w:r>
    </w:p>
    <w:p>
      <w:pPr>
        <w:spacing w:after="0" w:line="142" w:lineRule="exact"/>
        <w:rPr>
          <w:sz w:val="20"/>
          <w:szCs w:val="20"/>
          <w:color w:val="auto"/>
        </w:rPr>
      </w:pPr>
    </w:p>
    <w:p>
      <w:pPr>
        <w:ind w:left="1420" w:hanging="322"/>
        <w:spacing w:after="0"/>
        <w:tabs>
          <w:tab w:leader="none" w:pos="14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premium, if any, on) or any installment of principal of or interest on the Notes;</w:t>
      </w:r>
    </w:p>
    <w:p>
      <w:pPr>
        <w:spacing w:after="0" w:line="142" w:lineRule="exact"/>
        <w:rPr>
          <w:rFonts w:ascii="Arial" w:cs="Arial" w:eastAsia="Arial" w:hAnsi="Arial"/>
          <w:sz w:val="17"/>
          <w:szCs w:val="17"/>
          <w:color w:val="auto"/>
        </w:rPr>
      </w:pPr>
    </w:p>
    <w:p>
      <w:pPr>
        <w:ind w:left="1420" w:hanging="322"/>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reduce any amounts due on the Notes or reduce the rate of interest on the Notes;</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Note following a default;</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 the place or currency of payment on a Note;</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ectPr>
          <w:pgSz w:w="11900" w:h="16838" w:orient="portrait"/>
          <w:cols w:equalWidth="0" w:num="1">
            <w:col w:w="11000"/>
          </w:cols>
          <w:pgMar w:left="440" w:top="274" w:right="459" w:bottom="1440" w:gutter="0" w:footer="0" w:header="0"/>
        </w:sectPr>
      </w:pPr>
    </w:p>
    <w:bookmarkStart w:id="133" w:name="page134"/>
    <w:bookmarkEnd w:id="133"/>
    <w:p>
      <w:pPr>
        <w:ind w:left="980" w:hanging="436"/>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reduce the percentage of holders of Notes whose consent is needed to modify or amend the Indenture; and</w:t>
      </w:r>
    </w:p>
    <w:p>
      <w:pPr>
        <w:spacing w:after="0" w:line="130" w:lineRule="exact"/>
        <w:rPr>
          <w:rFonts w:ascii="Arial" w:cs="Arial" w:eastAsia="Arial" w:hAnsi="Arial"/>
          <w:sz w:val="18"/>
          <w:szCs w:val="18"/>
          <w:color w:val="auto"/>
        </w:rPr>
      </w:pPr>
    </w:p>
    <w:p>
      <w:pPr>
        <w:jc w:val="both"/>
        <w:ind w:left="980" w:right="400" w:hanging="436"/>
        <w:spacing w:after="0" w:line="264"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 or reduce the percentage of holders of Notes required to satisfy quorum or voting requirements at a meeting of holders of the Notes.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second type of change does not require any vote by the holders of the Notes. This type is limited to clarifications and certain other changes that would not adversely affect holders of the Notes in any material respect.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131" w:lineRule="exact"/>
        <w:rPr>
          <w:sz w:val="20"/>
          <w:szCs w:val="20"/>
          <w:color w:val="auto"/>
        </w:rPr>
      </w:pPr>
    </w:p>
    <w:p>
      <w:pPr>
        <w:ind w:left="1420" w:hanging="322"/>
        <w:spacing w:after="0"/>
        <w:tabs>
          <w:tab w:leader="none" w:pos="1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the change affects only the Notes, it must be approved by the holders of a majority in principal amount of the Notes; and</w:t>
      </w:r>
    </w:p>
    <w:p>
      <w:pPr>
        <w:spacing w:after="0" w:line="142" w:lineRule="exact"/>
        <w:rPr>
          <w:rFonts w:ascii="Arial" w:cs="Arial" w:eastAsia="Arial" w:hAnsi="Arial"/>
          <w:sz w:val="17"/>
          <w:szCs w:val="17"/>
          <w:color w:val="auto"/>
        </w:rPr>
      </w:pPr>
    </w:p>
    <w:p>
      <w:pPr>
        <w:ind w:left="1420" w:right="60" w:hanging="322"/>
        <w:spacing w:after="0" w:line="264"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the Notes:</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The Notes will not be considered outstanding, and therefore not eligible to vote, if we have deposited or set aside in trust money for their payment or redemption or if we or any affiliate of ours own any Notes. The Notes will also not be eligible to vote if they have been fully defeased as described later under “Defeasance—Full Defeasance” below.</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the Notes that are entitled to vote or take other action under the Indenture. However, the record date may not be earlier than 30 days before the date of the first solicitation of holders to vote on or take such action and not later than the date such solicitation is completed. If we set a record date for a vote or other action to be taken by holders of the Notes, that vote or action may be taken only by persons who are holders of the Notes on the record date and must be taken within eleven months following the record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will be applicable to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Under current U.S. federal income tax law and the Indenture,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the following must occur:</w:t>
      </w:r>
    </w:p>
    <w:p>
      <w:pPr>
        <w:spacing w:after="0" w:line="92" w:lineRule="exact"/>
        <w:rPr>
          <w:sz w:val="20"/>
          <w:szCs w:val="20"/>
          <w:color w:val="auto"/>
        </w:rPr>
      </w:pPr>
    </w:p>
    <w:p>
      <w:pPr>
        <w:jc w:val="both"/>
        <w:ind w:left="1420" w:right="60" w:hanging="322"/>
        <w:spacing w:after="0" w:line="264" w:lineRule="auto"/>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w:t>
      </w:r>
    </w:p>
    <w:p>
      <w:pPr>
        <w:sectPr>
          <w:pgSz w:w="11900" w:h="16838" w:orient="portrait"/>
          <w:cols w:equalWidth="0" w:num="1">
            <w:col w:w="11000"/>
          </w:cols>
          <w:pgMar w:left="440" w:top="274" w:right="459" w:bottom="1440" w:gutter="0" w:footer="0" w:header="0"/>
        </w:sectPr>
      </w:pPr>
    </w:p>
    <w:bookmarkStart w:id="134" w:name="page135"/>
    <w:bookmarkEnd w:id="134"/>
    <w:p>
      <w:pPr>
        <w:ind w:left="1420" w:right="240" w:hanging="322"/>
        <w:spacing w:after="0" w:line="342" w:lineRule="auto"/>
        <w:tabs>
          <w:tab w:leader="none" w:pos="14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must deliver to the Trustee a legal opinion of our counsel confirming that, under current U.S. federal income tax law, we may make the above deposit without causing you to be taxed on the Notes any differently than if we did not make the deposit;</w:t>
      </w:r>
    </w:p>
    <w:p>
      <w:pPr>
        <w:spacing w:after="0" w:line="29" w:lineRule="exact"/>
        <w:rPr>
          <w:rFonts w:ascii="Arial" w:cs="Arial" w:eastAsia="Arial" w:hAnsi="Arial"/>
          <w:sz w:val="16"/>
          <w:szCs w:val="16"/>
          <w:color w:val="auto"/>
        </w:rPr>
      </w:pPr>
    </w:p>
    <w:p>
      <w:pPr>
        <w:ind w:left="1420" w:right="40" w:hanging="322"/>
        <w:spacing w:after="0" w:line="264"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86" w:lineRule="exact"/>
        <w:rPr>
          <w:rFonts w:ascii="Arial" w:cs="Arial" w:eastAsia="Arial" w:hAnsi="Arial"/>
          <w:sz w:val="18"/>
          <w:szCs w:val="18"/>
          <w:color w:val="auto"/>
        </w:rPr>
      </w:pPr>
    </w:p>
    <w:p>
      <w:pPr>
        <w:ind w:left="1420" w:right="620" w:hanging="322"/>
        <w:spacing w:after="0" w:line="277"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result in a default under, the Indenture or any of our other material agreements or instruments; and</w:t>
      </w:r>
    </w:p>
    <w:p>
      <w:pPr>
        <w:spacing w:after="0" w:line="75" w:lineRule="exact"/>
        <w:rPr>
          <w:rFonts w:ascii="Arial" w:cs="Arial" w:eastAsia="Arial" w:hAnsi="Arial"/>
          <w:sz w:val="18"/>
          <w:szCs w:val="18"/>
          <w:color w:val="auto"/>
        </w:rPr>
      </w:pPr>
    </w:p>
    <w:p>
      <w:pPr>
        <w:ind w:left="1420" w:right="140" w:hanging="322"/>
        <w:spacing w:after="0" w:line="277"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have occurred and be continuing and no defaults or events of default related to bankruptcy, insolvency or reorganization shall occur during the next 60 days.</w:t>
      </w:r>
    </w:p>
    <w:p>
      <w:pPr>
        <w:spacing w:after="0" w:line="170"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If there is a change in U.S. federal income tax law, as described below, we can legally release ourselves from all payment and other obligations on the Notes (called “full defeasance”) if we put in place the following other arrangements for you to be repaid:</w:t>
      </w:r>
    </w:p>
    <w:p>
      <w:pPr>
        <w:spacing w:after="0" w:line="76" w:lineRule="exact"/>
        <w:rPr>
          <w:sz w:val="20"/>
          <w:szCs w:val="20"/>
          <w:color w:val="auto"/>
        </w:rPr>
      </w:pPr>
    </w:p>
    <w:p>
      <w:pPr>
        <w:ind w:left="1420" w:right="20" w:hanging="322"/>
        <w:spacing w:after="0" w:line="264"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Since the Notes are denominated in U.S. dollars, we must deposit in trust for the benefit of all holders of the Notes a combination of money and U.S. government or U.S. government agency notes or bonds that will generate enough cash to make interest, principal and any other payments on the Notes on their various due dates;</w:t>
      </w:r>
    </w:p>
    <w:p>
      <w:pPr>
        <w:spacing w:after="0" w:line="86" w:lineRule="exact"/>
        <w:rPr>
          <w:rFonts w:ascii="Arial" w:cs="Arial" w:eastAsia="Arial" w:hAnsi="Arial"/>
          <w:sz w:val="18"/>
          <w:szCs w:val="18"/>
          <w:color w:val="auto"/>
        </w:rPr>
      </w:pPr>
    </w:p>
    <w:p>
      <w:pPr>
        <w:ind w:left="1420" w:right="80" w:hanging="322"/>
        <w:spacing w:after="0" w:line="264"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there has been a change in current U.S. federal tax law or an Internal Revenue Service (“IRS”) ruling that allows us to make the above deposit without causing you to be taxed on the Notes any differently than if we did not make the deposit;</w:t>
      </w:r>
    </w:p>
    <w:p>
      <w:pPr>
        <w:spacing w:after="0" w:line="86" w:lineRule="exact"/>
        <w:rPr>
          <w:rFonts w:ascii="Arial" w:cs="Arial" w:eastAsia="Arial" w:hAnsi="Arial"/>
          <w:sz w:val="18"/>
          <w:szCs w:val="18"/>
          <w:color w:val="auto"/>
        </w:rPr>
      </w:pPr>
    </w:p>
    <w:p>
      <w:pPr>
        <w:ind w:left="1420" w:right="40" w:hanging="322"/>
        <w:spacing w:after="0" w:line="264"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86" w:lineRule="exact"/>
        <w:rPr>
          <w:rFonts w:ascii="Arial" w:cs="Arial" w:eastAsia="Arial" w:hAnsi="Arial"/>
          <w:sz w:val="18"/>
          <w:szCs w:val="18"/>
          <w:color w:val="auto"/>
        </w:rPr>
      </w:pPr>
    </w:p>
    <w:p>
      <w:pPr>
        <w:ind w:left="1420" w:right="500" w:hanging="322"/>
        <w:spacing w:after="0" w:line="277"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constitute a default under, the Indenture or any of our other material agreements or instruments; and</w:t>
      </w:r>
    </w:p>
    <w:p>
      <w:pPr>
        <w:spacing w:after="0" w:line="75" w:lineRule="exact"/>
        <w:rPr>
          <w:rFonts w:ascii="Arial" w:cs="Arial" w:eastAsia="Arial" w:hAnsi="Arial"/>
          <w:sz w:val="18"/>
          <w:szCs w:val="18"/>
          <w:color w:val="auto"/>
        </w:rPr>
      </w:pPr>
    </w:p>
    <w:p>
      <w:pPr>
        <w:ind w:left="1420" w:right="140" w:hanging="322"/>
        <w:spacing w:after="0" w:line="277"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have occurred and be continuing and no defaults or events of default related to bankruptcy, insolvency or reorganization shall occur during the next 60 days.</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w:t>
      </w:r>
    </w:p>
    <w:p>
      <w:pPr>
        <w:sectPr>
          <w:pgSz w:w="11900" w:h="16838" w:orient="portrait"/>
          <w:cols w:equalWidth="0" w:num="1">
            <w:col w:w="10960"/>
          </w:cols>
          <w:pgMar w:left="440" w:top="274" w:right="49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 — Subordination</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right="140" w:firstLine="441"/>
        <w:spacing w:after="0" w:line="271" w:lineRule="auto"/>
        <w:rPr>
          <w:sz w:val="20"/>
          <w:szCs w:val="20"/>
          <w:color w:val="auto"/>
        </w:rPr>
      </w:pPr>
      <w:r>
        <w:rPr>
          <w:rFonts w:ascii="Arial" w:cs="Arial" w:eastAsia="Arial" w:hAnsi="Arial"/>
          <w:sz w:val="17"/>
          <w:szCs w:val="17"/>
          <w:color w:val="auto"/>
        </w:rPr>
        <w:t>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received by the Trustee in respect of such subordinated debt securities or by the holders of any of such subordinated debt securities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79"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80" w:right="440" w:hanging="436"/>
        <w:spacing w:after="0" w:line="286" w:lineRule="auto"/>
        <w:tabs>
          <w:tab w:leader="none" w:pos="9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p>
      <w:pPr>
        <w:spacing w:after="0" w:line="70" w:lineRule="exact"/>
        <w:rPr>
          <w:rFonts w:ascii="Arial" w:cs="Arial" w:eastAsia="Arial" w:hAnsi="Arial"/>
          <w:sz w:val="17"/>
          <w:szCs w:val="17"/>
          <w:color w:val="auto"/>
        </w:rPr>
      </w:pPr>
    </w:p>
    <w:p>
      <w:pPr>
        <w:ind w:left="980" w:hanging="436"/>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U.S Bank National Association serves as the Trustee, paying agent, and security registrar under the Indenture. Separately, our securities are held by U.S. Bank National Association pursuant to a custody agreement.</w:t>
      </w:r>
    </w:p>
    <w:p>
      <w:pPr>
        <w:sectPr>
          <w:pgSz w:w="11900" w:h="16838" w:orient="portrait"/>
          <w:cols w:equalWidth="0" w:num="1">
            <w:col w:w="11020"/>
          </w:cols>
          <w:pgMar w:left="440" w:top="270" w:right="4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8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21.1</w:t>
            </w:r>
          </w:p>
        </w:tc>
      </w:tr>
      <w:tr>
        <w:trPr>
          <w:trHeight w:val="648"/>
        </w:trPr>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80" w:type="dxa"/>
            <w:vAlign w:val="bottom"/>
            <w:gridSpan w:val="2"/>
          </w:tcPr>
          <w:p>
            <w:pPr>
              <w:jc w:val="right"/>
              <w:ind w:right="3032"/>
              <w:spacing w:after="0"/>
              <w:rPr>
                <w:sz w:val="20"/>
                <w:szCs w:val="20"/>
                <w:color w:val="auto"/>
              </w:rPr>
            </w:pPr>
            <w:r>
              <w:rPr>
                <w:rFonts w:ascii="Arial" w:cs="Arial" w:eastAsia="Arial" w:hAnsi="Arial"/>
                <w:sz w:val="18"/>
                <w:szCs w:val="18"/>
                <w:b w:val="1"/>
                <w:bCs w:val="1"/>
                <w:color w:val="auto"/>
              </w:rPr>
              <w:t>SUBSIDIARIES OF FIDUS INVESTMENT CORPORATION</w:t>
            </w:r>
          </w:p>
        </w:tc>
      </w:tr>
      <w:tr>
        <w:trPr>
          <w:trHeight w:val="412"/>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8"/>
              </w:rPr>
              <w:t>Jurisdiction</w:t>
            </w:r>
          </w:p>
        </w:tc>
      </w:tr>
      <w:tr>
        <w:trPr>
          <w:trHeight w:val="189"/>
        </w:trPr>
        <w:tc>
          <w:tcPr>
            <w:tcW w:w="20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BBRSS Blocker Corp.</w:t>
            </w:r>
          </w:p>
        </w:tc>
        <w:tc>
          <w:tcPr>
            <w:tcW w:w="76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Delaware</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FCDS Corp.</w:t>
            </w:r>
          </w:p>
        </w:tc>
        <w:tc>
          <w:tcPr>
            <w:tcW w:w="7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FCMGI, Inc.</w:t>
            </w:r>
          </w:p>
        </w:tc>
        <w:tc>
          <w:tcPr>
            <w:tcW w:w="7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FCMH Equity Corp.</w:t>
            </w:r>
          </w:p>
        </w:tc>
        <w:tc>
          <w:tcPr>
            <w:tcW w:w="7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Fidus Investment GP, LLC</w:t>
            </w:r>
          </w:p>
        </w:tc>
        <w:tc>
          <w:tcPr>
            <w:tcW w:w="7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Fidus Mezzanine Capital, L.P.</w:t>
            </w:r>
          </w:p>
        </w:tc>
        <w:tc>
          <w:tcPr>
            <w:tcW w:w="7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Fidus Mezzanine Capital II, L.P.</w:t>
            </w:r>
          </w:p>
        </w:tc>
        <w:tc>
          <w:tcPr>
            <w:tcW w:w="7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Fidus Mezzanine Capital III, L.P.</w:t>
            </w:r>
          </w:p>
        </w:tc>
        <w:tc>
          <w:tcPr>
            <w:tcW w:w="7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Fidus Investment Holdings, Inc.</w:t>
            </w:r>
          </w:p>
        </w:tc>
        <w:tc>
          <w:tcPr>
            <w:tcW w:w="7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040"/>
          </w:cols>
          <w:pgMar w:left="440" w:top="121" w:right="4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Executive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H. Ross, as Chief Executive Officer of Fidus Investment Corporation, certify that:</w:t>
      </w:r>
    </w:p>
    <w:p>
      <w:pPr>
        <w:spacing w:after="0" w:line="131" w:lineRule="exact"/>
        <w:rPr>
          <w:sz w:val="20"/>
          <w:szCs w:val="20"/>
          <w:color w:val="auto"/>
        </w:rPr>
      </w:pPr>
    </w:p>
    <w:p>
      <w:pPr>
        <w:ind w:left="440" w:hanging="436"/>
        <w:spacing w:after="0"/>
        <w:tabs>
          <w:tab w:leader="none" w:pos="4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Fidus Investment Corporation;</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91" w:lineRule="auto"/>
        <w:tabs>
          <w:tab w:leader="none" w:pos="4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80" w:right="560" w:hanging="544"/>
        <w:spacing w:after="0" w:line="342" w:lineRule="auto"/>
        <w:tabs>
          <w:tab w:leader="none" w:pos="9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Fidus Investment Corporation Chief Financial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Shelby E. Sherard, as Chief Financial Officer of Fidus Investment Corporation, certify that:</w:t>
      </w:r>
    </w:p>
    <w:p>
      <w:pPr>
        <w:spacing w:after="0" w:line="131" w:lineRule="exact"/>
        <w:rPr>
          <w:sz w:val="20"/>
          <w:szCs w:val="20"/>
          <w:color w:val="auto"/>
        </w:rPr>
      </w:pPr>
    </w:p>
    <w:p>
      <w:pPr>
        <w:ind w:left="440" w:hanging="436"/>
        <w:spacing w:after="0"/>
        <w:tabs>
          <w:tab w:leader="none" w:pos="4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Fidus Investment Corporation;</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91" w:lineRule="auto"/>
        <w:tabs>
          <w:tab w:leader="none" w:pos="4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40" w:hanging="544"/>
        <w:spacing w:after="0" w:line="264"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20" w:hanging="544"/>
        <w:spacing w:after="0" w:line="342" w:lineRule="auto"/>
        <w:tabs>
          <w:tab w:leader="none" w:pos="9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80" w:right="560" w:hanging="544"/>
        <w:spacing w:after="0" w:line="342" w:lineRule="auto"/>
        <w:tabs>
          <w:tab w:leader="none" w:pos="9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40" w:hanging="544"/>
        <w:spacing w:after="0" w:line="277"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on Form 10-K of Fidus Investment Corporation (the “Company”) for the annual period ended December 31, 2019, as filed with the U.S.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92" w:lineRule="exact"/>
        <w:rPr>
          <w:sz w:val="20"/>
          <w:szCs w:val="20"/>
          <w:color w:val="auto"/>
        </w:rPr>
      </w:pPr>
    </w:p>
    <w:p>
      <w:pPr>
        <w:ind w:left="980" w:hanging="544"/>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80" w:right="380" w:hanging="544"/>
        <w:spacing w:after="0" w:line="277" w:lineRule="auto"/>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February 27, 2020</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1)"/>
      <w:numFmt w:val="decimal"/>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1)"/>
      <w:numFmt w:val="decimal"/>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1)"/>
      <w:numFmt w:val="decimal"/>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1)"/>
      <w:numFmt w:val="lowerLetter"/>
      <w:start w:val="1"/>
    </w:lvl>
    <w:lvl w:ilvl="1">
      <w:lvlJc w:val="left"/>
      <w:lvlText w:val="•"/>
      <w:numFmt w:val="bullet"/>
      <w:start w:val="1"/>
    </w:lvl>
  </w:abstractNum>
  <w:abstractNum w:abstractNumId="20">
    <w:nsid w:val="5FF87E05"/>
    <w:multiLevelType w:val="hybridMultilevel"/>
    <w:lvl w:ilvl="0">
      <w:lvlJc w:val="left"/>
      <w:lvlText w:val="•"/>
      <w:numFmt w:val="bullet"/>
      <w:start w:val="1"/>
    </w:lvl>
    <w:lvl w:ilvl="1">
      <w:lvlJc w:val="left"/>
      <w:lvlText w:val="•"/>
      <w:numFmt w:val="bullet"/>
      <w:start w:val="1"/>
    </w:lvl>
  </w:abstractNum>
  <w:abstractNum w:abstractNumId="21">
    <w:nsid w:val="2F305DEF"/>
    <w:multiLevelType w:val="hybridMultilevel"/>
    <w:lvl w:ilvl="0">
      <w:lvlJc w:val="left"/>
      <w:lvlText w:val="(%1)"/>
      <w:numFmt w:val="lowerLetter"/>
      <w:start w:val="2"/>
    </w:lvl>
  </w:abstractNum>
  <w:abstractNum w:abstractNumId="22">
    <w:nsid w:val="25A70BF7"/>
    <w:multiLevelType w:val="hybridMultilevel"/>
    <w:lvl w:ilvl="0">
      <w:lvlJc w:val="left"/>
      <w:lvlText w:val="(%1)"/>
      <w:numFmt w:val="lowerLetter"/>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lvl w:ilvl="1">
      <w:lvlJc w:val="left"/>
      <w:lvlText w:val="•"/>
      <w:numFmt w:val="bullet"/>
      <w:start w:val="1"/>
    </w:lvl>
  </w:abstractNum>
  <w:abstractNum w:abstractNumId="25">
    <w:nsid w:val="1F48EAA1"/>
    <w:multiLevelType w:val="hybridMultilevel"/>
    <w:lvl w:ilvl="0">
      <w:lvlJc w:val="left"/>
      <w:lvlText w:val="(%1)"/>
      <w:numFmt w:val="lowerRoman"/>
      <w:start w:val="1"/>
    </w:lvl>
  </w:abstractNum>
  <w:abstractNum w:abstractNumId="26">
    <w:nsid w:val="1381823A"/>
    <w:multiLevelType w:val="hybridMultilevel"/>
    <w:lvl w:ilvl="0">
      <w:lvlJc w:val="left"/>
      <w:lvlText w:val="(%1)"/>
      <w:numFmt w:val="decimal"/>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1)"/>
      <w:numFmt w:val="decimal"/>
      <w:start w:val="1"/>
    </w:lvl>
  </w:abstractNum>
  <w:abstractNum w:abstractNumId="36">
    <w:nsid w:val="168E121F"/>
    <w:multiLevelType w:val="hybridMultilevel"/>
    <w:lvl w:ilvl="0">
      <w:lvlJc w:val="left"/>
      <w:lvlText w:val="(%1)"/>
      <w:numFmt w:val="decimal"/>
      <w:start w:val="1"/>
    </w:lvl>
  </w:abstractNum>
  <w:abstractNum w:abstractNumId="37">
    <w:nsid w:val="1EBA5D23"/>
    <w:multiLevelType w:val="hybridMultilevel"/>
    <w:lvl w:ilvl="0">
      <w:lvlJc w:val="left"/>
      <w:lvlText w:val="(%1)"/>
      <w:numFmt w:val="decimal"/>
      <w:start w:val="8"/>
    </w:lvl>
  </w:abstractNum>
  <w:abstractNum w:abstractNumId="38">
    <w:nsid w:val="661E3F1E"/>
    <w:multiLevelType w:val="hybridMultilevel"/>
    <w:lvl w:ilvl="0">
      <w:lvlJc w:val="left"/>
      <w:lvlText w:val="(%1)"/>
      <w:numFmt w:val="decimal"/>
      <w:start w:val="1"/>
    </w:lvl>
  </w:abstractNum>
  <w:abstractNum w:abstractNumId="39">
    <w:nsid w:val="5DC79EA8"/>
    <w:multiLevelType w:val="hybridMultilevel"/>
    <w:lvl w:ilvl="0">
      <w:lvlJc w:val="left"/>
      <w:lvlText w:val="(%1)"/>
      <w:numFmt w:val="decimal"/>
      <w:start w:val="5"/>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1)"/>
      <w:numFmt w:val="decimal"/>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1)"/>
      <w:numFmt w:val="decimal"/>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1)"/>
      <w:numFmt w:val="decimal"/>
      <w:start w:val="1"/>
    </w:lvl>
  </w:abstractNum>
  <w:abstractNum w:abstractNumId="51">
    <w:nsid w:val="68EB2F63"/>
    <w:multiLevelType w:val="hybridMultilevel"/>
    <w:lvl w:ilvl="0">
      <w:lvlJc w:val="left"/>
      <w:lvlText w:val="(%1)"/>
      <w:numFmt w:val="decimal"/>
      <w:start w:val="1"/>
    </w:lvl>
  </w:abstractNum>
  <w:abstractNum w:abstractNumId="52">
    <w:nsid w:val="4962813B"/>
    <w:multiLevelType w:val="hybridMultilevel"/>
    <w:lvl w:ilvl="0">
      <w:lvlJc w:val="left"/>
      <w:lvlText w:val="(%1)"/>
      <w:numFmt w:val="decimal"/>
      <w:start w:val="1"/>
    </w:lvl>
  </w:abstractNum>
  <w:abstractNum w:abstractNumId="53">
    <w:nsid w:val="60B6DF70"/>
    <w:multiLevelType w:val="hybridMultilevel"/>
    <w:lvl w:ilvl="0">
      <w:lvlJc w:val="left"/>
      <w:lvlText w:val="(%1)"/>
      <w:numFmt w:val="upperLetter"/>
      <w:start w:val="3"/>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1)"/>
      <w:numFmt w:val="decimal"/>
      <w:start w:val="1"/>
    </w:lvl>
  </w:abstractNum>
  <w:abstractNum w:abstractNumId="56">
    <w:nsid w:val="7FFFCA11"/>
    <w:multiLevelType w:val="hybridMultilevel"/>
    <w:lvl w:ilvl="0">
      <w:lvlJc w:val="left"/>
      <w:lvlText w:val="(%1)"/>
      <w:numFmt w:val="decimal"/>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1)"/>
      <w:numFmt w:val="lowerLetter"/>
      <w:start w:val="1"/>
    </w:lvl>
  </w:abstractNum>
  <w:abstractNum w:abstractNumId="60">
    <w:nsid w:val="7FB7E0AA"/>
    <w:multiLevelType w:val="hybridMultilevel"/>
    <w:lvl w:ilvl="0">
      <w:lvlJc w:val="left"/>
      <w:lvlText w:val="(%1)"/>
      <w:numFmt w:val="lowerLetter"/>
      <w:start w:val="25"/>
    </w:lvl>
  </w:abstractNum>
  <w:abstractNum w:abstractNumId="61">
    <w:nsid w:val="6EB5BD4"/>
    <w:multiLevelType w:val="hybridMultilevel"/>
    <w:lvl w:ilvl="0">
      <w:lvlJc w:val="left"/>
      <w:lvlText w:val="(%1)"/>
      <w:numFmt w:val="lowerLetter"/>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1)"/>
      <w:numFmt w:val="decimal"/>
      <w:start w:val="1"/>
    </w:lvl>
  </w:abstractNum>
  <w:abstractNum w:abstractNumId="65">
    <w:nsid w:val="76272110"/>
    <w:multiLevelType w:val="hybridMultilevel"/>
    <w:lvl w:ilvl="0">
      <w:lvlJc w:val="left"/>
      <w:lvlText w:val="(%1)"/>
      <w:numFmt w:val="decimal"/>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1)"/>
      <w:numFmt w:val="decimal"/>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1)"/>
      <w:numFmt w:val="lowerRoman"/>
      <w:start w:val="1"/>
    </w:lvl>
  </w:abstractNum>
  <w:abstractNum w:abstractNumId="71">
    <w:nsid w:val="68EBC550"/>
    <w:multiLevelType w:val="hybridMultilevel"/>
    <w:lvl w:ilvl="0">
      <w:lvlJc w:val="left"/>
      <w:lvlText w:val="(%1)"/>
      <w:numFmt w:val="upperLetter"/>
      <w:start w:val="3"/>
    </w:lvl>
  </w:abstractNum>
  <w:abstractNum w:abstractNumId="72">
    <w:nsid w:val="2DF6D648"/>
    <w:multiLevelType w:val="hybridMultilevel"/>
    <w:lvl w:ilvl="0">
      <w:lvlJc w:val="left"/>
      <w:lvlText w:val="(%1)"/>
      <w:numFmt w:val="decimal"/>
      <w:start w:val="1"/>
    </w:lvl>
  </w:abstractNum>
  <w:abstractNum w:abstractNumId="73">
    <w:nsid w:val="46B7D447"/>
    <w:multiLevelType w:val="hybridMultilevel"/>
    <w:lvl w:ilvl="0">
      <w:lvlJc w:val="left"/>
      <w:lvlText w:val="(%1)"/>
      <w:numFmt w:val="decimal"/>
      <w:start w:val="1"/>
    </w:lvl>
  </w:abstractNum>
  <w:abstractNum w:abstractNumId="74">
    <w:nsid w:val="4A2AC315"/>
    <w:multiLevelType w:val="hybridMultilevel"/>
    <w:lvl w:ilvl="0">
      <w:lvlJc w:val="left"/>
      <w:lvlText w:val="(%1)"/>
      <w:numFmt w:val="decimal"/>
      <w:start w:val="1"/>
    </w:lvl>
  </w:abstractNum>
  <w:abstractNum w:abstractNumId="75">
    <w:nsid w:val="39EE015C"/>
    <w:multiLevelType w:val="hybridMultilevel"/>
    <w:lvl w:ilvl="0">
      <w:lvlJc w:val="left"/>
      <w:lvlText w:val="(%1)"/>
      <w:numFmt w:val="decimal"/>
      <w:start w:val="1"/>
    </w:lvl>
  </w:abstractNum>
  <w:abstractNum w:abstractNumId="76">
    <w:nsid w:val="57FC4FBB"/>
    <w:multiLevelType w:val="hybridMultilevel"/>
    <w:lvl w:ilvl="0">
      <w:lvlJc w:val="left"/>
      <w:lvlText w:val="(%1)"/>
      <w:numFmt w:val="decimal"/>
      <w:start w:val="1"/>
    </w:lvl>
  </w:abstractNum>
  <w:abstractNum w:abstractNumId="77">
    <w:nsid w:val="CC1016F"/>
    <w:multiLevelType w:val="hybridMultilevel"/>
    <w:lvl w:ilvl="0">
      <w:lvlJc w:val="left"/>
      <w:lvlText w:val="(%1)"/>
      <w:numFmt w:val="decimal"/>
      <w:start w:val="1"/>
    </w:lvl>
  </w:abstractNum>
  <w:abstractNum w:abstractNumId="78">
    <w:nsid w:val="43F18422"/>
    <w:multiLevelType w:val="hybridMultilevel"/>
    <w:lvl w:ilvl="0">
      <w:lvlJc w:val="left"/>
      <w:lvlText w:val="(%1)"/>
      <w:numFmt w:val="decimal"/>
      <w:start w:val="1"/>
    </w:lvl>
  </w:abstractNum>
  <w:abstractNum w:abstractNumId="79">
    <w:nsid w:val="60EF0119"/>
    <w:multiLevelType w:val="hybridMultilevel"/>
    <w:lvl w:ilvl="0">
      <w:lvlJc w:val="left"/>
      <w:lvlText w:val="(%1)"/>
      <w:numFmt w:val="decimal"/>
      <w:start w:val="1"/>
    </w:lvl>
  </w:abstractNum>
  <w:abstractNum w:abstractNumId="80">
    <w:nsid w:val="26F324BA"/>
    <w:multiLevelType w:val="hybridMultilevel"/>
    <w:lvl w:ilvl="0">
      <w:lvlJc w:val="left"/>
      <w:lvlText w:val="(%1)"/>
      <w:numFmt w:val="decimal"/>
      <w:start w:val="1"/>
    </w:lvl>
  </w:abstractNum>
  <w:abstractNum w:abstractNumId="81">
    <w:nsid w:val="7F01579B"/>
    <w:multiLevelType w:val="hybridMultilevel"/>
    <w:lvl w:ilvl="0">
      <w:lvlJc w:val="left"/>
      <w:lvlText w:val="(%1)"/>
      <w:numFmt w:val="decimal"/>
      <w:start w:val="1"/>
    </w:lvl>
  </w:abstractNum>
  <w:abstractNum w:abstractNumId="82">
    <w:nsid w:val="49DA307D"/>
    <w:multiLevelType w:val="hybridMultilevel"/>
    <w:lvl w:ilvl="0">
      <w:lvlJc w:val="left"/>
      <w:lvlText w:val="(%1)"/>
      <w:numFmt w:val="decimal"/>
      <w:start w:val="1"/>
    </w:lvl>
  </w:abstractNum>
  <w:abstractNum w:abstractNumId="83">
    <w:nsid w:val="7055A5F5"/>
    <w:multiLevelType w:val="hybridMultilevel"/>
    <w:lvl w:ilvl="0">
      <w:lvlJc w:val="left"/>
      <w:lvlText w:val="(%1)"/>
      <w:numFmt w:val="decimal"/>
      <w:start w:val="1"/>
    </w:lvl>
  </w:abstractNum>
  <w:abstractNum w:abstractNumId="84">
    <w:nsid w:val="5FB8370B"/>
    <w:multiLevelType w:val="hybridMultilevel"/>
    <w:lvl w:ilvl="0">
      <w:lvlJc w:val="left"/>
      <w:lvlText w:val="(%1)"/>
      <w:numFmt w:val="decimal"/>
      <w:start w:val="2"/>
    </w:lvl>
  </w:abstractNum>
  <w:abstractNum w:abstractNumId="85">
    <w:nsid w:val="50801EE1"/>
    <w:multiLevelType w:val="hybridMultilevel"/>
    <w:lvl w:ilvl="0">
      <w:lvlJc w:val="left"/>
      <w:lvlText w:val="*"/>
      <w:numFmt w:val="bullet"/>
      <w:start w:val="1"/>
    </w:lvl>
  </w:abstractNum>
  <w:abstractNum w:abstractNumId="86">
    <w:nsid w:val="488AC1A"/>
    <w:multiLevelType w:val="hybridMultilevel"/>
    <w:lvl w:ilvl="0">
      <w:lvlJc w:val="left"/>
      <w:lvlText w:val="†"/>
      <w:numFmt w:val="bullet"/>
      <w:start w:val="1"/>
    </w:lvl>
  </w:abstractNum>
  <w:abstractNum w:abstractNumId="87">
    <w:nsid w:val="5FB8011C"/>
    <w:multiLevelType w:val="hybridMultilevel"/>
    <w:lvl w:ilvl="0">
      <w:lvlJc w:val="left"/>
      <w:lvlText w:val="%1."/>
      <w:numFmt w:val="upperLetter"/>
      <w:start w:val="1"/>
    </w:lvl>
  </w:abstractNum>
  <w:abstractNum w:abstractNumId="88">
    <w:nsid w:val="6AA78F7F"/>
    <w:multiLevelType w:val="hybridMultilevel"/>
    <w:lvl w:ilvl="0">
      <w:lvlJc w:val="left"/>
      <w:lvlText w:val="•"/>
      <w:numFmt w:val="bullet"/>
      <w:start w:val="1"/>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
      <w:numFmt w:val="bullet"/>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
      <w:numFmt w:val="bullet"/>
      <w:start w:val="1"/>
    </w:lvl>
  </w:abstractNum>
  <w:abstractNum w:abstractNumId="95">
    <w:nsid w:val="7DE67713"/>
    <w:multiLevelType w:val="hybridMultilevel"/>
    <w:lvl w:ilvl="0">
      <w:lvlJc w:val="left"/>
      <w:lvlText w:val="•"/>
      <w:numFmt w:val="bullet"/>
      <w:start w:val="1"/>
    </w:lvl>
  </w:abstractNum>
  <w:abstractNum w:abstractNumId="96">
    <w:nsid w:val="555C55B5"/>
    <w:multiLevelType w:val="hybridMultilevel"/>
    <w:lvl w:ilvl="0">
      <w:lvlJc w:val="left"/>
      <w:lvlText w:val="•"/>
      <w:numFmt w:val="bullet"/>
      <w:start w:val="1"/>
    </w:lvl>
  </w:abstractNum>
  <w:abstractNum w:abstractNumId="97">
    <w:nsid w:val="3FA62ACA"/>
    <w:multiLevelType w:val="hybridMultilevel"/>
    <w:lvl w:ilvl="0">
      <w:lvlJc w:val="left"/>
      <w:lvlText w:val="•"/>
      <w:numFmt w:val="bullet"/>
      <w:start w:val="1"/>
    </w:lvl>
  </w:abstractNum>
  <w:abstractNum w:abstractNumId="98">
    <w:nsid w:val="14FCE74E"/>
    <w:multiLevelType w:val="hybridMultilevel"/>
    <w:lvl w:ilvl="0">
      <w:lvlJc w:val="left"/>
      <w:lvlText w:val="•"/>
      <w:numFmt w:val="bullet"/>
      <w:start w:val="1"/>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
      <w:numFmt w:val="bullet"/>
      <w:start w:val="1"/>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
      <w:numFmt w:val="bullet"/>
      <w:start w:val="1"/>
    </w:lvl>
  </w:abstractNum>
  <w:abstractNum w:abstractNumId="103">
    <w:nsid w:val="1FBFE8E0"/>
    <w:multiLevelType w:val="hybridMultilevel"/>
    <w:lvl w:ilvl="0">
      <w:lvlJc w:val="left"/>
      <w:lvlText w:val="•"/>
      <w:numFmt w:val="bullet"/>
      <w:start w:val="1"/>
    </w:lvl>
  </w:abstractNum>
  <w:abstractNum w:abstractNumId="104">
    <w:nsid w:val="5092CA79"/>
    <w:multiLevelType w:val="hybridMultilevel"/>
    <w:lvl w:ilvl="0">
      <w:lvlJc w:val="left"/>
      <w:lvlText w:val="•"/>
      <w:numFmt w:val="bullet"/>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lvl w:ilvl="1">
      <w:lvlJc w:val="left"/>
      <w:lvlText w:val="(%2)"/>
      <w:numFmt w:val="lowerLetter"/>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6" Type="http://schemas.openxmlformats.org/officeDocument/2006/relationships/image" Target="media/image160.png"/><Relationship Id="rId187"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167" Type="http://schemas.openxmlformats.org/officeDocument/2006/relationships/hyperlink" Target="http://www.sec.gov/Archives/edgar/data/1513363/000095012311041885/w81466a2exv99wxayx1y.htm" TargetMode="External"/><Relationship Id="rId168" Type="http://schemas.openxmlformats.org/officeDocument/2006/relationships/hyperlink" Target="http://www.sec.gov/Archives/edgar/data/1513363/000095012311041885/w81466a2exv99wxbyx1y.htm" TargetMode="External"/><Relationship Id="rId169" Type="http://schemas.openxmlformats.org/officeDocument/2006/relationships/hyperlink" Target="http://www.sec.gov/Archives/edgar/data/1513363/000095012311041885/w81466a2exv99wxdy.htm" TargetMode="External"/><Relationship Id="rId170" Type="http://schemas.openxmlformats.org/officeDocument/2006/relationships/hyperlink" Target="http://www.sec.gov/Archives/edgar/data/1513363/000095012311054001/w81466a3exv99wxfyx2y.htm" TargetMode="External"/><Relationship Id="rId171" Type="http://schemas.openxmlformats.org/officeDocument/2006/relationships/hyperlink" Target="http://www.sec.gov/Archives/edgar/data/1513363/000119312516569246/d141023dex99d5.htm" TargetMode="External"/><Relationship Id="rId172" Type="http://schemas.openxmlformats.org/officeDocument/2006/relationships/hyperlink" Target="http://www.sec.gov/Archives/edgar/data/1513363/000119312518030306/d506486dex99d9.htm" TargetMode="External"/><Relationship Id="rId173" Type="http://schemas.openxmlformats.org/officeDocument/2006/relationships/hyperlink" Target="http://www.sec.gov/Archives/edgar/data/1513363/000119312519031762/d656014dex99d11.htm" TargetMode="External"/><Relationship Id="rId174" Type="http://schemas.openxmlformats.org/officeDocument/2006/relationships/hyperlink" Target="http://www.sec.gov/Archives/edgar/data/1513363/000119312519268472/d791556dex42.htm" TargetMode="External"/><Relationship Id="rId175" Type="http://schemas.openxmlformats.org/officeDocument/2006/relationships/hyperlink" Target="http://www.sec.gov/Archives/edgar/data/1513363/000095012311041885/w81466a2exv99wxgy.htm" TargetMode="External"/><Relationship Id="rId177" Type="http://schemas.openxmlformats.org/officeDocument/2006/relationships/hyperlink" Target="http://www.sec.gov/Archives/edgar/data/1513363/000095012311054001/w81466a3exv99wxjy.htm" TargetMode="External"/><Relationship Id="rId178" Type="http://schemas.openxmlformats.org/officeDocument/2006/relationships/hyperlink" Target="http://www.sec.gov/Archives/edgar/data/1513363/000095012311041885/w81466a2exv99wxkyx1y.htm" TargetMode="External"/><Relationship Id="rId179" Type="http://schemas.openxmlformats.org/officeDocument/2006/relationships/hyperlink" Target="http://www.sec.gov/Archives/edgar/data/1513363/000095012311054001/w81466a3exv99wxkyx2y.htm" TargetMode="External"/><Relationship Id="rId180" Type="http://schemas.openxmlformats.org/officeDocument/2006/relationships/hyperlink" Target="http://www.sec.gov/Archives/edgar/data/1513363/000095012311058363/w81466a4exv99wxkyx3y.htm" TargetMode="External"/><Relationship Id="rId181" Type="http://schemas.openxmlformats.org/officeDocument/2006/relationships/hyperlink" Target="http://www.sec.gov/Archives/edgar/data/1513363/000119312512368556/d382647dex99e.htm" TargetMode="External"/><Relationship Id="rId182" Type="http://schemas.openxmlformats.org/officeDocument/2006/relationships/hyperlink" Target="http://www.sec.gov/Archives/edgar/data/1513363/000119312514086785/d685842dex107.htm" TargetMode="External"/><Relationship Id="rId183" Type="http://schemas.openxmlformats.org/officeDocument/2006/relationships/hyperlink" Target="http://www.sec.gov/Archives/edgar/data/1513363/000119312514243140/d744226dex101.htm" TargetMode="External"/><Relationship Id="rId184" Type="http://schemas.openxmlformats.org/officeDocument/2006/relationships/hyperlink" Target="http://www.sec.gov/Archives/edgar/data/1513363/000119312514450573/d841078dex101.htm" TargetMode="External"/><Relationship Id="rId185" Type="http://schemas.openxmlformats.org/officeDocument/2006/relationships/hyperlink" Target="http://www.sec.gov/Archives/edgar/data/1513363/000119312518000597/d517547dex101.htm" TargetMode="External"/><Relationship Id="rId186" Type="http://schemas.openxmlformats.org/officeDocument/2006/relationships/hyperlink" Target="http://www.sec.gov/Archives/edgar/data/1513363/000119312518184440/d457777dex101.htm" TargetMode="External"/><Relationship Id="rId188" Type="http://schemas.openxmlformats.org/officeDocument/2006/relationships/hyperlink" Target="http://www.sec.gov/Archives/edgar/data/1513363/000119312518303037/d608971dex101.htm" TargetMode="External"/><Relationship Id="rId189" Type="http://schemas.openxmlformats.org/officeDocument/2006/relationships/hyperlink" Target="http://www.sec.gov/Archives/edgar/data/1513363/000119312519117122/d737015dex101.htm" TargetMode="External"/><Relationship Id="rId190" Type="http://schemas.openxmlformats.org/officeDocument/2006/relationships/hyperlink" Target="http://www.sec.gov/Archives/edgar/data/1513363/000119312519117122/d737015dex102.htm" TargetMode="External"/><Relationship Id="rId191" Type="http://schemas.openxmlformats.org/officeDocument/2006/relationships/hyperlink" Target="http://www.sec.gov/Archives/edgar/data/1513363/000119312512104127/d309911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2020-02-27T16:26:59Z</dcterms:created>
  <dcterms:modified xsi:type="dcterms:W3CDTF">2020-02-27T16:26:59Z</dcterms:modified>
</cp:coreProperties>
</file>