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333-202531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980" w:type="dxa"/>
        <w:tblCellMar>
          <w:top w:w="0" w:type="dxa"/>
          <w:left w:w="0" w:type="dxa"/>
          <w:bottom w:w="0" w:type="dxa"/>
          <w:right w:w="0" w:type="dxa"/>
        </w:tblCellMar>
      </w:tblPr>
      <w:tr>
        <w:trPr>
          <w:trHeight w:val="225"/>
        </w:trPr>
        <w:tc>
          <w:tcPr>
            <w:tcW w:w="5180" w:type="dxa"/>
            <w:vAlign w:val="bottom"/>
          </w:tcPr>
          <w:p>
            <w:pPr>
              <w:ind w:left="136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60" w:type="dxa"/>
            <w:vAlign w:val="bottom"/>
            <w:vMerge w:val="restart"/>
          </w:tcPr>
          <w:p>
            <w:pPr>
              <w:ind w:left="2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8"/>
        </w:trPr>
        <w:tc>
          <w:tcPr>
            <w:tcW w:w="5180" w:type="dxa"/>
            <w:vAlign w:val="bottom"/>
          </w:tcPr>
          <w:p>
            <w:pPr>
              <w:jc w:val="center"/>
              <w:ind w:right="1992"/>
              <w:spacing w:after="0" w:line="218"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Pr>
          <w:p>
            <w:pPr>
              <w:jc w:val="center"/>
              <w:ind w:right="1972"/>
              <w:spacing w:after="0" w:line="243" w:lineRule="exact"/>
              <w:rPr>
                <w:sz w:val="20"/>
                <w:szCs w:val="20"/>
                <w:color w:val="auto"/>
              </w:rPr>
            </w:pPr>
            <w:r>
              <w:rPr>
                <w:rFonts w:ascii="Arial" w:cs="Arial" w:eastAsia="Arial" w:hAnsi="Arial"/>
                <w:sz w:val="22"/>
                <w:szCs w:val="22"/>
                <w:b w:val="1"/>
                <w:bCs w:val="1"/>
                <w:color w:val="auto"/>
                <w:w w:val="89"/>
              </w:rPr>
              <w:t>Pre-Effective Amendment No. 1</w:t>
            </w:r>
          </w:p>
        </w:tc>
        <w:tc>
          <w:tcPr>
            <w:tcW w:w="2260" w:type="dxa"/>
            <w:vAlign w:val="bottom"/>
          </w:tcPr>
          <w:p>
            <w:pPr>
              <w:ind w:left="2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0"/>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8"/>
              </w:rPr>
              <w:t>Post-Effective Amendment No.</w:t>
            </w:r>
          </w:p>
        </w:tc>
        <w:tc>
          <w:tcPr>
            <w:tcW w:w="2260" w:type="dxa"/>
            <w:vAlign w:val="bottom"/>
          </w:tcPr>
          <w:p>
            <w:pPr>
              <w:ind w:left="2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FIDUS INVESTMENT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1603 Orrington Avenue, Suite 1005</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Evanston, Illinois 60201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859-3940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Edward H. Ross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1603 Orrington Avenue, Suite 1005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Evanston, Illinois 60201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A. Good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Pennsylvania Avenue, NW Suite 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778-1655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proposed public offering</w:t>
      </w:r>
      <w:r>
        <w:rPr>
          <w:rFonts w:ascii="Arial" w:cs="Arial" w:eastAsia="Arial" w:hAnsi="Arial"/>
          <w:sz w:val="18"/>
          <w:szCs w:val="18"/>
          <w:color w:val="auto"/>
        </w:rPr>
        <w:t>: From time to time after the effective date of the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55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00" w:type="dxa"/>
            <w:vAlign w:val="bottom"/>
            <w:tcBorders>
              <w:right w:val="single" w:sz="8" w:color="auto"/>
            </w:tcBorders>
            <w:vMerge w:val="restart"/>
          </w:tcPr>
          <w:p>
            <w:pPr>
              <w:ind w:left="1620"/>
              <w:spacing w:after="0"/>
              <w:rPr>
                <w:sz w:val="20"/>
                <w:szCs w:val="20"/>
                <w:color w:val="auto"/>
              </w:rPr>
            </w:pPr>
            <w:r>
              <w:rPr>
                <w:rFonts w:ascii="Arial" w:cs="Arial" w:eastAsia="Arial" w:hAnsi="Arial"/>
                <w:sz w:val="14"/>
                <w:szCs w:val="14"/>
                <w:b w:val="1"/>
                <w:bCs w:val="1"/>
                <w:color w:val="auto"/>
              </w:rPr>
              <w:t>Title of Securities</w:t>
            </w:r>
          </w:p>
        </w:tc>
        <w:tc>
          <w:tcPr>
            <w:tcW w:w="16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1"/>
              </w:rPr>
              <w:t>Amount Being</w:t>
            </w:r>
          </w:p>
        </w:tc>
        <w:tc>
          <w:tcPr>
            <w:tcW w:w="160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 Maximum</w:t>
            </w:r>
          </w:p>
        </w:tc>
        <w:tc>
          <w:tcPr>
            <w:tcW w:w="1580" w:type="dxa"/>
            <w:vAlign w:val="bottom"/>
            <w:gridSpan w:val="2"/>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5" w:lineRule="exact"/>
              <w:rPr>
                <w:sz w:val="20"/>
                <w:szCs w:val="20"/>
                <w:color w:val="auto"/>
              </w:rPr>
            </w:pPr>
            <w:r>
              <w:rPr>
                <w:rFonts w:ascii="Arial" w:cs="Arial" w:eastAsia="Arial" w:hAnsi="Arial"/>
                <w:sz w:val="14"/>
                <w:szCs w:val="14"/>
                <w:b w:val="1"/>
                <w:bCs w:val="1"/>
                <w:color w:val="auto"/>
                <w:w w:val="94"/>
              </w:rPr>
              <w:t>Aggregate Offering</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500" w:type="dxa"/>
            <w:vAlign w:val="bottom"/>
            <w:tcBorders>
              <w:right w:val="single" w:sz="8" w:color="auto"/>
            </w:tcBorders>
          </w:tcPr>
          <w:p>
            <w:pPr>
              <w:ind w:left="1640"/>
              <w:spacing w:after="0"/>
              <w:rPr>
                <w:sz w:val="20"/>
                <w:szCs w:val="20"/>
                <w:color w:val="auto"/>
              </w:rPr>
            </w:pPr>
            <w:r>
              <w:rPr>
                <w:rFonts w:ascii="Arial" w:cs="Arial" w:eastAsia="Arial" w:hAnsi="Arial"/>
                <w:sz w:val="14"/>
                <w:szCs w:val="14"/>
                <w:b w:val="1"/>
                <w:bCs w:val="1"/>
                <w:color w:val="auto"/>
              </w:rPr>
              <w:t>Being Registered</w:t>
            </w:r>
          </w:p>
        </w:tc>
        <w:tc>
          <w:tcPr>
            <w:tcW w:w="160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Borders>
              <w:right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12"/>
                <w:szCs w:val="12"/>
                <w:b w:val="1"/>
                <w:bCs w:val="1"/>
                <w:color w:val="auto"/>
                <w:w w:val="93"/>
              </w:rPr>
              <w:t>(1)</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64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$0.001 per share</w:t>
            </w:r>
            <w:r>
              <w:rPr>
                <w:rFonts w:ascii="Arial" w:cs="Arial" w:eastAsia="Arial" w:hAnsi="Arial"/>
                <w:sz w:val="15"/>
                <w:szCs w:val="15"/>
                <w:color w:val="auto"/>
              </w:rPr>
              <w:t>(3)</w:t>
            </w:r>
          </w:p>
        </w:tc>
        <w:tc>
          <w:tcPr>
            <w:tcW w:w="1600" w:type="dxa"/>
            <w:vAlign w:val="bottom"/>
            <w:tcBorders>
              <w:top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Preferred Stock</w:t>
            </w:r>
            <w:r>
              <w:rPr>
                <w:rFonts w:ascii="Arial" w:cs="Arial" w:eastAsia="Arial" w:hAnsi="Arial"/>
                <w:sz w:val="15"/>
                <w:szCs w:val="15"/>
                <w:color w:val="auto"/>
              </w:rPr>
              <w:t>(3)</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Subscription Rights</w:t>
            </w:r>
            <w:r>
              <w:rPr>
                <w:rFonts w:ascii="Arial" w:cs="Arial" w:eastAsia="Arial" w:hAnsi="Arial"/>
                <w:sz w:val="15"/>
                <w:szCs w:val="15"/>
                <w:color w:val="auto"/>
              </w:rPr>
              <w:t>(3)</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Debt Securities</w:t>
            </w:r>
            <w:r>
              <w:rPr>
                <w:rFonts w:ascii="Arial" w:cs="Arial" w:eastAsia="Arial" w:hAnsi="Arial"/>
                <w:sz w:val="15"/>
                <w:szCs w:val="15"/>
                <w:color w:val="auto"/>
              </w:rPr>
              <w:t>(4)</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Warrants</w:t>
            </w:r>
            <w:r>
              <w:rPr>
                <w:rFonts w:ascii="Arial" w:cs="Arial" w:eastAsia="Arial" w:hAnsi="Arial"/>
                <w:sz w:val="15"/>
                <w:szCs w:val="15"/>
                <w:color w:val="auto"/>
              </w:rPr>
              <w:t>(5)</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$300,000,000</w:t>
            </w:r>
            <w:r>
              <w:rPr>
                <w:rFonts w:ascii="Arial" w:cs="Arial" w:eastAsia="Arial" w:hAnsi="Arial"/>
                <w:sz w:val="15"/>
                <w:szCs w:val="15"/>
                <w:color w:val="auto"/>
              </w:rPr>
              <w:t>(6)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0" w:gutter="0" w:footer="0" w:header="0"/>
        </w:sectPr>
      </w:pPr>
    </w:p>
    <w:bookmarkStart w:id="1" w:name="page2"/>
    <w:bookmarkEnd w:id="1"/>
    <w:p>
      <w:pPr>
        <w:ind w:left="460" w:right="28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of the rules and regulations under the Securities Act of 1933, as amended, which permits the registration fee to be calculated on the basis of the maximum offering price of all the securities listed, the table does not specify by each class information as to the amount to be registered, proposed maximum offering price per unit or proposed maximum aggregate offering price.</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Prior to the filing of this pre-effective amendment to this registration statement, $191,430,993 aggregate principal amount of securities remained registered and unsold pursuant to registration statement No. 333-182785 (the “Prior Registration Statement”), which was initially filed by the Registrant on July 20, 2012. Pursuant to Rule 457(p), $22,055 of the total filing fee of $34,860 required in connection with the initial registration of $300,000,000 aggregate principal amount of securities under this registration statement is being offset against the $34,380 filing fee associated with the unsold securities registered under the Prior Registration Statement, and an additional $12,805 was paid in connection with the initial filing of this registration statement. If the Registrant sells any of such unsold securities pursuant to the Prior Registration Statement after the date of this pre-effective amendment to this registration statement, and prior to the date of effectiveness, of this registration statement, the Registrant will file a pre-effective amendment to this registration statement which will reduce the number of such unsold securities included on this registration statement.</w:t>
      </w:r>
    </w:p>
    <w:p>
      <w:pPr>
        <w:spacing w:after="0" w:line="5"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principal amount of common stock, preferred stock, or subscription rights, from time to time.</w:t>
      </w:r>
    </w:p>
    <w:p>
      <w:pPr>
        <w:ind w:left="460" w:right="20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$300,000,000.</w:t>
      </w:r>
    </w:p>
    <w:p>
      <w:pPr>
        <w:spacing w:after="0" w:line="1"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principal amount of warrants as may be sold, from time to time, representing rights to purchase common stock, preferred stock or debt securities.</w:t>
      </w: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no event will the aggregate offering price of all securities issued from time to time pursuant to this Registration Statement exceed $300,000,000.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 Dated April 16,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177165</wp:posOffset>
            </wp:positionV>
            <wp:extent cx="123507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20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offer, from time to time, in one or more offerings or series, together or separately, up to $300,000,000 of our common stock, preferred stock, subscription rights, debt securities, or warrants representing rights to purchase shares of our common stock, preferred stock, or debt securities,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offer shares of common stock at a discount to net asset value per share in certain circumstances. On June 4, 2014, our common stockholders voted to allow us to sell or otherwise issue common stock at a price below net asset value per share for a period of one year ending on the earlier of June 4, 2015 or the date of our 2015 Annual Meeting of Stockholders.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“Risk Factors” on page 12 and “Sales of Common Stock Below Net Asset Value” on page 90 of this prospectus for more information.</w:t>
      </w:r>
    </w:p>
    <w:p>
      <w:pPr>
        <w:spacing w:after="0" w:line="16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stockholders specified that the cumulative number of shares sold in each offering during the one-year period ending on the earlier of June 4, 2015 or the date of our 2015 Annual Meeting of Stockholders may not exceed 25.0% of our outstanding common stock immediately prior to such sale. In addition, we cannot issue shares of our common stock below net asset value unless our board of directors determines that it would be in our and our stockholders’ best interests to do so. Shares of closed-end investment companies such as us frequently trade at a discount to their net asset value. This risk is separate and distinct from the risk that our net asset value per share may decline. We cannot predict whether our common stock will trade above, at or below net asset value. You should read this prospectus and the applicable prospectus supplement carefully before you invest in our common stock.</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provide customized debt and equity financing solutions to lower middle-market companies located throughout the United States. We are an externally managed, closed-end, non-diversified management investment company that has elected to be regulated as a business development company under the Investment Company Act of 1940, as amended. Our investment objective is to provide attractive risk-adjusted returns by generating both current income from our debt investments and capital appreciation from our equity related investments. Our strategy includes partnering with business owners, management teams and financial sponsors by providing customized financing for ownership transactions, recapitalizations, strategic acquisitions, business expansion and other growth initiatives.</w:t>
      </w:r>
    </w:p>
    <w:p>
      <w:pPr>
        <w:spacing w:after="0" w:line="18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We generally invest in securities that would be rated below investment grade if they were rated. Below investment grade securities, which are often referred to as “high yield” or “junk,” have speculative characteristics with respect to our capacity to pay interest and repay principal.</w:t>
      </w:r>
    </w:p>
    <w:p>
      <w:pPr>
        <w:spacing w:after="0" w:line="120"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Our common stock is listed on the Nasdaq Global Select Market under the symbol “FDUS.” On April 13, 2015, the last reported sale price of our common stock on the Nasdaq Global Select Market was $16.20 per share and our net asset value on December 31, 2014 was $15.16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Fidus Investment Advisors, LLC serves as our investment advisor and as our administrator.</w:t>
      </w:r>
    </w:p>
    <w:p>
      <w:pPr>
        <w:spacing w:after="0" w:line="221"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Investing in our securities is speculative and involves numerous risks, and you could lose your entire investment if any of the risks occur. Among these risks is the risk associated with leverage and dilution. For more information regarding these risks, please see “Risk Factors “ beginning on page 12.</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Please read this prospectus and the accompanying prospectus supplement, if any, before investing, and keep it for future reference. It concisely sets forth important information about us that a prospective investor ought to know before investing in our securities. We file annual, quarterly and current reports, proxy statements and other information about us with the Securities and Exchange Commission. This information is available free of charge by contacting us at 1603 Orrington Avenue, Suite 1005, Evanston, Illinois 60201, Attention: Investor Relations, by accessing our website at </w:t>
      </w:r>
      <w:r>
        <w:rPr>
          <w:rFonts w:ascii="Arial" w:cs="Arial" w:eastAsia="Arial" w:hAnsi="Arial"/>
          <w:sz w:val="18"/>
          <w:szCs w:val="18"/>
          <w:i w:val="1"/>
          <w:iCs w:val="1"/>
          <w:color w:val="auto"/>
        </w:rPr>
        <w:t>http://www.fdus.com</w:t>
      </w:r>
      <w:r>
        <w:rPr>
          <w:rFonts w:ascii="Arial" w:cs="Arial" w:eastAsia="Arial" w:hAnsi="Arial"/>
          <w:sz w:val="18"/>
          <w:szCs w:val="18"/>
          <w:color w:val="auto"/>
        </w:rPr>
        <w:t xml:space="preserve"> or by calling us collect at (847) 859-3940. Information contained on our website is not incorporated by reference into, and you should not consider that information to be part of, this prospectus or any prospectus supplement. The Securities and Exchange Commission also maintains a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such information.</w:t>
      </w:r>
    </w:p>
    <w:p>
      <w:pPr>
        <w:spacing w:after="0" w:line="18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color w:val="auto"/>
              </w:rPr>
              <w:t>, 2015</w:t>
            </w:r>
          </w:p>
        </w:tc>
      </w:tr>
    </w:tbl>
    <w:p>
      <w:pPr>
        <w:sectPr>
          <w:pgSz w:w="11900" w:h="16838" w:orient="portrait"/>
          <w:cols w:equalWidth="0" w:num="1">
            <w:col w:w="11400"/>
          </w:cols>
          <w:pgMar w:left="240" w:top="459" w:right="2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60" w:type="dxa"/>
            <w:vAlign w:val="bottom"/>
            <w:gridSpan w:val="3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460" w:type="dxa"/>
            <w:vAlign w:val="bottom"/>
          </w:tcPr>
          <w:p>
            <w:pPr>
              <w:spacing w:after="0"/>
              <w:rPr>
                <w:sz w:val="17"/>
                <w:szCs w:val="17"/>
                <w:color w:val="auto"/>
              </w:rPr>
            </w:pPr>
          </w:p>
        </w:tc>
      </w:tr>
      <w:tr>
        <w:trPr>
          <w:trHeight w:val="534"/>
        </w:trPr>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r>
      <w:tr>
        <w:trPr>
          <w:trHeight w:val="419"/>
        </w:trPr>
        <w:tc>
          <w:tcPr>
            <w:tcW w:w="8860" w:type="dxa"/>
            <w:vAlign w:val="bottom"/>
            <w:gridSpan w:val="3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Fees and Expenses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440" w:type="dxa"/>
            <w:vAlign w:val="bottom"/>
            <w:tcBorders>
              <w:top w:val="single" w:sz="8" w:color="0000EE"/>
            </w:tcBorders>
            <w:gridSpan w:val="7"/>
          </w:tcPr>
          <w:p>
            <w:pPr>
              <w:spacing w:after="0"/>
              <w:rPr>
                <w:sz w:val="17"/>
                <w:szCs w:val="17"/>
                <w:color w:val="auto"/>
              </w:rPr>
            </w:pPr>
          </w:p>
        </w:tc>
        <w:tc>
          <w:tcPr>
            <w:tcW w:w="7500" w:type="dxa"/>
            <w:vAlign w:val="bottom"/>
            <w:gridSpan w:val="2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Special Note Regarding 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Use of Proceeds</w:t>
              </w:r>
            </w:hyperlink>
          </w:p>
        </w:tc>
        <w:tc>
          <w:tcPr>
            <w:tcW w:w="2700" w:type="dxa"/>
            <w:vAlign w:val="bottom"/>
            <w:tcBorders>
              <w:top w:val="single" w:sz="8" w:color="0000EE"/>
            </w:tcBorders>
            <w:gridSpan w:val="23"/>
          </w:tcPr>
          <w:p>
            <w:pPr>
              <w:spacing w:after="0"/>
              <w:rPr>
                <w:sz w:val="17"/>
                <w:szCs w:val="17"/>
                <w:color w:val="auto"/>
              </w:rPr>
            </w:pPr>
          </w:p>
        </w:tc>
        <w:tc>
          <w:tcPr>
            <w:tcW w:w="498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5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Ratio of Earnings to Fixed Charges</w:t>
              </w:r>
            </w:hyperlink>
          </w:p>
        </w:tc>
        <w:tc>
          <w:tcPr>
            <w:tcW w:w="630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5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Price Range of Common Stock and Distributions</w:t>
              </w:r>
            </w:hyperlink>
          </w:p>
        </w:tc>
        <w:tc>
          <w:tcPr>
            <w:tcW w:w="532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7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Selected Consolidated Financial Data</w:t>
              </w:r>
            </w:hyperlink>
          </w:p>
        </w:tc>
        <w:tc>
          <w:tcPr>
            <w:tcW w:w="614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Selected Quarterly Financial Data</w:t>
              </w:r>
            </w:hyperlink>
          </w:p>
        </w:tc>
        <w:tc>
          <w:tcPr>
            <w:tcW w:w="640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Information and Results of Operations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Senior Securities</w:t>
              </w:r>
            </w:hyperlink>
          </w:p>
        </w:tc>
        <w:tc>
          <w:tcPr>
            <w:tcW w:w="5360" w:type="dxa"/>
            <w:vAlign w:val="bottom"/>
            <w:tcBorders>
              <w:top w:val="single" w:sz="8" w:color="0000EE"/>
            </w:tcBorders>
            <w:gridSpan w:val="24"/>
          </w:tcPr>
          <w:p>
            <w:pPr>
              <w:spacing w:after="0"/>
              <w:rPr>
                <w:sz w:val="17"/>
                <w:szCs w:val="17"/>
                <w:color w:val="auto"/>
              </w:rPr>
            </w:pPr>
          </w:p>
        </w:tc>
        <w:tc>
          <w:tcPr>
            <w:tcW w:w="22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The Company</w:t>
              </w:r>
            </w:hyperlink>
          </w:p>
        </w:tc>
        <w:tc>
          <w:tcPr>
            <w:tcW w:w="7820" w:type="dxa"/>
            <w:vAlign w:val="bottom"/>
            <w:gridSpan w:val="2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Portfolio Companies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Management</w:t>
              </w:r>
            </w:hyperlink>
          </w:p>
        </w:tc>
        <w:tc>
          <w:tcPr>
            <w:tcW w:w="736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Management and Other Agreements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3420" w:type="dxa"/>
            <w:vAlign w:val="bottom"/>
            <w:tcBorders>
              <w:top w:val="single" w:sz="8" w:color="0000EE"/>
            </w:tcBorders>
            <w:gridSpan w:val="26"/>
          </w:tcPr>
          <w:p>
            <w:pPr>
              <w:spacing w:after="0" w:line="196"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Control Persons and Principal Stockholders</w:t>
              </w:r>
            </w:hyperlink>
          </w:p>
        </w:tc>
        <w:tc>
          <w:tcPr>
            <w:tcW w:w="54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Sales of Common Stock Below Net Asset Value</w:t>
              </w:r>
            </w:hyperlink>
          </w:p>
        </w:tc>
        <w:tc>
          <w:tcPr>
            <w:tcW w:w="53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Dividend Reinvestment Plan</w:t>
              </w:r>
            </w:hyperlink>
          </w:p>
        </w:tc>
        <w:tc>
          <w:tcPr>
            <w:tcW w:w="678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Material U.S. Federal Income Tax Considerations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35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Description of Our Capital Stock</w:t>
              </w:r>
            </w:hyperlink>
          </w:p>
        </w:tc>
        <w:tc>
          <w:tcPr>
            <w:tcW w:w="528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18">
              <w:r>
                <w:rPr>
                  <w:rFonts w:ascii="Arial" w:cs="Arial" w:eastAsia="Arial" w:hAnsi="Arial"/>
                  <w:sz w:val="18"/>
                  <w:szCs w:val="18"/>
                  <w:color w:val="0000EE"/>
                  <w:w w:val="91"/>
                </w:rPr>
                <w:t>Description of Our Preferred Stock</w:t>
              </w:r>
            </w:hyperlink>
          </w:p>
        </w:tc>
        <w:tc>
          <w:tcPr>
            <w:tcW w:w="632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28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Subscription Rights</w:t>
              </w:r>
            </w:hyperlink>
          </w:p>
        </w:tc>
        <w:tc>
          <w:tcPr>
            <w:tcW w:w="602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25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Description of Our Debt Securities</w:t>
              </w:r>
            </w:hyperlink>
          </w:p>
        </w:tc>
        <w:tc>
          <w:tcPr>
            <w:tcW w:w="634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Regulation</w:t>
              </w:r>
            </w:hyperlink>
          </w:p>
        </w:tc>
        <w:tc>
          <w:tcPr>
            <w:tcW w:w="8060" w:type="dxa"/>
            <w:vAlign w:val="bottom"/>
            <w:gridSpan w:val="3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14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Plan of Distribution</w:t>
              </w:r>
            </w:hyperlink>
          </w:p>
        </w:tc>
        <w:tc>
          <w:tcPr>
            <w:tcW w:w="7420" w:type="dxa"/>
            <w:vAlign w:val="bottom"/>
            <w:gridSpan w:val="2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45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Custodian, Transfer and Dividend Paying Agent and Registrar</w:t>
              </w:r>
            </w:hyperlink>
          </w:p>
        </w:tc>
        <w:tc>
          <w:tcPr>
            <w:tcW w:w="436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30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Brokerage Allocation and Other Practices</w:t>
              </w:r>
            </w:hyperlink>
          </w:p>
        </w:tc>
        <w:tc>
          <w:tcPr>
            <w:tcW w:w="584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Legal Matters</w:t>
              </w:r>
            </w:hyperlink>
          </w:p>
        </w:tc>
        <w:tc>
          <w:tcPr>
            <w:tcW w:w="7840" w:type="dxa"/>
            <w:vAlign w:val="bottom"/>
            <w:gridSpan w:val="2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35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Independent Registered Public Accounting Firm</w:t>
              </w:r>
            </w:hyperlink>
          </w:p>
        </w:tc>
        <w:tc>
          <w:tcPr>
            <w:tcW w:w="536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16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Available Information</w:t>
              </w:r>
            </w:hyperlink>
          </w:p>
        </w:tc>
        <w:tc>
          <w:tcPr>
            <w:tcW w:w="7260" w:type="dxa"/>
            <w:vAlign w:val="bottom"/>
            <w:gridSpan w:val="2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8860" w:type="dxa"/>
            <w:vAlign w:val="bottom"/>
            <w:gridSpan w:val="3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Privacy Notice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1080" w:type="dxa"/>
            <w:vAlign w:val="bottom"/>
            <w:gridSpan w:val="7"/>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6700" w:type="dxa"/>
            <w:vAlign w:val="bottom"/>
            <w:gridSpan w:val="19"/>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Index to Financial Statements</w:t>
              </w:r>
            </w:hyperlink>
          </w:p>
        </w:tc>
        <w:tc>
          <w:tcPr>
            <w:tcW w:w="670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or the SEC, using the “shelf” registration process. Under the shelf registration process, we may offer, from time to time, up to $300,000,000 worth of our common stock, preferred stock, subscription rights, debt securities, or warrants representing rights to purchase shares of our common stock, preferred stock or debt securities on terms to be determined at the time of the offering.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To the extent required by law, we will amend or supplement the information contained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 Please carefully read this prospectus and any accompanying prospectus supplement together with the additional information described under “Available Information” and “Risk Factors” before you make an investment decision. During an offering, we will disclose material amendments to this prospectus through a post-effective amendment or prospectus supplement.</w:t>
      </w:r>
    </w:p>
    <w:p>
      <w:pPr>
        <w:sectPr>
          <w:pgSz w:w="11900" w:h="16838" w:orient="portrait"/>
          <w:cols w:equalWidth="0" w:num="1">
            <w:col w:w="11320"/>
          </w:cols>
          <w:pgMar w:left="240" w:top="446"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or any accompanying supplement to this prospectus. You must not rely on any unauthorized information or representations not contained in this prospectus or any accompanying prospectus supplement as if we had authorized it. This prospectus and any accompanying prospectus supplement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accompanying prospectus supplement is accurate as of the dates on their covers.</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2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821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80" w:firstLine="443"/>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the entire prospectus and any prospectus supplement carefully, including “Risk Factors,” “Selected Consolidated Financial Data,” “Management’s Discussion and Analysis of Financial Condition and Results of Operations” and the financial statements contained elsewhere in this prospectus.</w:t>
      </w:r>
    </w:p>
    <w:p>
      <w:pPr>
        <w:spacing w:after="0" w:line="187"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i w:val="1"/>
          <w:iCs w:val="1"/>
          <w:color w:val="auto"/>
        </w:rPr>
        <w:t>Fidus Investment Corporation is a Maryland corporation, formed on February 14, 2011, for the purpose of acquiring 100.0% of the equity interests in Fidus Mezzanine Capital, L.P., or Fund I, and its general partner, Fidus Mezzanine Capital GP, LLC, or FMCGP, raising capital in its initial public offering, or IPO, which was completed in June 2011, and thereafter, operating as an externally managed business development company, or BDC, under the Investment Company Act of 1940, as amended, or the 1940 Act. Fund I is licensed as a small business investment company, or SBIC, by the United States Small Business Administration, or SBA. Simultaneously with the consummation of our IPO, we acquired all of the equity interests in Fund I and its former general partner as described elsewhere in this prospectus supplement under “Formation Transactions,” whereby Fund I became our wholly-owned subsidiary. On March 29, 2013, we commenced operations of a new wholly-owned investment fund, Fidus Mezzanine Capital II, L.P., or Fund II, and on May 28, 2013, were granted a second license by the SBA to operate Fund II as an SBIC. Collectively, Fund I and Fund II are referred to as the Funds. Unless otherwise noted in this prospectus supplement the terms “we,” “us,” “our,” the “Company,” “Fidus” and “FIC” refer to Fund I, and its consolidated subsidiaries, prior to the IPO and to Fidus Investment Corporation and its consolidated subsidiaries, including Fund I, for the periods after the IPO.</w:t>
      </w:r>
    </w:p>
    <w:p>
      <w:pPr>
        <w:spacing w:after="0" w:line="183" w:lineRule="exact"/>
        <w:rPr>
          <w:sz w:val="20"/>
          <w:szCs w:val="20"/>
          <w:color w:val="auto"/>
        </w:rPr>
      </w:pPr>
    </w:p>
    <w:p>
      <w:pPr>
        <w:ind w:left="200" w:right="220" w:firstLine="443"/>
        <w:spacing w:after="0" w:line="264" w:lineRule="auto"/>
        <w:rPr>
          <w:sz w:val="20"/>
          <w:szCs w:val="20"/>
          <w:color w:val="auto"/>
        </w:rPr>
      </w:pPr>
      <w:r>
        <w:rPr>
          <w:rFonts w:ascii="Arial" w:cs="Arial" w:eastAsia="Arial" w:hAnsi="Arial"/>
          <w:sz w:val="18"/>
          <w:szCs w:val="18"/>
          <w:i w:val="1"/>
          <w:iCs w:val="1"/>
          <w:color w:val="auto"/>
        </w:rPr>
        <w:t>As used in this prospectus the term “our investment advisor” refers to Fidus Capital, LLC prior to the Formation Transactions and Fidus Investment Advisors, LLC after the Formation Transactions. The investment professionals of Fidus Investment Advisors, LLC were also the investment professionals of Fidus Capital, LLC.</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Fidus Investment Corporation</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jc w:val="both"/>
        <w:ind w:left="200" w:right="240" w:firstLine="443"/>
        <w:spacing w:after="0" w:line="257" w:lineRule="auto"/>
        <w:rPr>
          <w:sz w:val="20"/>
          <w:szCs w:val="20"/>
          <w:color w:val="auto"/>
        </w:rPr>
      </w:pPr>
      <w:r>
        <w:rPr>
          <w:rFonts w:ascii="Arial" w:cs="Arial" w:eastAsia="Arial" w:hAnsi="Arial"/>
          <w:sz w:val="18"/>
          <w:szCs w:val="18"/>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$3.0 million and $20.0 million; however, we may from time to time opportunistically make investments in larger or smaller companies. Our investments typically range between $5.0 million and $20.0 million per portfolio company.</w:t>
      </w:r>
    </w:p>
    <w:p>
      <w:pPr>
        <w:spacing w:after="0" w:line="188"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color w:val="auto"/>
        </w:rPr>
        <w:t>As of December 31, 2014, we had debt and equity investments in 42 portfolio companies with an aggregate fair value of $396.4 million. The weighted average yield on all of our debt investments as of December 31, 2014 was 13.4%. The weighted average yield is computed using the effective interest rates as of December 31, 2014, including accretion of original issue discount and loan origination fees, but excluding any debt investments on non-accrual status, if any. There can be no assurance that the weighted average yield will remain at its current level.</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We believe that the limited amount of capital available to lower middle-market companies, coupled with the desire of these companies for flexible and partnership-oriented sources of capital, creates an attractive investment environment for us. From our perspective, lower middle-market companies have faced difficulty raising</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40"/>
        <w:spacing w:after="0" w:line="302" w:lineRule="auto"/>
        <w:rPr>
          <w:sz w:val="20"/>
          <w:szCs w:val="20"/>
          <w:color w:val="auto"/>
        </w:rPr>
      </w:pPr>
      <w:r>
        <w:rPr>
          <w:rFonts w:ascii="Arial" w:cs="Arial" w:eastAsia="Arial" w:hAnsi="Arial"/>
          <w:sz w:val="16"/>
          <w:szCs w:val="16"/>
          <w:color w:val="auto"/>
        </w:rPr>
        <w:t>debt capital in both the capital markets and private markets. As a result of the difficulties in the credit markets and fewer sources of capital for lower middle-market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on debt and equity investments. See “The Company” in the accompanying prospectus for more information.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accomplish our goal of becoming the premier provider of capital to and value-added partner of lower middle-market companies by:</w:t>
      </w:r>
    </w:p>
    <w:p>
      <w:pPr>
        <w:spacing w:after="0" w:line="154"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the experience of our investment advisor;</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Capitalizing on our strong transaction sourcing network;</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Serving as a value-added partner with customized financing solutions;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Employing rigorous due diligence and underwriting processes focused on capital preservation;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Actively managing our portfolio;</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portfolio diversification;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Benefiting from lower cost of capital through our SBIC subsidiaries.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200" w:right="500" w:firstLine="443"/>
        <w:spacing w:after="0" w:line="277" w:lineRule="auto"/>
        <w:rPr>
          <w:sz w:val="20"/>
          <w:szCs w:val="20"/>
          <w:color w:val="auto"/>
        </w:rPr>
      </w:pPr>
      <w:r>
        <w:rPr>
          <w:rFonts w:ascii="Arial" w:cs="Arial" w:eastAsia="Arial" w:hAnsi="Arial"/>
          <w:sz w:val="18"/>
          <w:szCs w:val="18"/>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70" w:lineRule="exact"/>
        <w:rPr>
          <w:sz w:val="20"/>
          <w:szCs w:val="20"/>
          <w:color w:val="auto"/>
        </w:rPr>
      </w:pPr>
    </w:p>
    <w:p>
      <w:pPr>
        <w:ind w:left="200" w:right="100" w:firstLine="443"/>
        <w:spacing w:after="0" w:line="302" w:lineRule="auto"/>
        <w:rPr>
          <w:sz w:val="20"/>
          <w:szCs w:val="20"/>
          <w:color w:val="auto"/>
        </w:rPr>
      </w:pPr>
      <w:r>
        <w:rPr>
          <w:rFonts w:ascii="Arial" w:cs="Arial" w:eastAsia="Arial" w:hAnsi="Arial"/>
          <w:sz w:val="16"/>
          <w:szCs w:val="16"/>
          <w:i w:val="1"/>
          <w:iCs w:val="1"/>
          <w:color w:val="auto"/>
        </w:rPr>
        <w:t xml:space="preserve">Value Orientation / Positive Cash Flow. </w:t>
      </w:r>
      <w:r>
        <w:rPr>
          <w:rFonts w:ascii="Arial" w:cs="Arial" w:eastAsia="Arial" w:hAnsi="Arial"/>
          <w:sz w:val="16"/>
          <w:szCs w:val="16"/>
          <w:color w:val="auto"/>
        </w:rPr>
        <w:t>Our investment advisor places a premium on analysis of business fundamentals from an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$3.0 million. We do not invest in start-up companies, “turn-around” situations or companies that we believe have unproven business plans.</w:t>
      </w:r>
    </w:p>
    <w:p>
      <w:pPr>
        <w:spacing w:after="0" w:line="154" w:lineRule="exact"/>
        <w:rPr>
          <w:sz w:val="20"/>
          <w:szCs w:val="20"/>
          <w:color w:val="auto"/>
        </w:rPr>
      </w:pPr>
    </w:p>
    <w:p>
      <w:pPr>
        <w:jc w:val="both"/>
        <w:ind w:left="200" w:right="20" w:firstLine="443"/>
        <w:spacing w:after="0" w:line="312" w:lineRule="auto"/>
        <w:rPr>
          <w:sz w:val="20"/>
          <w:szCs w:val="20"/>
          <w:color w:val="auto"/>
        </w:rPr>
      </w:pPr>
      <w:r>
        <w:rPr>
          <w:rFonts w:ascii="Arial" w:cs="Arial" w:eastAsia="Arial" w:hAnsi="Arial"/>
          <w:sz w:val="16"/>
          <w:szCs w:val="16"/>
          <w:i w:val="1"/>
          <w:iCs w:val="1"/>
          <w:color w:val="auto"/>
        </w:rPr>
        <w:t>Experienced Management Teams with Meaningful Equity Ownership</w:t>
      </w:r>
      <w:r>
        <w:rPr>
          <w:rFonts w:ascii="Arial" w:cs="Arial" w:eastAsia="Arial" w:hAnsi="Arial"/>
          <w:sz w:val="16"/>
          <w:szCs w:val="16"/>
          <w:color w:val="auto"/>
        </w:rPr>
        <w:t>. We target portfolio companies that have management teams with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47"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i w:val="1"/>
          <w:iCs w:val="1"/>
          <w:color w:val="auto"/>
        </w:rPr>
        <w:t>Niche Market Leaders with Defensible Market Positions</w:t>
      </w:r>
      <w:r>
        <w:rPr>
          <w:rFonts w:ascii="Arial" w:cs="Arial" w:eastAsia="Arial" w:hAnsi="Arial"/>
          <w:sz w:val="18"/>
          <w:szCs w:val="18"/>
          <w:color w:val="auto"/>
        </w:rPr>
        <w:t>. We seek to invest in companies that have developed defensible and/or leading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their respective markets or market niches and are well positioned to capitalize on growth opportunities. We favor companies that demonstrate significant competitive advantages, which we believe helps to protect their market position and profitability.</w:t>
      </w:r>
    </w:p>
    <w:p>
      <w:pPr>
        <w:spacing w:after="0" w:line="18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i w:val="1"/>
          <w:iCs w:val="1"/>
          <w:color w:val="auto"/>
        </w:rPr>
        <w:t xml:space="preserve">Diversified Customer and Supplier Base. </w:t>
      </w:r>
      <w:r>
        <w:rPr>
          <w:rFonts w:ascii="Arial" w:cs="Arial" w:eastAsia="Arial" w:hAnsi="Arial"/>
          <w:sz w:val="18"/>
          <w:szCs w:val="18"/>
          <w:color w:val="auto"/>
        </w:rPr>
        <w:t>We prefer to invest in portfolio companies that have a diversified customer and supplier base.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diversified customer and supplier base are generally better able to endure economic downturns, industry consolidation and shifting customer preferences.</w:t>
      </w:r>
    </w:p>
    <w:p>
      <w:pPr>
        <w:spacing w:after="0" w:line="181"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i w:val="1"/>
          <w:iCs w:val="1"/>
          <w:color w:val="auto"/>
        </w:rPr>
        <w:t>Significant Invested Capital</w:t>
      </w:r>
      <w:r>
        <w:rPr>
          <w:rFonts w:ascii="Arial" w:cs="Arial" w:eastAsia="Arial" w:hAnsi="Arial"/>
          <w:sz w:val="18"/>
          <w:szCs w:val="18"/>
          <w:color w:val="auto"/>
        </w:rPr>
        <w:t>. We believe the existence of significant underlying equity value provides important support to our debt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debt investments, we look for portfolio companies where we believe aggregate enterprise value significantly exceeds aggregate indebtedness, after consideration of our investment.</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i w:val="1"/>
          <w:iCs w:val="1"/>
          <w:color w:val="auto"/>
        </w:rPr>
        <w:t xml:space="preserve">Viable Exit Strategy. </w:t>
      </w:r>
      <w:r>
        <w:rPr>
          <w:rFonts w:ascii="Arial" w:cs="Arial" w:eastAsia="Arial" w:hAnsi="Arial"/>
          <w:sz w:val="16"/>
          <w:szCs w:val="16"/>
          <w:color w:val="auto"/>
        </w:rPr>
        <w:t>We invest in portfolio companies that we believe will provide a steady stream of cash flow to repay our debt investments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reinvest in their respective businesses. In addition, we seek to invest in portfolio companies whose business models and expected future cash flows offer attractive exit possibilities for our equity investments. We expect to exit our investments typically through one of three scenarios: (a) the sale of the portfolio company resulting in repayment of all outstanding debt and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Advisor</w:t>
      </w:r>
    </w:p>
    <w:p>
      <w:pPr>
        <w:spacing w:after="0" w:line="121"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investment activities are managed by Fidus Investment Advisors, LLC, our investment advisor, and supervised by our board of directors, a majority of whom are not “interested persons” of Fidus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 For information regarding the people who control our investment advisor and their affiliations with the Company, see “Certain Relationships and Related Transactions—Investment Advisory Agreement” in the accompanying prospectus.</w:t>
      </w:r>
    </w:p>
    <w:p>
      <w:pPr>
        <w:spacing w:after="0" w:line="173"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 – 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w:t>
      </w:r>
    </w:p>
    <w:p>
      <w:pPr>
        <w:spacing w:after="0" w:line="2"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previously paid capital gain incentive fees. We accrue, but do not pay, a capital gains incentive fee in connection with any unrealized capital appreciation, as appropriate. For more information about how we compensate our investment advisor and the related conflicts of interest, see “Management and Other Agreements – Investment Advisory Agreement” and “Certain Relationships and Related Transactions – Conflicts of Interest” in the accompanying prospectus.</w:t>
      </w:r>
    </w:p>
    <w:p>
      <w:pPr>
        <w:spacing w:after="0" w:line="164"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6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Fidus Investment Advisors, LLC is a Delaware limited liability company that is registered as an investment advisor under the Investment Advisers Act of 1940, as amended, or the Advisers Act. In addition, Fidus Investment Advisors, LLC also serves as our administrator and provides us with office space, equipment and clerical, book-keeping and record-keeping services pursuant to an administration agreement, which we refer to as the Administration Agreement.</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investment activities are managed by our investment advisor and supervised by our board of directors, a majority of whom are not interested persons of us, our investment advisor or its affiliates.</w:t>
      </w:r>
    </w:p>
    <w:p>
      <w:pPr>
        <w:spacing w:after="0" w:line="170"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As a BDC, we are required to comply with certain regulatory requirements. For example, while we are permitted to finance investments using leverage, which may include the issuance of shares of preferred stock, or notes and other borrowings, our ability to use leverage is limited in significant respects. See “Regulation.” Any decision on our part to use leverage will depend upon our assessment of the attractiveness of available investment opportunities in relation to the costs and perceived risks of such leverage. The use of leverage to finance investments creates certain risks and potential conflicts of interest. See “Risk Factors – Risks Relating to Our Business and Structure – Regulations governing our operations as a BDC affect our ability to raise, and the way in which we raise, additional capital which may have a negative effect on our growth” and “Risk Factors – Risks Relating to Our Business and Structure – 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166"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We have elected to be treated for U.S. federal income tax purposes as a regulated investment company, or RIC, under Subchapter M of the Internal Revenue Code of 1986, as amended, or the Code. In order to maintain our status as a RIC, we must satisfy certain source of income, asset diversification and distribution requirements. See “Material U.S. Federal Income Tax Considerations.”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The value of our assets, as well as the market price of our shares, will fluctuate. Our investments may be risky, and you may lose part of or all of your investment in us. Investing in our securities involves other risks, including the following:</w:t>
      </w:r>
    </w:p>
    <w:p>
      <w:pPr>
        <w:spacing w:after="0" w:line="76"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personnel of our investment advisor and our executive officers;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develop referral relationships;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additional capital on attractive terms or at all;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 valuations of our portfolio investments;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for investment opportunities;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potential conflicts of interests with our investment advisor;</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potential conflicts of interest;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SBA regulations affecting our wholly-owned SBIC subsidiaries;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liquidity of credit markets on our business and portfolio of investments;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RIC and as a BDC;</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distributions from our portfolio companies;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 applicable to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dilutions risks related to our ability to issue shares below our current net asset value;</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02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2602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resignation of our investment advisor;</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economy and its impact on the industries in which we invest;</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investing in lower middle-market companies;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advisor to identify, invest in and monitor companies that meet our investment criteria;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invest in qualifying assets.</w:t>
      </w:r>
    </w:p>
    <w:p>
      <w:pPr>
        <w:spacing w:after="0" w:line="225" w:lineRule="exact"/>
        <w:rPr>
          <w:sz w:val="20"/>
          <w:szCs w:val="20"/>
          <w:color w:val="auto"/>
        </w:rPr>
      </w:pPr>
    </w:p>
    <w:p>
      <w:pPr>
        <w:ind w:left="200" w:right="380" w:firstLine="443"/>
        <w:spacing w:after="0" w:line="277" w:lineRule="auto"/>
        <w:rPr>
          <w:sz w:val="20"/>
          <w:szCs w:val="20"/>
          <w:color w:val="auto"/>
        </w:rPr>
      </w:pPr>
      <w:r>
        <w:rPr>
          <w:rFonts w:ascii="Arial" w:cs="Arial" w:eastAsia="Arial" w:hAnsi="Arial"/>
          <w:sz w:val="18"/>
          <w:szCs w:val="18"/>
          <w:color w:val="auto"/>
        </w:rPr>
        <w:t>See “Risk Factors” beginning on page 12 and the other information included in this prospectus, and any prospectus supplement, for additional discussion of factors you should carefully consider before deciding to invest in our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principal executive offices are located at 1603 Orrington Avenue, Suite 1005, Evanston, Illinois 60201, and our telephone number is</w:t>
      </w:r>
    </w:p>
    <w:p>
      <w:pPr>
        <w:spacing w:after="0" w:line="35" w:lineRule="exact"/>
        <w:rPr>
          <w:sz w:val="20"/>
          <w:szCs w:val="20"/>
          <w:color w:val="auto"/>
        </w:rPr>
      </w:pPr>
    </w:p>
    <w:p>
      <w:pPr>
        <w:ind w:left="200" w:hanging="3"/>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859-3940. Our corporate website is located at </w:t>
      </w:r>
      <w:r>
        <w:rPr>
          <w:rFonts w:ascii="Arial" w:cs="Arial" w:eastAsia="Arial" w:hAnsi="Arial"/>
          <w:sz w:val="18"/>
          <w:szCs w:val="18"/>
          <w:i w:val="1"/>
          <w:iCs w:val="1"/>
          <w:color w:val="auto"/>
        </w:rPr>
        <w:t>http://www.fdus.com</w:t>
      </w:r>
      <w:r>
        <w:rPr>
          <w:rFonts w:ascii="Arial" w:cs="Arial" w:eastAsia="Arial" w:hAnsi="Arial"/>
          <w:sz w:val="18"/>
          <w:szCs w:val="18"/>
          <w:color w:val="auto"/>
        </w:rPr>
        <w:t>. Information on our website is not incorporated into this prospectus or any supplements to this prospectus, and you should not consider information contained on our website to be part of this prospectus or any supplements to this prospectus.</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9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69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00" w:right="380" w:firstLine="443"/>
        <w:spacing w:after="0" w:line="277" w:lineRule="auto"/>
        <w:rPr>
          <w:sz w:val="20"/>
          <w:szCs w:val="20"/>
          <w:color w:val="auto"/>
        </w:rPr>
      </w:pPr>
      <w:r>
        <w:rPr>
          <w:rFonts w:ascii="Arial" w:cs="Arial" w:eastAsia="Arial" w:hAnsi="Arial"/>
          <w:sz w:val="18"/>
          <w:szCs w:val="18"/>
          <w:color w:val="auto"/>
        </w:rPr>
        <w:t>We may offer, from time to time, up to $300,000,000 worth of our securities, on terms to be determined at the time of the offering. Our securities may be offered at prices and on terms to be disclosed in one or more prospectus supplements.</w:t>
      </w:r>
    </w:p>
    <w:p>
      <w:pPr>
        <w:spacing w:after="0" w:line="170"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We may sell or otherwise issue shares of common stock at a discount to net asset value per share at prices approximating market value less selling expenses upon approval, in certain circumstances, of our board of directors, including a majority of our directors that are not “interested persons” of the Company, as defined in the 1940 Act. On June 4, 2014, our stockholders voted to allow us to issue common stock at a price below net asset value per share for a period of one year ended on the earlier of June 4, 2015 or the date of our 2015 Annual Meeting of Stockholders. See “Sales of Common Stock Below Net Asset Value” in this prospectus and in any accompanying prospectus supplement, if applicable. Sales or other issuances of common stock at prices below net asset value per share dilute the interests of existing stockholders, have the effect of reducing our net asset value per share and may reduce our market price per share.</w:t>
      </w:r>
    </w:p>
    <w:p>
      <w:pPr>
        <w:spacing w:after="0" w:line="189" w:lineRule="exact"/>
        <w:rPr>
          <w:sz w:val="20"/>
          <w:szCs w:val="20"/>
          <w:color w:val="auto"/>
        </w:rPr>
      </w:pPr>
    </w:p>
    <w:p>
      <w:pPr>
        <w:jc w:val="both"/>
        <w:ind w:left="200" w:right="480" w:firstLine="443"/>
        <w:spacing w:after="0" w:line="312" w:lineRule="auto"/>
        <w:rPr>
          <w:sz w:val="20"/>
          <w:szCs w:val="20"/>
          <w:color w:val="auto"/>
        </w:rPr>
      </w:pPr>
      <w:r>
        <w:rPr>
          <w:rFonts w:ascii="Arial" w:cs="Arial" w:eastAsia="Arial" w:hAnsi="Arial"/>
          <w:sz w:val="16"/>
          <w:szCs w:val="16"/>
          <w:color w:val="auto"/>
        </w:rPr>
        <w:t>Our stockholders did not specify a maximum discount below net asset value at which we are able to sell or otherwise issue our common stock; however, we do not intend to sell or otherwise issue shares of our common stock below net asset value unless our board of directors determines that it would be in our stockholders’ best interest to do so. The level of net asset value dilution that could result from such an offering is not limited.</w:t>
      </w:r>
    </w:p>
    <w:p>
      <w:pPr>
        <w:spacing w:after="0" w:line="147" w:lineRule="exact"/>
        <w:rPr>
          <w:sz w:val="20"/>
          <w:szCs w:val="20"/>
          <w:color w:val="auto"/>
        </w:rPr>
      </w:pPr>
    </w:p>
    <w:p>
      <w:pPr>
        <w:ind w:left="200" w:right="340" w:firstLine="443"/>
        <w:spacing w:after="0" w:line="255" w:lineRule="auto"/>
        <w:rPr>
          <w:sz w:val="20"/>
          <w:szCs w:val="20"/>
          <w:color w:val="auto"/>
        </w:rPr>
      </w:pPr>
      <w:r>
        <w:rPr>
          <w:rFonts w:ascii="Arial" w:cs="Arial" w:eastAsia="Arial" w:hAnsi="Arial"/>
          <w:sz w:val="18"/>
          <w:szCs w:val="18"/>
          <w:color w:val="auto"/>
        </w:rPr>
        <w:t>Our securities may be offered directly to one or more purchasers by us or through agents designated from time to time by us, or to or through underwriters or dealers. The prospectus supplement relating to the offering will disclose the terms of the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a prospectus supplement describing the method and terms of the offering of our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The Nasdaq Global Select Market Symbol</w:t>
            </w:r>
          </w:p>
        </w:tc>
        <w:tc>
          <w:tcPr>
            <w:tcW w:w="7640" w:type="dxa"/>
            <w:vAlign w:val="bottom"/>
          </w:tcPr>
          <w:p>
            <w:pPr>
              <w:ind w:left="580"/>
              <w:spacing w:after="0"/>
              <w:rPr>
                <w:sz w:val="20"/>
                <w:szCs w:val="20"/>
                <w:color w:val="auto"/>
              </w:rPr>
            </w:pPr>
            <w:r>
              <w:rPr>
                <w:rFonts w:ascii="Arial" w:cs="Arial" w:eastAsia="Arial" w:hAnsi="Arial"/>
                <w:sz w:val="18"/>
                <w:szCs w:val="18"/>
                <w:color w:val="auto"/>
              </w:rPr>
              <w:t>“FDUS”</w:t>
            </w:r>
          </w:p>
        </w:tc>
      </w:tr>
      <w:tr>
        <w:trPr>
          <w:trHeight w:val="458"/>
        </w:trPr>
        <w:tc>
          <w:tcPr>
            <w:tcW w:w="38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640" w:type="dxa"/>
            <w:vAlign w:val="bottom"/>
          </w:tcPr>
          <w:p>
            <w:pPr>
              <w:ind w:left="580"/>
              <w:spacing w:after="0"/>
              <w:rPr>
                <w:sz w:val="20"/>
                <w:szCs w:val="20"/>
                <w:color w:val="auto"/>
              </w:rPr>
            </w:pPr>
            <w:r>
              <w:rPr>
                <w:rFonts w:ascii="Arial" w:cs="Arial" w:eastAsia="Arial" w:hAnsi="Arial"/>
                <w:sz w:val="18"/>
                <w:szCs w:val="18"/>
                <w:color w:val="auto"/>
                <w:w w:val="97"/>
              </w:rPr>
              <w:t>We intend to use the net proceeds from selling our securities to make investments in lower</w:t>
            </w:r>
          </w:p>
        </w:tc>
      </w:tr>
      <w:tr>
        <w:trPr>
          <w:trHeight w:val="216"/>
        </w:trPr>
        <w:tc>
          <w:tcPr>
            <w:tcW w:w="3820" w:type="dxa"/>
            <w:vAlign w:val="bottom"/>
          </w:tcPr>
          <w:p>
            <w:pPr>
              <w:spacing w:after="0"/>
              <w:rPr>
                <w:sz w:val="18"/>
                <w:szCs w:val="18"/>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w w:val="95"/>
              </w:rPr>
              <w:t>middle-market companies in accordance with our investment objective and strategies and for</w:t>
            </w:r>
          </w:p>
        </w:tc>
      </w:tr>
      <w:tr>
        <w:trPr>
          <w:trHeight w:val="230"/>
        </w:trPr>
        <w:tc>
          <w:tcPr>
            <w:tcW w:w="3820" w:type="dxa"/>
            <w:vAlign w:val="bottom"/>
          </w:tcPr>
          <w:p>
            <w:pPr>
              <w:spacing w:after="0"/>
              <w:rPr>
                <w:sz w:val="20"/>
                <w:szCs w:val="20"/>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rPr>
              <w:t>working capital and general corporate purposes. See “Use of Proceeds.”</w:t>
            </w:r>
          </w:p>
        </w:tc>
      </w:tr>
      <w:tr>
        <w:trPr>
          <w:trHeight w:val="445"/>
        </w:trPr>
        <w:tc>
          <w:tcPr>
            <w:tcW w:w="3820" w:type="dxa"/>
            <w:vAlign w:val="bottom"/>
          </w:tcPr>
          <w:p>
            <w:pPr>
              <w:ind w:left="200"/>
              <w:spacing w:after="0"/>
              <w:rPr>
                <w:sz w:val="20"/>
                <w:szCs w:val="20"/>
                <w:color w:val="auto"/>
              </w:rPr>
            </w:pPr>
            <w:r>
              <w:rPr>
                <w:rFonts w:ascii="Arial" w:cs="Arial" w:eastAsia="Arial" w:hAnsi="Arial"/>
                <w:sz w:val="18"/>
                <w:szCs w:val="18"/>
                <w:color w:val="auto"/>
              </w:rPr>
              <w:t>Dividends and distributions</w:t>
            </w:r>
          </w:p>
        </w:tc>
        <w:tc>
          <w:tcPr>
            <w:tcW w:w="7640" w:type="dxa"/>
            <w:vAlign w:val="bottom"/>
          </w:tcPr>
          <w:p>
            <w:pPr>
              <w:ind w:left="580"/>
              <w:spacing w:after="0"/>
              <w:rPr>
                <w:sz w:val="20"/>
                <w:szCs w:val="20"/>
                <w:color w:val="auto"/>
              </w:rPr>
            </w:pPr>
            <w:r>
              <w:rPr>
                <w:rFonts w:ascii="Arial" w:cs="Arial" w:eastAsia="Arial" w:hAnsi="Arial"/>
                <w:sz w:val="18"/>
                <w:szCs w:val="18"/>
                <w:color w:val="auto"/>
              </w:rPr>
              <w:t>We pay quarterly distributions to our stockholders out of assets legally available for</w:t>
            </w:r>
          </w:p>
        </w:tc>
      </w:tr>
      <w:tr>
        <w:trPr>
          <w:trHeight w:val="216"/>
        </w:trPr>
        <w:tc>
          <w:tcPr>
            <w:tcW w:w="3820" w:type="dxa"/>
            <w:vAlign w:val="bottom"/>
          </w:tcPr>
          <w:p>
            <w:pPr>
              <w:spacing w:after="0"/>
              <w:rPr>
                <w:sz w:val="18"/>
                <w:szCs w:val="18"/>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w w:val="96"/>
              </w:rPr>
              <w:t>distribution. Our distributions, if any, will be determined by our board of directors. Our ability</w:t>
            </w:r>
          </w:p>
        </w:tc>
      </w:tr>
      <w:tr>
        <w:trPr>
          <w:trHeight w:val="216"/>
        </w:trPr>
        <w:tc>
          <w:tcPr>
            <w:tcW w:w="3820" w:type="dxa"/>
            <w:vAlign w:val="bottom"/>
          </w:tcPr>
          <w:p>
            <w:pPr>
              <w:spacing w:after="0"/>
              <w:rPr>
                <w:sz w:val="18"/>
                <w:szCs w:val="18"/>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w w:val="95"/>
              </w:rPr>
              <w:t>to declare distributions depends on our earnings, our overall financial condition (including our</w:t>
            </w:r>
          </w:p>
        </w:tc>
      </w:tr>
      <w:tr>
        <w:trPr>
          <w:trHeight w:val="216"/>
        </w:trPr>
        <w:tc>
          <w:tcPr>
            <w:tcW w:w="3820" w:type="dxa"/>
            <w:vAlign w:val="bottom"/>
          </w:tcPr>
          <w:p>
            <w:pPr>
              <w:spacing w:after="0"/>
              <w:rPr>
                <w:sz w:val="18"/>
                <w:szCs w:val="18"/>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w w:val="95"/>
              </w:rPr>
              <w:t>liquidity position), qualification for or maintenance of our RIC status and such other factors as</w:t>
            </w:r>
          </w:p>
        </w:tc>
      </w:tr>
      <w:tr>
        <w:trPr>
          <w:trHeight w:val="230"/>
        </w:trPr>
        <w:tc>
          <w:tcPr>
            <w:tcW w:w="3820" w:type="dxa"/>
            <w:vAlign w:val="bottom"/>
          </w:tcPr>
          <w:p>
            <w:pPr>
              <w:spacing w:after="0"/>
              <w:rPr>
                <w:sz w:val="20"/>
                <w:szCs w:val="20"/>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rPr>
              <w:t>our board of directors may deem relevant from time to time.</w:t>
            </w:r>
          </w:p>
        </w:tc>
      </w:tr>
      <w:tr>
        <w:trPr>
          <w:trHeight w:val="445"/>
        </w:trPr>
        <w:tc>
          <w:tcPr>
            <w:tcW w:w="382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rPr>
              <w:t>When we make distributions, we will be required to determine the extent to which such</w:t>
            </w:r>
          </w:p>
        </w:tc>
      </w:tr>
      <w:tr>
        <w:trPr>
          <w:trHeight w:val="216"/>
        </w:trPr>
        <w:tc>
          <w:tcPr>
            <w:tcW w:w="3820" w:type="dxa"/>
            <w:vAlign w:val="bottom"/>
          </w:tcPr>
          <w:p>
            <w:pPr>
              <w:spacing w:after="0"/>
              <w:rPr>
                <w:sz w:val="18"/>
                <w:szCs w:val="18"/>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rPr>
              <w:t>distributions are paid out of current or accumulated earnings, recognized capital gains or</w:t>
            </w:r>
          </w:p>
        </w:tc>
      </w:tr>
      <w:tr>
        <w:trPr>
          <w:trHeight w:val="216"/>
        </w:trPr>
        <w:tc>
          <w:tcPr>
            <w:tcW w:w="3820" w:type="dxa"/>
            <w:vAlign w:val="bottom"/>
          </w:tcPr>
          <w:p>
            <w:pPr>
              <w:spacing w:after="0"/>
              <w:rPr>
                <w:sz w:val="18"/>
                <w:szCs w:val="18"/>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w w:val="93"/>
              </w:rPr>
              <w:t>capital. To the extent there is a return of capital, investors will be required to reduce their basis</w:t>
            </w:r>
          </w:p>
        </w:tc>
      </w:tr>
      <w:tr>
        <w:trPr>
          <w:trHeight w:val="216"/>
        </w:trPr>
        <w:tc>
          <w:tcPr>
            <w:tcW w:w="3820" w:type="dxa"/>
            <w:vAlign w:val="bottom"/>
          </w:tcPr>
          <w:p>
            <w:pPr>
              <w:spacing w:after="0"/>
              <w:rPr>
                <w:sz w:val="18"/>
                <w:szCs w:val="18"/>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w w:val="94"/>
              </w:rPr>
              <w:t>in our stock for U.S. federal income tax purposes. In the future, our distributions may include a</w:t>
            </w:r>
          </w:p>
        </w:tc>
      </w:tr>
      <w:tr>
        <w:trPr>
          <w:trHeight w:val="230"/>
        </w:trPr>
        <w:tc>
          <w:tcPr>
            <w:tcW w:w="3820" w:type="dxa"/>
            <w:vAlign w:val="bottom"/>
          </w:tcPr>
          <w:p>
            <w:pPr>
              <w:spacing w:after="0"/>
              <w:rPr>
                <w:sz w:val="20"/>
                <w:szCs w:val="20"/>
                <w:color w:val="auto"/>
              </w:rPr>
            </w:pPr>
          </w:p>
        </w:tc>
        <w:tc>
          <w:tcPr>
            <w:tcW w:w="7640" w:type="dxa"/>
            <w:vAlign w:val="bottom"/>
          </w:tcPr>
          <w:p>
            <w:pPr>
              <w:ind w:left="580"/>
              <w:spacing w:after="0"/>
              <w:rPr>
                <w:sz w:val="20"/>
                <w:szCs w:val="20"/>
                <w:color w:val="auto"/>
              </w:rPr>
            </w:pPr>
            <w:r>
              <w:rPr>
                <w:rFonts w:ascii="Arial" w:cs="Arial" w:eastAsia="Arial" w:hAnsi="Arial"/>
                <w:sz w:val="18"/>
                <w:szCs w:val="18"/>
                <w:color w:val="auto"/>
              </w:rPr>
              <w:t>return of capital.</w:t>
            </w:r>
          </w:p>
        </w:tc>
      </w:tr>
      <w:tr>
        <w:trPr>
          <w:trHeight w:val="159"/>
        </w:trPr>
        <w:tc>
          <w:tcPr>
            <w:tcW w:w="3820" w:type="dxa"/>
            <w:vAlign w:val="bottom"/>
            <w:tcBorders>
              <w:bottom w:val="single" w:sz="8" w:color="auto"/>
            </w:tcBorders>
          </w:tcPr>
          <w:p>
            <w:pPr>
              <w:spacing w:after="0"/>
              <w:rPr>
                <w:sz w:val="13"/>
                <w:szCs w:val="13"/>
                <w:color w:val="auto"/>
              </w:rPr>
            </w:pPr>
          </w:p>
        </w:tc>
        <w:tc>
          <w:tcPr>
            <w:tcW w:w="7640" w:type="dxa"/>
            <w:vAlign w:val="bottom"/>
            <w:tcBorders>
              <w:bottom w:val="single" w:sz="8" w:color="auto"/>
            </w:tcBorders>
          </w:tcPr>
          <w:p>
            <w:pPr>
              <w:spacing w:after="0"/>
              <w:rPr>
                <w:sz w:val="13"/>
                <w:szCs w:val="13"/>
                <w:color w:val="auto"/>
              </w:rPr>
            </w:pPr>
          </w:p>
        </w:tc>
      </w:tr>
      <w:tr>
        <w:trPr>
          <w:trHeight w:val="361"/>
        </w:trPr>
        <w:tc>
          <w:tcPr>
            <w:tcW w:w="3820" w:type="dxa"/>
            <w:vAlign w:val="bottom"/>
          </w:tcPr>
          <w:p>
            <w:pPr>
              <w:spacing w:after="0"/>
              <w:rPr>
                <w:sz w:val="24"/>
                <w:szCs w:val="24"/>
                <w:color w:val="auto"/>
              </w:rPr>
            </w:pPr>
          </w:p>
        </w:tc>
        <w:tc>
          <w:tcPr>
            <w:tcW w:w="7640" w:type="dxa"/>
            <w:vAlign w:val="bottom"/>
          </w:tcPr>
          <w:p>
            <w:pPr>
              <w:ind w:left="17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9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75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93"/>
              </w:rPr>
              <w:t>We have adopted a dividend reinvestment plan for our common stockholders, which is an “opt</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out” dividend reinvestment plan. Under this plan, if we declare a cash distribution, our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stockholders who have not opted out of our dividend reinvestment plan will have their cash</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distribution automatically reinvested in additional shares of our common stock, rather than</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receiving the cash distribution. If a stockholder opts out, that stockholder will receive cash</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distributions. Stockholders who receive distributions in the form of shares of common stock</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generally are subject to the same U.S. federal income tax consequences as stockholders who</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elect to receive their distributions in cash; however, since their cash distributions will be</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reinvested, such stockholders will not receive cash with which to pay any applicable taxes on</w:t>
            </w:r>
          </w:p>
        </w:tc>
      </w:tr>
      <w:tr>
        <w:trPr>
          <w:trHeight w:val="230"/>
        </w:trPr>
        <w:tc>
          <w:tcPr>
            <w:tcW w:w="39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reinvested distributions. See “Dividend Reinvestment Plan.”</w:t>
            </w:r>
          </w:p>
        </w:tc>
      </w:tr>
      <w:tr>
        <w:trPr>
          <w:trHeight w:val="445"/>
        </w:trPr>
        <w:tc>
          <w:tcPr>
            <w:tcW w:w="3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We have elected to be treated as a RIC for U.S. federal income tax purposes. Accordingly, we</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generally will not pay corporate-level U.S. federal income taxes on any net ordinary income or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capital gains that we distribute to our stockholders. To maintain our qualification as a RIC and</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the associated tax benefits, we must meet specified source-of-income and asset diversification</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requirements and distribute annually at least 90% of our realized net ordinary income and</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realized net short-term capital gains, if any, in excess of our net long-term capital losses. See</w:t>
            </w:r>
          </w:p>
        </w:tc>
      </w:tr>
      <w:tr>
        <w:trPr>
          <w:trHeight w:val="230"/>
        </w:trPr>
        <w:tc>
          <w:tcPr>
            <w:tcW w:w="39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“Distributions” and “Material U.S. Federal Income Tax Considerations.”</w:t>
            </w:r>
          </w:p>
        </w:tc>
      </w:tr>
      <w:tr>
        <w:trPr>
          <w:trHeight w:val="445"/>
        </w:trPr>
        <w:tc>
          <w:tcPr>
            <w:tcW w:w="3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Effective trading at a discount</w:t>
            </w: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Shares of closed-end investment companies, including business development companies,</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frequently trade at a discount to their net asset value. The risk that our shares may trade at a</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2"/>
              </w:rPr>
              <w:t>discount to our net asset value is separate and distinct from the risk that our net asset value per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share may decline. We cannot predict whether our shares will trade above, at or below net</w:t>
            </w:r>
          </w:p>
        </w:tc>
      </w:tr>
      <w:tr>
        <w:trPr>
          <w:trHeight w:val="230"/>
        </w:trPr>
        <w:tc>
          <w:tcPr>
            <w:tcW w:w="39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asset value. See “Risk Factors.”</w:t>
            </w:r>
          </w:p>
        </w:tc>
      </w:tr>
      <w:tr>
        <w:trPr>
          <w:trHeight w:val="445"/>
        </w:trPr>
        <w:tc>
          <w:tcPr>
            <w:tcW w:w="3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Sales of common stock below net asset value</w:t>
            </w: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Generally, the offering price per share of our common stock, exclusive of any underwriting</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commissions or discounts, may not be less than the net asset value per share of our common</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stock at the time we make the offering except (1) in connection with a rights offering to our</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existing stockholders, (2) with the consent of the majority of our common stockholders and</w:t>
            </w:r>
          </w:p>
        </w:tc>
      </w:tr>
      <w:tr>
        <w:trPr>
          <w:trHeight w:val="216"/>
        </w:trPr>
        <w:tc>
          <w:tcPr>
            <w:tcW w:w="392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2"/>
              </w:rPr>
              <w:t>approval of our board of directors, or (3) under such circumstances as the SEC may permit. On</w:t>
            </w:r>
          </w:p>
        </w:tc>
      </w:tr>
      <w:tr>
        <w:trPr>
          <w:trHeight w:val="230"/>
        </w:trPr>
        <w:tc>
          <w:tcPr>
            <w:tcW w:w="392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June 4, 2014, our common stockholders voted to allow us to sell or otherwise issue common</w:t>
            </w:r>
          </w:p>
        </w:tc>
      </w:tr>
      <w:tr>
        <w:trPr>
          <w:trHeight w:val="159"/>
        </w:trPr>
        <w:tc>
          <w:tcPr>
            <w:tcW w:w="3920" w:type="dxa"/>
            <w:vAlign w:val="bottom"/>
            <w:tcBorders>
              <w:left w:val="single" w:sz="8" w:color="auto"/>
              <w:bottom w:val="single" w:sz="8" w:color="auto"/>
            </w:tcBorders>
          </w:tcPr>
          <w:p>
            <w:pPr>
              <w:spacing w:after="0"/>
              <w:rPr>
                <w:sz w:val="13"/>
                <w:szCs w:val="13"/>
                <w:color w:val="auto"/>
              </w:rPr>
            </w:pPr>
          </w:p>
        </w:tc>
        <w:tc>
          <w:tcPr>
            <w:tcW w:w="7540" w:type="dxa"/>
            <w:vAlign w:val="bottom"/>
            <w:tcBorders>
              <w:bottom w:val="single" w:sz="8" w:color="auto"/>
              <w:right w:val="single" w:sz="8" w:color="auto"/>
            </w:tcBorders>
          </w:tcPr>
          <w:p>
            <w:pPr>
              <w:spacing w:after="0"/>
              <w:rPr>
                <w:sz w:val="13"/>
                <w:szCs w:val="13"/>
                <w:color w:val="auto"/>
              </w:rPr>
            </w:pPr>
          </w:p>
        </w:tc>
      </w:tr>
      <w:tr>
        <w:trPr>
          <w:trHeight w:val="361"/>
        </w:trPr>
        <w:tc>
          <w:tcPr>
            <w:tcW w:w="3920" w:type="dxa"/>
            <w:vAlign w:val="bottom"/>
          </w:tcPr>
          <w:p>
            <w:pPr>
              <w:spacing w:after="0"/>
              <w:rPr>
                <w:sz w:val="24"/>
                <w:szCs w:val="24"/>
                <w:color w:val="auto"/>
              </w:rPr>
            </w:pPr>
          </w:p>
        </w:tc>
        <w:tc>
          <w:tcPr>
            <w:tcW w:w="7540" w:type="dxa"/>
            <w:vAlign w:val="bottom"/>
          </w:tcPr>
          <w:p>
            <w:pPr>
              <w:ind w:left="16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00" w:type="dxa"/>
            <w:vAlign w:val="bottom"/>
            <w:tcBorders>
              <w:top w:val="single" w:sz="8" w:color="auto"/>
              <w:left w:val="single" w:sz="8" w:color="auto"/>
            </w:tcBorders>
          </w:tcPr>
          <w:p>
            <w:pPr>
              <w:spacing w:after="0"/>
              <w:rPr>
                <w:sz w:val="24"/>
                <w:szCs w:val="24"/>
                <w:color w:val="auto"/>
              </w:rPr>
            </w:pPr>
          </w:p>
        </w:tc>
        <w:tc>
          <w:tcPr>
            <w:tcW w:w="836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2"/>
              </w:rPr>
              <w:t>stock at a price below net asset value per share for a period of one year ending on the earlier of</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June 4, 2014 or our 2015 Annual Meeting of Stockholders. Sales or other issuances by us of</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our common stock at a discount from our net asset value pose potential risks for our existing</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stockholders whether or not they participate in the offering, as well as for new investors who</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participate in the offering. See “Sales of Common Stock Below Net Asset Value” in this</w:t>
            </w:r>
          </w:p>
        </w:tc>
      </w:tr>
      <w:tr>
        <w:trPr>
          <w:trHeight w:val="230"/>
        </w:trPr>
        <w:tc>
          <w:tcPr>
            <w:tcW w:w="310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prospectus and in the prospectus supplement, if applicable.</w:t>
            </w:r>
          </w:p>
        </w:tc>
      </w:tr>
      <w:tr>
        <w:trPr>
          <w:trHeight w:val="445"/>
        </w:trPr>
        <w:tc>
          <w:tcPr>
            <w:tcW w:w="3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8"/>
              </w:rPr>
              <w:t>We borrow funds to make additional investments. We use this practice, which is known as</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“leverage,” to attempt to increase returns to our stockholders, but it involves significant risks.</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See “Risk Factors,” “Senior Securities” and “Regulation – Senior Securities.” With certain</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limited exceptions, we are only allowed to borrow amounts such that our asset coverage, as</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defined in the 1940 Act, equals at least 200% after such borrowing. The amount of leverage</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that we employ at any particular time will depend on our Investment Advisor’s investment</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committees’ assessment and our board of directors’ assessment of market and other factors at</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the time of any proposed borrowing. In addition, the maximum amount of leverage that our</w:t>
            </w:r>
          </w:p>
        </w:tc>
      </w:tr>
      <w:tr>
        <w:trPr>
          <w:trHeight w:val="230"/>
        </w:trPr>
        <w:tc>
          <w:tcPr>
            <w:tcW w:w="310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SBIC subsidiaries together can have outstanding is $225.0 million.</w:t>
            </w:r>
          </w:p>
        </w:tc>
      </w:tr>
      <w:tr>
        <w:trPr>
          <w:trHeight w:val="445"/>
        </w:trPr>
        <w:tc>
          <w:tcPr>
            <w:tcW w:w="31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are required to file periodic reports, current reports, proxy statements and other</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information with the SEC. This information is available on the SEC’s Internet website at</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i w:val="1"/>
                <w:iCs w:val="1"/>
                <w:color w:val="auto"/>
                <w:w w:val="94"/>
              </w:rPr>
              <w:t>www.sec.gov</w:t>
            </w:r>
            <w:r>
              <w:rPr>
                <w:rFonts w:ascii="Arial" w:cs="Arial" w:eastAsia="Arial" w:hAnsi="Arial"/>
                <w:sz w:val="18"/>
                <w:szCs w:val="18"/>
                <w:color w:val="auto"/>
                <w:w w:val="94"/>
              </w:rPr>
              <w:t>. You can also inspect any materials we file with the SEC, without charge, at the</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SEC’s Public Reference Room at 100 F Street, N.E., Washington, D.C. 20549. Please call the</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SEC at 1-800-SEC-0330 for further information on the Public Reference Room. We intend to</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 xml:space="preserve">provide much of the same information on our website at </w:t>
            </w:r>
            <w:r>
              <w:rPr>
                <w:rFonts w:ascii="Arial" w:cs="Arial" w:eastAsia="Arial" w:hAnsi="Arial"/>
                <w:sz w:val="18"/>
                <w:szCs w:val="18"/>
                <w:i w:val="1"/>
                <w:iCs w:val="1"/>
                <w:color w:val="auto"/>
                <w:w w:val="93"/>
              </w:rPr>
              <w:t>www.fdus.com</w:t>
            </w:r>
            <w:r>
              <w:rPr>
                <w:rFonts w:ascii="Arial" w:cs="Arial" w:eastAsia="Arial" w:hAnsi="Arial"/>
                <w:sz w:val="18"/>
                <w:szCs w:val="18"/>
                <w:color w:val="auto"/>
                <w:w w:val="93"/>
              </w:rPr>
              <w:t>. Information contained</w:t>
            </w:r>
          </w:p>
        </w:tc>
      </w:tr>
      <w:tr>
        <w:trPr>
          <w:trHeight w:val="216"/>
        </w:trPr>
        <w:tc>
          <w:tcPr>
            <w:tcW w:w="310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on our website is not part of this prospectus or any prospectus supplement and should not be</w:t>
            </w:r>
          </w:p>
        </w:tc>
      </w:tr>
      <w:tr>
        <w:trPr>
          <w:trHeight w:val="230"/>
        </w:trPr>
        <w:tc>
          <w:tcPr>
            <w:tcW w:w="310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relied upon as such.</w:t>
            </w:r>
          </w:p>
        </w:tc>
      </w:tr>
      <w:tr>
        <w:trPr>
          <w:trHeight w:val="159"/>
        </w:trPr>
        <w:tc>
          <w:tcPr>
            <w:tcW w:w="3100" w:type="dxa"/>
            <w:vAlign w:val="bottom"/>
            <w:tcBorders>
              <w:left w:val="single" w:sz="8" w:color="auto"/>
              <w:bottom w:val="single" w:sz="8" w:color="auto"/>
            </w:tcBorders>
          </w:tcPr>
          <w:p>
            <w:pPr>
              <w:spacing w:after="0"/>
              <w:rPr>
                <w:sz w:val="13"/>
                <w:szCs w:val="13"/>
                <w:color w:val="auto"/>
              </w:rPr>
            </w:pPr>
          </w:p>
        </w:tc>
        <w:tc>
          <w:tcPr>
            <w:tcW w:w="8360" w:type="dxa"/>
            <w:vAlign w:val="bottom"/>
            <w:tcBorders>
              <w:bottom w:val="single" w:sz="8" w:color="auto"/>
              <w:right w:val="single" w:sz="8" w:color="auto"/>
            </w:tcBorders>
          </w:tcPr>
          <w:p>
            <w:pPr>
              <w:spacing w:after="0"/>
              <w:rPr>
                <w:sz w:val="13"/>
                <w:szCs w:val="13"/>
                <w:color w:val="auto"/>
              </w:rPr>
            </w:pPr>
          </w:p>
        </w:tc>
      </w:tr>
      <w:tr>
        <w:trPr>
          <w:trHeight w:val="361"/>
        </w:trPr>
        <w:tc>
          <w:tcPr>
            <w:tcW w:w="3100" w:type="dxa"/>
            <w:vAlign w:val="bottom"/>
          </w:tcPr>
          <w:p>
            <w:pPr>
              <w:spacing w:after="0"/>
              <w:rPr>
                <w:sz w:val="24"/>
                <w:szCs w:val="24"/>
                <w:color w:val="auto"/>
              </w:rPr>
            </w:pPr>
          </w:p>
        </w:tc>
        <w:tc>
          <w:tcPr>
            <w:tcW w:w="8360" w:type="dxa"/>
            <w:vAlign w:val="bottom"/>
          </w:tcPr>
          <w:p>
            <w:pPr>
              <w:ind w:left="25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95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Except where the context suggests otherwise, whenever this prospectus contains a reference to fees or expenses paid by “you,” “us,” “the Company” or “Fidus,” or that “we” will pay fees or expenses, stockholders will indirectly bear such fees or expenses as investors in us.</w:t>
      </w:r>
    </w:p>
    <w:p>
      <w:pPr>
        <w:spacing w:after="0" w:line="22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Sales load (as a percentage of offering price)</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w w:val="90"/>
              </w:rPr>
              <w:t>(1)</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expenses borne by us (as a percentage of offering price)</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(2)</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Dividend reinvestment plan expenses</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 (3)</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stockholder transaction expenses paid by us (as a percentage of offering price)</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(4)</w:t>
            </w:r>
          </w:p>
        </w:tc>
      </w:tr>
      <w:tr>
        <w:trPr>
          <w:trHeight w:val="432"/>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w w:val="94"/>
              </w:rPr>
              <w:t>Annual expenses (as a percentage of net assets attributable to common stock)</w:t>
            </w:r>
            <w:r>
              <w:rPr>
                <w:rFonts w:ascii="Arial" w:cs="Arial" w:eastAsia="Arial" w:hAnsi="Arial"/>
                <w:sz w:val="15"/>
                <w:szCs w:val="15"/>
                <w:b w:val="1"/>
                <w:bCs w:val="1"/>
                <w:color w:val="auto"/>
                <w:w w:val="94"/>
              </w:rPr>
              <w:t>(5)</w:t>
            </w:r>
            <w:r>
              <w:rPr>
                <w:rFonts w:ascii="Arial" w:cs="Arial" w:eastAsia="Arial" w:hAnsi="Arial"/>
                <w:sz w:val="18"/>
                <w:szCs w:val="18"/>
                <w:b w:val="1"/>
                <w:bCs w:val="1"/>
                <w:color w:val="auto"/>
                <w:w w:val="94"/>
              </w:rPr>
              <w:t>:</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management fee</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Incentive fees payable under Investment Advisory Agreement</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2.5%(7)</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payments on borrowed funds</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1.9%(9)</w:t>
            </w:r>
          </w:p>
        </w:tc>
      </w:tr>
      <w:tr>
        <w:trPr>
          <w:trHeight w:val="27"/>
        </w:trPr>
        <w:tc>
          <w:tcPr>
            <w:tcW w:w="6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annual expenses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10.5%(10)</w:t>
            </w:r>
          </w:p>
        </w:tc>
      </w:tr>
      <w:tr>
        <w:trPr>
          <w:trHeight w:val="20"/>
        </w:trPr>
        <w:tc>
          <w:tcPr>
            <w:tcW w:w="6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20" w:hanging="423"/>
        <w:spacing w:after="0" w:line="258"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that securities to which this prospectus relates are sold to or through underwriters, a corresponding prospectus supplement will disclose the applicable sales load.</w:t>
      </w:r>
    </w:p>
    <w:p>
      <w:pPr>
        <w:spacing w:after="0" w:line="1" w:lineRule="exact"/>
        <w:rPr>
          <w:rFonts w:ascii="Arial" w:cs="Arial" w:eastAsia="Arial" w:hAnsi="Arial"/>
          <w:sz w:val="18"/>
          <w:szCs w:val="18"/>
          <w:color w:val="auto"/>
        </w:rPr>
      </w:pPr>
    </w:p>
    <w:p>
      <w:pPr>
        <w:ind w:left="620" w:right="560" w:hanging="423"/>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that we conduct an offering of any of our securities, a corresponding prospectus supplement will disclose the estimated offering expenses because they will be ultimately borne by us.</w:t>
      </w:r>
    </w:p>
    <w:p>
      <w:pPr>
        <w:ind w:left="620" w:hanging="42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expenses of administering our dividend reinvestment plan are included in other expenses.</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stockholder transaction expenses may include a sales load and will be disclosed in a future prospectus supplement, if any.</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assets attributable to common stock equals average net assets as of December 31, 2014.</w:t>
      </w:r>
    </w:p>
    <w:p>
      <w:pPr>
        <w:spacing w:after="0" w:line="9" w:lineRule="exact"/>
        <w:rPr>
          <w:rFonts w:ascii="Arial" w:cs="Arial" w:eastAsia="Arial" w:hAnsi="Arial"/>
          <w:sz w:val="18"/>
          <w:szCs w:val="18"/>
          <w:color w:val="auto"/>
        </w:rPr>
      </w:pPr>
    </w:p>
    <w:p>
      <w:pPr>
        <w:ind w:left="620" w:right="100" w:hanging="423"/>
        <w:spacing w:after="0" w:line="26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base management fee is 1.75% of the average value of our total assets (other than cash and cash equivalents but including assets purchased with borrowed amounts). This item represents actual base management fees incurred for the year ended December 31, 2014. We may from time to time decide it is appropriate to change the terms of the Investment Advisory Agreement. Under the 1940 Act, any material change to our Investment Advisory Agreement must be submitted to stockholders for approval. The 2.6% reflected in the table is calculated on our net assets (rather than our total assets). See “Management and Other Agreements—Investment Advisory Agreement.”</w:t>
      </w:r>
    </w:p>
    <w:p>
      <w:pPr>
        <w:spacing w:after="0" w:line="1" w:lineRule="exact"/>
        <w:rPr>
          <w:rFonts w:ascii="Arial" w:cs="Arial" w:eastAsia="Arial" w:hAnsi="Arial"/>
          <w:sz w:val="17"/>
          <w:szCs w:val="17"/>
          <w:color w:val="auto"/>
        </w:rPr>
      </w:pPr>
    </w:p>
    <w:p>
      <w:pPr>
        <w:ind w:left="620" w:right="200" w:hanging="423"/>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item represents actual fees incurred on pre-incentive fee net investment income for the year ended December 31, 2014. As of December 31, 2014, there was no capital gains incentive fee payable.</w:t>
      </w:r>
    </w:p>
    <w:p>
      <w:pPr>
        <w:ind w:left="62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9" w:lineRule="exact"/>
        <w:rPr>
          <w:rFonts w:ascii="Arial" w:cs="Arial" w:eastAsia="Arial" w:hAnsi="Arial"/>
          <w:sz w:val="18"/>
          <w:szCs w:val="18"/>
          <w:color w:val="auto"/>
        </w:rPr>
      </w:pPr>
    </w:p>
    <w:p>
      <w:pPr>
        <w:ind w:left="620" w:right="160"/>
        <w:spacing w:after="0" w:line="269" w:lineRule="auto"/>
        <w:rPr>
          <w:rFonts w:ascii="Arial" w:cs="Arial" w:eastAsia="Arial" w:hAnsi="Arial"/>
          <w:sz w:val="18"/>
          <w:szCs w:val="18"/>
          <w:color w:val="auto"/>
        </w:rPr>
      </w:pPr>
      <w:r>
        <w:rPr>
          <w:rFonts w:ascii="Arial" w:cs="Arial" w:eastAsia="Arial" w:hAnsi="Arial"/>
          <w:sz w:val="17"/>
          <w:szCs w:val="17"/>
          <w:color w:val="auto"/>
        </w:rPr>
        <w:t>The first, payable quarterly in arrears, equals 20.0% of our pre-incentive fee net investment income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0"/>
        <w:spacing w:after="0" w:line="268" w:lineRule="auto"/>
        <w:rPr>
          <w:sz w:val="20"/>
          <w:szCs w:val="20"/>
          <w:color w:val="auto"/>
        </w:rPr>
      </w:pPr>
      <w:r>
        <w:rPr>
          <w:rFonts w:ascii="Arial" w:cs="Arial" w:eastAsia="Arial" w:hAnsi="Arial"/>
          <w:sz w:val="17"/>
          <w:szCs w:val="17"/>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We accrue, but do not pay, a capital gains incentive fee in connection with any net unrealized capital appreciation, as appropriate. For the year ended December 31, 2014, we reversed $0.7 million in previously accrued capital gains incentive fees in accordance with generally accepted accounting principles. See “Management and Other Agreements—Investment Advisory Agreement.”</w:t>
      </w:r>
    </w:p>
    <w:p>
      <w:pPr>
        <w:spacing w:after="0" w:line="1" w:lineRule="exact"/>
        <w:rPr>
          <w:sz w:val="20"/>
          <w:szCs w:val="20"/>
          <w:color w:val="auto"/>
        </w:rPr>
      </w:pPr>
    </w:p>
    <w:p>
      <w:pPr>
        <w:ind w:left="620" w:hanging="423"/>
        <w:spacing w:after="0" w:line="265"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December 31, 2014, we had outstanding SBA debentures of $173.5 million, and unfunded commitments from the SBA to purchase up to an additional of $51.5 million SBA debentures, as well as $10.0 million in outstanding borrowings under the Credit Facility, which has total commitment of $50.0 million . Interest payments on borrowed funds is based on estimated annual interest and fee expenses on outstanding SBA debentures and borrowings under the Credit Facility as of December 31, 2014 with a weighted average interest rate of 4.0%.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1" w:lineRule="exact"/>
        <w:rPr>
          <w:rFonts w:ascii="Arial" w:cs="Arial" w:eastAsia="Arial" w:hAnsi="Arial"/>
          <w:sz w:val="17"/>
          <w:szCs w:val="17"/>
          <w:color w:val="auto"/>
        </w:rPr>
      </w:pPr>
    </w:p>
    <w:p>
      <w:pPr>
        <w:ind w:left="620" w:right="80" w:hanging="423"/>
        <w:spacing w:after="0" w:line="250"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expenses represent our estimated annual operating expenses, including professional fees, directors’ fees, insurance costs, expenses of our dividend reinvestment plan and payments under the Administration Agreement based on our allocable portion of overhead and other expenses incurred by our administrator. See “Management and Other Agreements—Administration Agreement.” Other expenses exclude interest payments on borrowed funds, and if we issue debt securities or preferred stock, interest payments on debt securities and distributions with respect to preferred stock. We currently do not have any class of securities outstanding other than common stock. “Other expenses” are based on actual other expenses for the year ended December 31, 2014.</w:t>
      </w:r>
    </w:p>
    <w:p>
      <w:pPr>
        <w:spacing w:after="0" w:line="2" w:lineRule="exact"/>
        <w:rPr>
          <w:rFonts w:ascii="Arial" w:cs="Arial" w:eastAsia="Arial" w:hAnsi="Arial"/>
          <w:sz w:val="18"/>
          <w:szCs w:val="18"/>
          <w:color w:val="auto"/>
        </w:rPr>
      </w:pPr>
    </w:p>
    <w:p>
      <w:pPr>
        <w:ind w:left="620" w:right="20" w:hanging="423"/>
        <w:spacing w:after="0" w:line="270"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annual expenses” as a percentage of consolidated net assets attributable to common stock are higher than the total annual expenses percentage would be for a company that is not leveraged. We borrow money to leverage our net assets and increase our total assets. The SEC requires that the “total annual expenses” percentage be calculated as a percentage of net assets (defined as total assets less indebtedness and before taking into account any incentive fees payable during the period), rather than the total assets, including assets that have been purchased with borrowed amounts. If the “total annual expenses” percentage were calculated instead as a percentage of average consolidated total assets, our “total annual expenses” would be 6.1% of average consolidated total assets.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jc w:val="both"/>
        <w:ind w:left="200" w:right="60" w:firstLine="443"/>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that none of our assets are cash or cash equivalents and that our annual operating expenses would remain at the levels set forth in the table above. Transaction expenses are not included in the following example.</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1 year</w:t>
            </w:r>
          </w:p>
        </w:tc>
        <w:tc>
          <w:tcPr>
            <w:tcW w:w="4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3 years</w:t>
            </w:r>
          </w:p>
        </w:tc>
        <w:tc>
          <w:tcPr>
            <w:tcW w:w="4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4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6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You would pay the following expenses on a $1,000 investment, assuming a 5.0% annual</w:t>
            </w:r>
          </w:p>
        </w:tc>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$ 108</w:t>
            </w:r>
          </w:p>
        </w:tc>
        <w:tc>
          <w:tcPr>
            <w:tcW w:w="4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$ 305</w:t>
            </w:r>
          </w:p>
        </w:tc>
        <w:tc>
          <w:tcPr>
            <w:tcW w:w="4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$ 480</w:t>
            </w:r>
          </w:p>
        </w:tc>
        <w:tc>
          <w:tcPr>
            <w:tcW w:w="4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  836</w:t>
            </w: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200" w:right="40" w:firstLine="443"/>
        <w:spacing w:after="0" w:line="293"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The incentive fee under the Investment Advisory Agreement, which, assuming a 5.0% annual return, would either not be payable or have an insignificant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96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11963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additional information regarding our dividend reinvestment plan.</w:t>
      </w:r>
    </w:p>
    <w:p>
      <w:pPr>
        <w:spacing w:after="0" w:line="183" w:lineRule="exact"/>
        <w:rPr>
          <w:sz w:val="20"/>
          <w:szCs w:val="20"/>
          <w:color w:val="auto"/>
        </w:rPr>
      </w:pPr>
    </w:p>
    <w:p>
      <w:pPr>
        <w:ind w:left="200" w:right="240" w:firstLine="443"/>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Investing in our securities involves a number of significant risks. You should carefully consider these risk factors, together with all of the other information included in this prospectus, or any prospectus supplement.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jc w:val="both"/>
        <w:ind w:right="140"/>
        <w:spacing w:after="0" w:line="375" w:lineRule="auto"/>
        <w:rPr>
          <w:sz w:val="20"/>
          <w:szCs w:val="20"/>
          <w:color w:val="auto"/>
        </w:rPr>
      </w:pPr>
      <w:r>
        <w:rPr>
          <w:rFonts w:ascii="Arial" w:cs="Arial" w:eastAsia="Arial" w:hAnsi="Arial"/>
          <w:sz w:val="15"/>
          <w:szCs w:val="15"/>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Although they intend to devote all of their business time to our operations, such executives may have other demands on their time in the future. In addition, certain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30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depend upon the investment professionals of our investment advisor to maintain their relationships with financial institutions, sponsors and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depends on our ability to manage our business effectively.</w:t>
      </w:r>
    </w:p>
    <w:p>
      <w:pPr>
        <w:spacing w:after="0" w:line="11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The achievement of our investment objectives on a cost-effective basis depends upon our investment advisor’s execution of our investment process, its ability to provide competent, attentive and efficient services to us and, to a lesser extent, our access to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 Any failure to manage our business and our future growth effectively could have a material adverse effect on our business, financial condition and results of operations.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credit losses and our investments could be rated below investment grade.</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Private debt in the form of mezzanine,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recession.</w:t>
      </w:r>
    </w:p>
    <w:p>
      <w:pPr>
        <w:spacing w:after="0" w:line="18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addition, investments in our portfolio are typically not rated by any rating agency. We believe that if such investments were rated, the vast majority would be rated below investment grade (which is sometime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us. The Funds borrow from and issue debt securities to the SBA, and we may borrow from banks and other lenders in the future. The SBA has fixed dollar claims on the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7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As a BDC, we are generally required to meet a coverage ratio at least equal to 200.0% of total assets to total borrowings and other senior securities, which include all of our borrowings (other than the Funds’ SBA leverage under the terms of SEC exemptive relief) and any preferred stock we may issue in the future. If this ratio declines below 200.0%, we may not be able to incur additional debt and may need to sell a portion of our investments to repay some debt when it is disadvantageous to do so, and we may not be able to make distributions to our stockholders.</w:t>
      </w:r>
    </w:p>
    <w:p>
      <w:pPr>
        <w:spacing w:after="0" w:line="17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Assumed Return on Our Portfolio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of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(10.</w:t>
            </w:r>
            <w:r>
              <w:rPr>
                <w:rFonts w:ascii="Arial" w:cs="Arial" w:eastAsia="Arial" w:hAnsi="Arial"/>
                <w:sz w:val="14"/>
                <w:szCs w:val="14"/>
                <w:b w:val="1"/>
                <w:bCs w:val="1"/>
                <w:u w:val="single" w:color="auto"/>
                <w:color w:val="auto"/>
                <w:w w:val="93"/>
              </w:rPr>
              <w:t>0)%</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(5.</w:t>
            </w:r>
            <w:r>
              <w:rPr>
                <w:rFonts w:ascii="Arial" w:cs="Arial" w:eastAsia="Arial" w:hAnsi="Arial"/>
                <w:sz w:val="14"/>
                <w:szCs w:val="14"/>
                <w:b w:val="1"/>
                <w:bCs w:val="1"/>
                <w:u w:val="single" w:color="auto"/>
                <w:color w:val="auto"/>
                <w:w w:val="96"/>
              </w:rPr>
              <w:t>0)%</w:t>
            </w: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5.</w:t>
            </w:r>
            <w:r>
              <w:rPr>
                <w:rFonts w:ascii="Arial" w:cs="Arial" w:eastAsia="Arial" w:hAnsi="Arial"/>
                <w:sz w:val="14"/>
                <w:szCs w:val="14"/>
                <w:b w:val="1"/>
                <w:bCs w:val="1"/>
                <w:u w:val="single" w:color="auto"/>
                <w:color w:val="auto"/>
                <w:w w:val="93"/>
              </w:rPr>
              <w:t>0%</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10.</w:t>
            </w:r>
            <w:r>
              <w:rPr>
                <w:rFonts w:ascii="Arial" w:cs="Arial" w:eastAsia="Arial" w:hAnsi="Arial"/>
                <w:sz w:val="14"/>
                <w:szCs w:val="14"/>
                <w:b w:val="1"/>
                <w:bCs w:val="1"/>
                <w:u w:val="single" w:color="auto"/>
                <w:color w:val="auto"/>
                <w:w w:val="95"/>
              </w:rPr>
              <w:t>0%</w:t>
            </w:r>
          </w:p>
        </w:tc>
        <w:tc>
          <w:tcPr>
            <w:tcW w:w="200" w:type="dxa"/>
            <w:vAlign w:val="bottom"/>
            <w:tcBorders>
              <w:bottom w:val="single" w:sz="8" w:color="CCEEFF"/>
            </w:tcBorders>
          </w:tcPr>
          <w:p>
            <w:pPr>
              <w:spacing w:after="0"/>
              <w:rPr>
                <w:sz w:val="14"/>
                <w:szCs w:val="1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common stockholder (1)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$435.6 million in total assets, $173.5 million in outstanding SBA debentures, $10.0 million in borrowings under the Credit Facility, and $243.3 million in net assets as of December 31, 2014 and an average cost of funds of 4.0%.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Funding a portion of our investments with preferred stock would magnify the potential for gain or loss and the risks of investing in us in the same way as our other borrowings.</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with respect to any preferred stock must be cumulative. Payment of such distributions and repayment of the liquidation preference of such preferred stock must take preference over any distributions or other payments to our common stockholders, and preferred stockholders are not subject to any of our expenses or losses and are not entitled to participate in any income or appreciation in excess of their stated preference.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As a BDC, under the 1940 Act generally we are not permitted to incur indebtedness unless immediately after such borrowing we have an asset coverage for total borrowings of at least 200.0% (i.e., the amount of debt may not exceed 50.0% of the value of our assets). Legislation pending reintroduction to the U.S. House of Representatives, if passed, would modify this section of the 1940 Act and increase the amount of debt that BDCs may incur by modifying the minimum asset coverage ratio from 200.0% to 150.0%. If such legislation were to pass, we would be able to incur additional indebtedness in the future and therefore your risk of an investment in us may increase.</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Many of our portfolio investments are recorded at fair value as determined in good faith by our board of directors, and, as a result, there is uncertainty as to the value of our portfolio investments.</w:t>
      </w:r>
    </w:p>
    <w:p>
      <w:pPr>
        <w:spacing w:after="0" w:line="6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Many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7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comparable publicly-traded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enterprise value of a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portfolio company’s ability to make payments and its earnings and discounted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interest rate environment and the credit markets generally that may affect the price at which similar investments may be made in the future and other relevant factors.</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14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 which could reduce returns and result in losses.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A number of entities compete with us to make the types of investments that we plan to make. We compete with public and private funds,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Furthermore, many of our competitors are not subject to the regulatory restrictions that the 1940 Act imposes on us as a BDC or the source of income, asset diversification and distribution requirements we must satisfy to maintain our RIC status.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spacing w:after="0" w:line="29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management and incentive fee structure may create incentives for our investment advisor that are not fully aligned with the interests of our stockholders.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valuation process for certain of our portfolio holdings creates a conflict of interest.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substantial portion of our portfolio investments are made in the form of securities that are not publicly traded. As a result, our board of directors determines the fair value of these securities in good faith pursuant to our valuation policy. 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gross assets less cash.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incentive fee may induce our investment advisor to make speculative investments.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investment advisor receives an incentive fee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obligated to pay our investment advisor incentive compensation even if we incur a loss and may pay more than 20.0% of our net capital gains because we cannot recover payments made in previous years.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potential conflicts of interest related to obligations that our investment advisor may have to other clients.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Although currently we and the Funds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elects in the future to act as an investment advisor to other funds or clients, we may have conflicts of interest with our investment advisor or its other clients that elect to invest in similar types of securities as those in which we invest. Members of our investment advisor’s investment committees serves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investment advisor or its investment committees may, from time to time, possess material non-public information, limiting our investment discretion.</w:t>
      </w:r>
    </w:p>
    <w:p>
      <w:pPr>
        <w:spacing w:after="0" w:line="152"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conflicts related to other arrangements with our investment advisor.</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committees and the senior origination professionals of our investment advisor are members of Fidus Partners, LLC. See “Management and Other Agreements</w:t>
      </w:r>
    </w:p>
    <w:p>
      <w:pPr>
        <w:ind w:left="5560" w:right="4100" w:hanging="5556"/>
        <w:spacing w:after="0" w:line="433" w:lineRule="auto"/>
        <w:rPr>
          <w:sz w:val="20"/>
          <w:szCs w:val="20"/>
          <w:color w:val="auto"/>
        </w:rPr>
      </w:pPr>
      <w:r>
        <w:rPr>
          <w:rFonts w:ascii="Arial" w:cs="Arial" w:eastAsia="Arial" w:hAnsi="Arial"/>
          <w:sz w:val="18"/>
          <w:szCs w:val="18"/>
          <w:color w:val="auto"/>
        </w:rPr>
        <w:t>— License Agreement.” In addition, we rent office space from our investment advisor and pay to our -16-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Funds are licensed by the SBA, and, therefore, are subject to SBA regulations.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Funds are licensed to operate as SBICs and are regulated by the SBA. Under current SBA regulations, a licensed SBIC can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Funds to forego attractive investment opportunities that are not permitted under the SBA regulations, and may cause the Funds to make investments they otherwise would not make in order to remain in compliance with these regulations.</w:t>
      </w:r>
    </w:p>
    <w:p>
      <w:pPr>
        <w:spacing w:after="0" w:line="1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regulations limit the amount of SBA-guaranteed debt that may be borrowed by an SBIC.</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SBA regulations currently limit the amount that is available to be borrowed by any SBIC and guaranteed by the SBA to 300.0% of an SBIC’s regulatory capital or $150.0 million, whichever is less. For two or more SBICs under common control, the maximum amount of outstanding SBA debentures cannot exceed $225.0 million. With $125.0 million of regulatory capital as of December 31, 2014, the Funds have the current capacity to issue up to a total of $225.0 million of SBA debentures, inclusive of the $173.5 million of SBA debentures outstanding as of December 31, 2014. If the Funds borrow the maximum amount from the SBA and thereafter require additional capital, our cost of capital may increase, and there is no assurance that we will be able to obtain additional financing on acceptable terms.</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Moreover, the Funds’ current status as SBICs does not automatically assure that they will continue to receive funding through the SBA debenture program. Receipt of SBA debenture funding is dependent upon the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Funds.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debentures issued by the Funds and guaranteed by the SBA have a maturity of ten years and bear interest semi-annually at fixed rates. The Funds will need to generate sufficient cash flow to make required debt payments on such debentures. If the Funds are unable to generate such cash flow, the SBA, as guarantor of the debentures, will have a superior claim to our assets over our stockholders in the event the Funds liquidate or the SBA exercises its remedies under such debentures as the result of a default by the Funds.</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Funds, as SBICs, are limited in their ability to make distributions to us, which could result in us being unable to meet the minimum distribution requirements to maintain our status as a RIC.</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maintain our status as a RIC, we are required to distribute to our stockholders on an annual basis 90.0% of our net ordinary income and net short-term capital gains in excess of net long-term capital losses. For this purpose, our taxable income will include the income of the Funds (and any other entities that are disregarded as separate from us for U.S. federal income tax purposes). The Funds’ ability to make distributions to us may be limited by the Small Business Investment Act of 1958. As a result, in order to maintain our status as a RIC, we may be required to make distributions attributable to the Funds’ income without receiving any corresponding cash distributions with respect to such income. We can make no assurances that the Funds will be able to make, or not be limited in making, distributions to us. If we are unable to satisfy the annual distribution requirements, we may fail to maintain our status as a RIC, which would result in the imposition of corporate-level U.S. federal income tax on our entire taxable income without regard to any distributions made by us. See “— We will be subject to corporate-level U.S. federal income tax if we are unable to maintain our qualification as a RIC under Subchapter M of the Code.”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will affect our cost of capital and net investment income.</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Most of our debt investments bear interest at fixed rates and the value of these investments could be negatively affected by increases in market interest rates. In addition, to the extent that we borrow additional funds to make investments, an increase in interest rates would make it more expensive for us to use debt to finance our investments. As a result, a significant increase in market interest rates could both reduce the value of our portfolio investments and increase our cost of capital, which would reduce our net investment income.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You should also be aware that a rise in market interest rates typically leads to higher interest rates applicable to our debt investments. Accordingly, an increase in interest rates may result in an increase of the amount of incentive fees payable to our investment advisor.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extended continuation of the disruption in the capital markets and the credit markets could negatively affect our business.</w:t>
      </w:r>
    </w:p>
    <w:p>
      <w:pPr>
        <w:spacing w:after="0" w:line="11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a BDC, it is essential for us to maintain our ability to raise additional capital for investment purposes. Without sufficient access to the capital markets or credit markets, we may be forced to curtail our business operations or we may not be able to pursue new business opportunities. Ongoing disruptive conditions in the financial industry and the impact of new legislation in response to those conditions could restrict our business operations and could adversely impact our results of operations and financial condition.</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From time to time, we may borrow from financial institutions in order to obtain additional capital. Unfavorable economic conditions may result in a decision by lenders not to extend credit to us. Our ability to incur indebtedness (including by issuing preferred stock) is limited by applicable regulations such that our asset coverage under the 1940 Act must equal at least 200.0% of total indebtedness immediately after each time we incur indebtedness exclusive of the SBA debentures issued by the Funds pursuant to our SEC exemptive relief. Additionally, shrinking portfolio values will negatively impact our ability to borrow additional funds because our net asset value is reduced for purposes of the 200.0% asset leverage test.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will access the capital markets periodically to issue debt or equity securities.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net asset value without first obtaining approval for such issuance from our stockholders and our Independent Directors. At our Annual Stockholders Meeting on June 4, 2014, our stockholders voted to allow us to issue common stock at a price below net asset value per share for a period of one year ending on the earlier of June 4, 2015 or the date of our 2015 Annual Meeting of Stockholders. We expect to present to our stockholders a similar proposal at our 2015 Annual Meeting of Stockholders. In addition, we are required to distribute at least 90.0% of our net ordinary income and net short-term capital gains in excess of net long-term capital losses, if any, to our stockholders in order to maintain our status as a RIC. As a result, earnings that we distribute to our stockholders will not be available to fund new investments. An inability to access the capital markets could limit our ability to grow our business and execute our business strategy fully and could decrease our earnings, if any, which may have an adverse effect on the value of our securities.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operating results.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subject to corporate-level U.S. federal income tax if we are unable to maintain qualification as a RIC under Subchapter M of the Code.</w:t>
      </w:r>
    </w:p>
    <w:p>
      <w:pPr>
        <w:spacing w:after="0" w:line="14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We have elected to be treated as a RIC under Subchapter M of the Code; however, no assurance can be given that we will be able to maintain our RIC status. To maintain our status as a RIC under Subchapter M of the Code and to avoid the imposition of U.S. federal income taxes on income and gains distributed to our stockholders, we must meet certain requirements, including source-of-income, asset diversification and annual distribution requirements. The source-of-income requirement will be satisfied if we derive at least 90.0% of our gross income for each year from dividends, interest, gains from sale of securities or similar sources. To maintain our status as a RIC, we must also meet certain asset diversification requirements at the end of each calendar quarter. Failure to meet these requirements may result in our losing our RIC status or our having to dispose of certain investments quickly in order to prevent the loss of RIC status. Because most of our investments will be in private or thinly traded public companies, any such dispositions could be made at disadvantageous prices and may result in substantial losses. The annual distribution requirement applicable to RICs will be satisfied if we distribute at least 90.0% of our net ordinary income and net short-term capital gains in excess of net long-term capital losses, if any, to our stockholders on an annual basis. In addition, we will be subject to a 4.0% nondeductible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 circumstances, restrict us from making annual distributions necessary to maintain our status as a RIC. If we are unable to obtain cash from other sources, we may fail to maintain our status as a RIC and, thus, may be subject to U.S. federal corporate income tax on our entire taxable income without regard to any distributions made by us. If we fail to maintain our status as a RIC for any reason and become subject to U.S. corporate income tax, the resulting tax liability could substantially reduce our net assets, the amount of income available for distributions to stockholders and the amount of our distributions and the amount of funds available for new investments. Such a failure would have a material adverse effect on us and our stockholders.</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intend to pay quarterly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harmed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among other things, the risk factors described in this prospectus. In addition, the inability to satisfy the asset coverage test applicable to us as a BDC could, in the future, limit our ability to pay distributions. All distributions will be paid at the discretion of our board of directors and will depend on our earnings, our financial condition, maintenance of our RIC status, compliance with applicable BDC regulations, SBA regulations, state corporate laws affecting the distribution of corporate assets and such other factors as our board of directors may deem relevant from time to time. We cannot assure you that we will pay distributions to our stockholders in the future.</w:t>
      </w:r>
    </w:p>
    <w:p>
      <w:pPr>
        <w:spacing w:after="0" w:line="188" w:lineRule="exact"/>
        <w:rPr>
          <w:sz w:val="20"/>
          <w:szCs w:val="20"/>
          <w:color w:val="auto"/>
        </w:rPr>
      </w:pPr>
    </w:p>
    <w:p>
      <w:pPr>
        <w:ind w:right="580" w:firstLine="456"/>
        <w:spacing w:after="0" w:line="312" w:lineRule="auto"/>
        <w:rPr>
          <w:sz w:val="20"/>
          <w:szCs w:val="20"/>
          <w:color w:val="auto"/>
        </w:rPr>
      </w:pPr>
      <w:r>
        <w:rPr>
          <w:rFonts w:ascii="Arial" w:cs="Arial" w:eastAsia="Arial" w:hAnsi="Arial"/>
          <w:sz w:val="16"/>
          <w:szCs w:val="16"/>
          <w:color w:val="auto"/>
        </w:rPr>
        <w:t>If we issue debt securities in the future, the above-referenced restrictions on distributions may also inhibit our ability to make required interest payments to holders of any such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and accumulated earnings and profits, recognized capital gain or capital. To the extent there is a return of capital, investors will be required to reduce their basis in our stock for U.S. federal income tax purposes.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For U.S. federal income tax purposes, we are required to include in our income certain amounts that we have not yet received in cash, such as original issue discount, which may arise if we receive warrants in connection with the making of a loan or in other circumstances, and contracted payment-in-kind interest, which represents contractual interest added to the loan balance and due at the end of the loan term. Such original issue discount, or increases in loan balances as a result of contracted payment-in-kind arrangements, will be included in our income before we receive any corresponding cash payments. We also may be required to include in our income certain other amounts that we will not receive in cash.</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Since in certain cases we may be required to recognize income before or without receiving cash representing such income, we may have difficulty meeting the requirement to distribute on an annual basis at least 90.0% of our net ordinary income and net short-term capital gains in excess of net long-term capital losses, if any, to maintain our status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status as a RIC and thus be subject to corporate-level U.S. federal income tax. See “—We will be subject to corporate-level U.S. federal income tax if we are unable to maintain our qualification as a RIC under Subchapter M of the Code.”</w:t>
      </w:r>
    </w:p>
    <w:p>
      <w:pPr>
        <w:spacing w:after="0" w:line="18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payment-in-kind interest, preferred stock with payment-in-kind dividends and zero coupon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have a current tax liability on distributions you elect to reinvest in our common stock but would not receive cash to pay such tax liability.</w:t>
      </w:r>
    </w:p>
    <w:p>
      <w:pPr>
        <w:spacing w:after="0" w:line="14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If you participate in our dividend reinvestment plan, you will be deemed to have received, and for U.S. federal income tax purposes will be taxed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25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elected to be taxed for U.S. federal income tax purposes as a RIC under Subchapter M of the Code. If we continue to meet certain requirements, including source-of-income, asset diversification and distribution requirements, and if we continue to be regulated as a BDC, we will continue to qualify to be taxed as a RIC and therefore will not have to pay U.S. federal corporate income tax on income that we timely distribute to our stockholders, allowing us to substantially reduce or eliminate our corporate-level income tax liability. As a BDC, we are generally required to meet a coverage ratio of total assets to total senior securities, which includes all of our borrowings (other than SBA leverage) and any preferred stock we may issue in the future, of at least 200.0%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Annual Stockholders Meeting on June 4, 2014, our stockholders voted to allow us to issue common stock at a price below net asset value per share for a period of one year ending on the earlier of June 4, 2015 or the date of our 2015 Annual Meeting of Stockholders. We expect to present to our stockholders a similar proposal at our 2015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issue shares of our common stock below net asset value unless our board of directors determines that it would be in our stockholders’ best interests to do so.</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Illustration: Examples of Dilutive Effect of the Issuance of Shares Below Net Asset Value. </w:t>
      </w:r>
      <w:r>
        <w:rPr>
          <w:rFonts w:ascii="Arial" w:cs="Arial" w:eastAsia="Arial" w:hAnsi="Arial"/>
          <w:sz w:val="18"/>
          <w:szCs w:val="18"/>
          <w:color w:val="auto"/>
        </w:rPr>
        <w:t>The following table illustrates the level of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dilution that 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Assume that Company XYZ has 1,000,000 common shares outstanding, $15,000,000 in total assets and $5,000,000 in total liabilities. The current net asset value and net asset value per share are thus $10,000,000 and $10.00, respectively.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 (3) an offering of 200,000 shares (20.0% of the outstanding shares) at $8.00 per share after offering expenses and commissions (a 20.0% discount from net asset value). The acronym “NAV” stands for “net asset value.”</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any offering of common stock, we will present the actual dilution to stockholders in tabular form in the prospectus supplement specific to that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92"/>
              </w:rPr>
              <w:t>Example 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92"/>
              </w:rPr>
              <w:t>Example 2</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35"/>
              <w:spacing w:after="0"/>
              <w:rPr>
                <w:sz w:val="20"/>
                <w:szCs w:val="20"/>
                <w:color w:val="auto"/>
              </w:rPr>
            </w:pPr>
            <w:r>
              <w:rPr>
                <w:rFonts w:ascii="Arial" w:cs="Arial" w:eastAsia="Arial" w:hAnsi="Arial"/>
                <w:sz w:val="14"/>
                <w:szCs w:val="14"/>
                <w:b w:val="1"/>
                <w:bCs w:val="1"/>
                <w:color w:val="auto"/>
                <w:w w:val="95"/>
              </w:rPr>
              <w:t>Example 3</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5.0% Offering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10.0% Offering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20.0%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Prior to Sale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at 5.0%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at 10.0% Discount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at 20.0%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Following</w:t>
            </w:r>
          </w:p>
        </w:tc>
        <w:tc>
          <w:tcPr>
            <w:tcW w:w="50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Below NAV</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9.47</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1,050,000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1,100,000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9.98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9.91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NAV Held by Stockholder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99,762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99,091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96,667</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700"/>
              <w:spacing w:after="0" w:line="201" w:lineRule="exact"/>
              <w:rPr>
                <w:sz w:val="20"/>
                <w:szCs w:val="20"/>
                <w:color w:val="auto"/>
              </w:rPr>
            </w:pPr>
            <w:r>
              <w:rPr>
                <w:rFonts w:ascii="Arial" w:cs="Arial" w:eastAsia="Arial" w:hAnsi="Arial"/>
                <w:sz w:val="18"/>
                <w:szCs w:val="18"/>
                <w:color w:val="auto"/>
              </w:rPr>
              <w:t>Total Investment by Stockholder A (Assumed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880"/>
              <w:spacing w:after="0"/>
              <w:rPr>
                <w:sz w:val="20"/>
                <w:szCs w:val="20"/>
                <w:color w:val="auto"/>
              </w:rPr>
            </w:pPr>
            <w:r>
              <w:rPr>
                <w:rFonts w:ascii="Arial" w:cs="Arial" w:eastAsia="Arial" w:hAnsi="Arial"/>
                <w:sz w:val="18"/>
                <w:szCs w:val="18"/>
                <w:color w:val="auto"/>
              </w:rPr>
              <w:t>to Be $10.00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Dilution to Stockholder A (Total NAV</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Total Investment)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(3,333)</w:t>
            </w: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700"/>
              <w:spacing w:after="0" w:line="201" w:lineRule="exact"/>
              <w:rPr>
                <w:sz w:val="20"/>
                <w:szCs w:val="20"/>
                <w:color w:val="auto"/>
              </w:rPr>
            </w:pPr>
            <w:r>
              <w:rPr>
                <w:rFonts w:ascii="Arial" w:cs="Arial" w:eastAsia="Arial" w:hAnsi="Arial"/>
                <w:sz w:val="18"/>
                <w:szCs w:val="18"/>
                <w:color w:val="auto"/>
              </w:rPr>
              <w:t>Investment per Share Held by Stockholder A</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880"/>
              <w:spacing w:after="0"/>
              <w:rPr>
                <w:sz w:val="20"/>
                <w:szCs w:val="20"/>
                <w:color w:val="auto"/>
              </w:rPr>
            </w:pPr>
            <w:r>
              <w:rPr>
                <w:rFonts w:ascii="Arial" w:cs="Arial" w:eastAsia="Arial" w:hAnsi="Arial"/>
                <w:sz w:val="18"/>
                <w:szCs w:val="18"/>
                <w:color w:val="auto"/>
              </w:rPr>
              <w:t>(Assumed to be $10.00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Dilution per Share Held by Stockholder 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(NAV per Share Less Investment per Share)</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(0.33)</w:t>
            </w: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ind w:left="700"/>
              <w:spacing w:after="0" w:line="201" w:lineRule="exact"/>
              <w:rPr>
                <w:sz w:val="20"/>
                <w:szCs w:val="20"/>
                <w:color w:val="auto"/>
              </w:rPr>
            </w:pPr>
            <w:r>
              <w:rPr>
                <w:rFonts w:ascii="Arial" w:cs="Arial" w:eastAsia="Arial" w:hAnsi="Arial"/>
                <w:sz w:val="18"/>
                <w:szCs w:val="18"/>
                <w:color w:val="auto"/>
                <w:w w:val="99"/>
              </w:rPr>
              <w:t>Percentage Dilution to Stockholder A (Dilution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880"/>
              <w:spacing w:after="0"/>
              <w:rPr>
                <w:sz w:val="20"/>
                <w:szCs w:val="20"/>
                <w:color w:val="auto"/>
              </w:rPr>
            </w:pPr>
            <w:r>
              <w:rPr>
                <w:rFonts w:ascii="Arial" w:cs="Arial" w:eastAsia="Arial" w:hAnsi="Arial"/>
                <w:sz w:val="18"/>
                <w:szCs w:val="18"/>
                <w:color w:val="auto"/>
                <w:w w:val="98"/>
              </w:rPr>
              <w:t>per Share Divided by Investment per Share)</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jc w:val="right"/>
              <w:ind w:right="415"/>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If we, or Fund I, fail to maintain our status as a BDC, we might be regulated as a closed-end investment company under the 1940 Act, which would subject us to substantially more onerous regulatory restrictions under the 1940 Act and correspondingly decrease our operating flexibility.</w:t>
      </w:r>
    </w:p>
    <w:p>
      <w:pPr>
        <w:spacing w:after="0" w:line="2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raise, and the way in which we raise, additional capital which may have a negative effect on our growth.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will require capital to operate and grow. We may acquire such additional capital from the following sources:</w:t>
      </w:r>
    </w:p>
    <w:p>
      <w:pPr>
        <w:spacing w:after="0" w:line="225"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Currently we, through the Funds, issue debt securities guaranteed by the SBA and have access to funds under a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In 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52" w:lineRule="exact"/>
        <w:rPr>
          <w:sz w:val="20"/>
          <w:szCs w:val="20"/>
          <w:color w:val="auto"/>
        </w:rPr>
      </w:pPr>
    </w:p>
    <w:p>
      <w:pPr>
        <w:ind w:left="900" w:right="240" w:hanging="325"/>
        <w:spacing w:after="0" w:line="27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the provisions of the 1940 Act, we are permitted, as a BDC, to issue senior securities only in amounts such that our asset coverage, as defined in the 1940 Act, equals at least 200.0% after each issuance of senior securities. If the value of our assets declines, we may be unable to satisfy this test. If that happens, we may be required to sell a portion of our investments and, depending on the nature of our leverage, repay a portion of our debt at a time when such sales and/or repayments may be disadvantageous. Further, we may not be permitted to declare or make any distribution to stockholders or repurchase shares until such time as we satisfy this test.</w:t>
      </w:r>
    </w:p>
    <w:p>
      <w:pPr>
        <w:spacing w:after="0" w:line="77" w:lineRule="exact"/>
        <w:rPr>
          <w:rFonts w:ascii="Arial" w:cs="Arial" w:eastAsia="Arial" w:hAnsi="Arial"/>
          <w:sz w:val="17"/>
          <w:szCs w:val="17"/>
          <w:color w:val="auto"/>
        </w:rPr>
      </w:pPr>
    </w:p>
    <w:p>
      <w:pPr>
        <w:ind w:left="900" w:right="7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amounts that we use to service our debt or make payments on preferred stock will not be available for distributions to our common stockholders.</w:t>
      </w:r>
    </w:p>
    <w:p>
      <w:pPr>
        <w:spacing w:after="0" w:line="75"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and, indirectly, our stockholders will bear the cost of issuing and servicing such securities and other indebtedness.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Under the provisions of the 1940 Act, we are not generally able to issue and sell our common stock at a price below net</w:t>
      </w:r>
      <w:r>
        <w:rPr>
          <w:rFonts w:ascii="Arial" w:cs="Arial" w:eastAsia="Arial" w:hAnsi="Arial"/>
          <w:sz w:val="16"/>
          <w:szCs w:val="16"/>
          <w:i w:val="1"/>
          <w:iCs w:val="1"/>
          <w:color w:val="auto"/>
        </w:rPr>
        <w:t xml:space="preserve"> </w:t>
      </w:r>
      <w:r>
        <w:rPr>
          <w:rFonts w:ascii="Arial" w:cs="Arial" w:eastAsia="Arial" w:hAnsi="Arial"/>
          <w:sz w:val="16"/>
          <w:szCs w:val="16"/>
          <w:color w:val="auto"/>
        </w:rPr>
        <w:t>asset value 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Annual Stockholders Meeting on June 4, 2014, our stockholders voted to allow us to issue common stock at a price below net asset value per share for a period of one year ending on the earlier of June 4, 2015 or the date of our 2015 Annual Meeting of Stockholders. We expect to present to our stockholders a similar proposal at our 2015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In any such case, however, the price at which our common stock is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may adversely affect our business or cause us to alter our business strategy.</w:t>
      </w:r>
    </w:p>
    <w:p>
      <w:pPr>
        <w:spacing w:after="0" w:line="1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financial reform legislation on us remains uncertain.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light of the global financial crisis and resulting conditions in the U.S. and global financial markets and the U.S. and global economy, legislators, the presidential administration and regulators increased their focus on the regulation of the financial services industry. In July 2010, the Dodd-Frank Wall Street Reform and Consumer Protection Act (the “Dodd-Frank Act”) was enacted, instituting a wide range of reforms that impact all financial institutions. Many of the requirements called for in the Dodd-Frank Act are subject to implementation regulations, some of which will continue to be implemented over the course of the next several years. Given the continuing uncertainty associated with the manner in which the provisions of the Dodd-Frank Act will be implemented by the various regulatory agencies, the full impact new regulatory requirements will have on our business, results of operations or financial condition remains unclear. The changes resulting from the Dodd-Frank Act have, and may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continue to,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and financial condition. While we cannot predict what effect the on-going changes in the laws or regulations implemented as a result of the Dodd-Frank Act, or the interpretations of such changes may have on us, these changes could be materially adverse to us and our stockholders.</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Recently adopted revisions to the leveraged lending guidance for regulated financial institutions may make bank loans to institutions that themselves engage in leveraged lending, such as BDCs, more expensive and less available.</w:t>
      </w:r>
    </w:p>
    <w:p>
      <w:pPr>
        <w:spacing w:after="0" w:line="62"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March of 2013, the Board of Governors of the Federal Reserve System, the Federal Deposit Insurance Corporation, and the Office of the Comptroller of the Currency (the “Agencies”) jointly issued final guidance on leveraged lending transactions conducted by regulated financial institutions (the “Leveraged Lending Guidance”). The Leveraged Lending Guidance outlines for Agency-supervised institutions high-level principles related to safe-and-sound leveraged lending and contains the Agencies’ minimum expectations for a risk management framework that financial institutions should have in place. The Leveraged Lending Guidance provides only common definitions of leveraged lending and directs financial institutions to define leveraged lending in their internal policies. Therefore, banks or other financial institutions that provide financing to a BDC could determine that such financing constitutes leveraged lending under their leveraged lending policies. This would impose heightened regulatory requirements on such banks and other financial institutions when they make loans or provide other financing to a BDC, which may make financing more expensive and less available to BDCs. In November of 2014, the Agencies issued “Frequently Asked Questions” (FAQ) for Implementing March 2013 Interagency Guidance on Leveraged Lending” that were designed to foster industry and examiner understanding of the Leveraged Lending Guidance and supervisory expectations for safe and sound underwriting and to promote consistent application of the Leveraged Lending Guidance. With regard to BDCs, the FAQ for example states that the risk management and reporting aspects of the Leveraged Lending Guidance should be applied to underlying loans in structured transactions if an institution originates or retains credit risk in the individual loans. If the financial institution originates or participates in a loan to a BDC that holds leveraged loans, then the loan to the BDC constitutes indirect exposure that should be measured and reported as a leveraged loan. The full impact of the Leveraged Lending Guidance and the FAQ is still uncertain, but it is possible that financing may become more expensive for us and banks or other financial institutions may be less willing to engage in leveraged lending, making it more difficult for us to obtain financing.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and exit investment transactions with our affiliates will be restricted.</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Except in those instances where we have received prior exemptive relief from the SEC, we will be prohibited under the 1940 Act from knowingly participating in certain transactions with our affiliates without the prior approval of our Independent Directors. Any person that owns, directly or indirectly,</w:t>
      </w:r>
    </w:p>
    <w:p>
      <w:pPr>
        <w:spacing w:after="0" w:line="252" w:lineRule="auto"/>
        <w:rPr>
          <w:sz w:val="20"/>
          <w:szCs w:val="20"/>
          <w:color w:val="auto"/>
        </w:rPr>
      </w:pPr>
      <w:r>
        <w:rPr>
          <w:rFonts w:ascii="Arial" w:cs="Arial" w:eastAsia="Arial" w:hAnsi="Arial"/>
          <w:sz w:val="18"/>
          <w:szCs w:val="18"/>
          <w:color w:val="auto"/>
        </w:rPr>
        <w:t>5.0%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25.0%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pacing w:after="0" w:line="3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6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296"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investment advisor has the right to resign under the Administration Agreement, whether we have found a replacement or not. If our investment advisor resigns,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2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Efforts to comply with the Sarbanes-Oxley Act will involve significant expenditures, and non-compliance with the Sarbanes-Oxley Act may adversely affect us and the market price of our common stock.</w:t>
      </w:r>
    </w:p>
    <w:p>
      <w:pPr>
        <w:spacing w:after="0" w:line="62"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As a publicly-traded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Section 404 of the Sarbanes-Oxley Act requires that public companies evaluate and report on their systems of internal control over financial reporting. In addition, our independent registered public accounting firm must report on management’s evaluation of those controls. In future periods, we may identify deficiencies in our system of internal controls over financial reporting that may require remediation. There can be no assurances that any such future deficiencies identified may not be material weaknesses that would be required to be reported in future periods.</w:t>
      </w:r>
    </w:p>
    <w:p>
      <w:pPr>
        <w:spacing w:after="0" w:line="2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is highly dependent on the communications and information systems of our investment advisor. Any failure or interruption of such systems could cause delays or other problems in our activities. This, in turn, could have a material adverse effect on our operating results and negatively affect the market price of our common stock and our ability to make distributions to our stockholders. In addition, because many of our portfolio companies operate and rely on network infrastructure and enterprise applications and internal technology systems for development, marketing, operational, support and other business activities, a disruption or failure of any or all of these systems in the event of a major telecommunications failure, fire, earthquake, severe weather conditions or other catastrophic events could cause system interruptions, delays in product development and loss of critical data and could otherwise disrupt their business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face losses and potential liability if intrusion, viruses or similar disruptions to our technology jeopardize our confidential information.</w:t>
      </w:r>
    </w:p>
    <w:p>
      <w:pPr>
        <w:spacing w:after="0" w:line="14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Although our investment advisor has implemented, and will continue to implement, security measures, our technology platform may be vulnerable to intrusion, computer viruses or similar disruptive problems caused by unauthorized users. The misappropriation of proprietary information could expose us to a risk of loss or litigation.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Many of our portfolio companies are susceptible to economic slowdowns or recessions (including industry specific downturns, such as that currently being experienced by the oil and gas industry) and may be unable to repay our loans during these periods. Therefore, our non-performing assets are likely to increase and the value of our portfolio is likely to decrease during these periods. Adverse economic conditions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our investments and harm our operating results.</w:t>
      </w:r>
    </w:p>
    <w:p>
      <w:pPr>
        <w:spacing w:after="0" w:line="2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continue to be volatile.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portfolio companies may be risky, and we could lose all or part of our investment.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Investing in lower middle-market companies involves a number of significant risks. Among other things, these companies:</w:t>
      </w:r>
    </w:p>
    <w:p>
      <w:pPr>
        <w:spacing w:after="0" w:line="131" w:lineRule="exact"/>
        <w:rPr>
          <w:sz w:val="20"/>
          <w:szCs w:val="20"/>
          <w:color w:val="auto"/>
        </w:rPr>
      </w:pPr>
    </w:p>
    <w:p>
      <w:pPr>
        <w:ind w:left="900" w:right="8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spacing w:after="0" w:line="86" w:lineRule="exact"/>
        <w:rPr>
          <w:rFonts w:ascii="Arial" w:cs="Arial" w:eastAsia="Arial" w:hAnsi="Arial"/>
          <w:sz w:val="18"/>
          <w:szCs w:val="18"/>
          <w:color w:val="auto"/>
        </w:rPr>
      </w:pPr>
    </w:p>
    <w:p>
      <w:pPr>
        <w:ind w:left="900" w:right="86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may have shorter operating histories, narrower product lines and smaller market shares, which tend to render them more vulnerable to competitors’ actions and market conditions, as well as general economic downturns, than larger businesses;</w:t>
      </w:r>
    </w:p>
    <w:p>
      <w:pPr>
        <w:spacing w:after="0" w:line="51" w:lineRule="exact"/>
        <w:rPr>
          <w:rFonts w:ascii="Arial" w:cs="Arial" w:eastAsia="Arial" w:hAnsi="Arial"/>
          <w:sz w:val="17"/>
          <w:szCs w:val="17"/>
          <w:color w:val="auto"/>
        </w:rPr>
      </w:pPr>
    </w:p>
    <w:p>
      <w:pPr>
        <w:ind w:left="900" w:right="54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900" w:right="20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86"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to make additional investments in our portfolio companies which could impair the value of our portfolio.</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or the desire to maintain our RIC status. Our ability to make follow-on investments may also be limited by our investment advisor’s allocation policy.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companies may incur debt that ranks equally with, or senior to, our investments in such companies.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invest primarily in mezzanine debt as well as equity issued by lower middle-market companies. The portfolio companies may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mezzanine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may be circumstances where our debt investments could be subordinated to claims of other creditors or could be subject to lender liability claims.</w:t>
      </w:r>
    </w:p>
    <w:p>
      <w:pPr>
        <w:spacing w:after="0" w:line="152"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9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cause the commencement of enforcement proceedings against the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control the conduct of such proceedings;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of amendments to collateral documents;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releases of liens on the collateral;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waivers of past defaults under collateral documents.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have the ability to control or direct such actions, even if our rights are adversely affected.</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hold the debt securities of leveraged companies that may, due to the significant volatility of such companies, enter into bankruptcy proceedings.</w:t>
      </w:r>
    </w:p>
    <w:p>
      <w:pPr>
        <w:spacing w:after="0" w:line="15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Any unrealized depreciation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with a defaulting portfolio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control many of our portfolio companies.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Prepayments of our debt investments by our portfolio companies could adversely impact our results of operations and reduce our return on equity.</w:t>
      </w:r>
    </w:p>
    <w:p>
      <w:pPr>
        <w:spacing w:after="0" w:line="14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are subject to the risk that the investments we make in our portfolio companies may be repaid prior to maturity. When this occurs, we will generally reinvest these proceeds in temporary investments,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Certain investments that we have made in the past and may make in the future include warrants or other equity or equity-related securities. In addition, we may from time to time make non-control, equity co-investments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our primary investments are deemed not to be qualifying assets, we could be precluded from investing in our desired manner or deemed to be in violation of the 1940 Act.</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order to maintain our status as a BDC, we may not acquire any assets other than “qualifying assets” unless, at the time of and after giving effect to such acquisition, at least 70.0%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6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be taxed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297"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Offering of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Shares of closed-end investment companies, including business development companies, frequently trade at a discount to their net asset value.</w:t>
      </w:r>
    </w:p>
    <w:p>
      <w:pPr>
        <w:spacing w:after="0" w:line="14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June 4, 2014 our stockholders voted to allow us to sell or otherwise issue common stock at a price below net asset value per share for a period of one year ending on the earlier of June 4, 2015 or the date of our 2015 Annual Meeting of Stockholders. We expect to present to our stockholders a similar proposal at our 2015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experience dilution in their ownership percentage if they do not participate in our dividend reinvestment plan.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distributions declared in cash payable to stockholders that are participants in our dividend reinvestment plan are generally automatically reinvested in shares of our common stock. As a result, stockholders that do not participate in the dividend reinvestment plan may experience dilution over time. Stockholders who receive distributions in shares of common stock may experience accretion to the net asset value of their shares if our shares are trading at a premium and dilution if our shares are trading at a discount. The level of accretion or discount would depend on various factors, including the proportion of our stockholders who participate in the plan, the level of premium or discount at which our shares are trading and the amount of the distribution payable to a stockholder.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 may increase the risks associated with our business and an investment in us.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current worldwide financial market situation may contribute to increased market volatility, may have long-term effects on the U.S. and worldwide financial markets and may cause economic uncertainties or deterioration in the U.S.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recent gains across both the equity and debt markets, these conditions may continue for a prolonged period of time or worsen in the future.</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6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June 4, 2014, our stockholders approved our ability to sell or otherwise issue shares of our common stock at a discount from net asset value per share, as long as the cumulative number of shares sold pursuant to such authority does not exceed 25.0% of our then outstanding common stock immediately prior to each such sale, for a period of one year ending on the earlier of June 4, 2015 or the date of our 2015 Annual Meeting of Stockholders. We expect to present to our stockholders a similar proposal at our 2015 Annual Meeting of Stockholders. If we sell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asset value may have changed significantly since our last valuation.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2015 is less than the fair value at the time of an offering during 2015, then we may record an unrealized loss on our investment portfolio and may report a lower net asset value per share than will be reflected in the Selected Consolidated Financial Data and the financial statements included in the prospectus supplement of that offering. If the fair value of our investment portfolio at December 31, 2015 is greater than the fair value at the time of an offering during 2015,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2015, the market price of our common stock may fluctuate materially, and may be substantially less than the price per share you pay for our common stock in an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fluctuate significantly.</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status as an SBIC for the Funds, or any other SBIC subsidiary we may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 of our investment advisor’s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an above average degree of risk.</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substantial amounts of our common stock may have an adverse effect on the market price of our common stock.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of February 27, 2015, we had 16,051,037 shares of common stock outstanding. In August 2014, we entered into an equity distribution agreement with Raymond James &amp; Associates, Inc. and Robert W. Baird &amp; Co. Incorporated through which we could sell, by means of at-the-market offerings from time to time, shares of our common stock having an aggregate offering price of up to $50.0 million (the “ATM Program”).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our charter and bylaws could deter takeover attempts and have an adverse effect on the price of our common stock.</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10.0% or more of the voting power of our outstanding voting stock, or with their affiliates, for five years after the most recent date on which such stockholders became the beneficial owners of 10.0% or more of the voting power of our outstanding voting stock and thereafter unless our directors and stockholders approve the business combination in the prescribed manner. See “Description of Our Capital Stock - Business Combinations.” Maryland law may discourage third parties from trying to acquire control of us and increase the difficulty of consummating such an offer.</w:t>
      </w:r>
    </w:p>
    <w:p>
      <w:pPr>
        <w:spacing w:after="0" w:line="18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issue preferred stock and/or debt securities, the net asset value and market value of our common stock may become more volatile.</w:t>
      </w:r>
    </w:p>
    <w:p>
      <w:pPr>
        <w:spacing w:after="0" w:line="129"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issue auction rate preferred stock and you purchase such auction rate preferred stock, you may not be able to sell your auction rate preferred stock at an auction if the auction fails.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issue auction rate preferred stock and you purchase such auction rate preferred stock, you may not be able to sell your auction rate preferred stock at an auction if the auction fails, i.e., if more shares of auction rate preferred stock are offered for sale than there are buyers for those shares. Also, if you place an order (a hold order) at an auction to retain auction rate preferred stock only at a specified rate that exceeds the rate set at the auction, you will not retain your auction rate preferred stock. Additionally, if you place a hold order without specifying a rate below which you would not wish to continue to hold your shares and the auction sets a below-market rate, you will receive a lower rate of return on your shares than any market rate of those securities. Finally, the distribution period of these securities may be changed, subject to certain conditions and with notice to the holders of the auction rate preferred stock, which could also affect the liquidity of your investment.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try to sell your auction rate preferred stock between auctions, you may not receive full value on your investment.</w:t>
      </w:r>
    </w:p>
    <w:p>
      <w:pPr>
        <w:spacing w:after="0" w:line="11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If you try to sell your auction rate preferred stock between auctions, you may not be able to sell them for their liquidation preference per share or such amount per share plus accumulated distributions. If we have designated a special distribution period of more than seven days, changes in interest rates could affect the price you would receive if you sold your shares in the secondary market. Broker-dealers that maintain a secondary trading market for the auction rate preferred stock are not required to maintain this market, and we will not be required to redeem auction rate preferred stock if either an auction or an attempted secondary market sale fails because of a lack of buyers. The auction rate preferred stock will likely not be registered on a stock exchange. If you sell your auction rate preferred stock to a broker-dealer between auctions, you may receive less than the price you paid for them, especially when market interest rates have risen since the last auction or during a special distribution period. Due to recent market disruption most auction-rate preferred stock have been unable to hold successful auctions and holders of such shares have suffered reduced liquidity, including the inability to sell such shares in a secondary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our debt securities or any convertible debt securities, if issued to the public, may be volatile.</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debt securities or any convertible debt securities, if issued to the public, may or may not have an established trading market. We cannot assure investors that a trading market for our debt securities or any convertible debt securities, if issued to the public, would develop or be maintained if developed. In addition to our creditworthiness, many factors may materially adversely affect the trading market for, and market value of, our publicly issued debt securities or any convertible debt securities. These factors include, but are not limited to, the following:</w:t>
      </w:r>
    </w:p>
    <w:p>
      <w:pPr>
        <w:spacing w:after="0" w:line="7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economic environment;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if any, may not reflect all risks of an investment in our debt securities or any convertible debt securities.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credit ratings, if any, will be an assessment by third parties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herein about the market value of, or trading market for, any publicly issued debt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relating to redemption may materially adversely affect the return on any debt securities.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issue any debt securities or any convertible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issuance of subscription rights, warrants or convertible debt that are exchangeable for our common stock, will cause your interest in us to be diluted as a result of any such rights, warrants or convertible debt offering.</w:t>
      </w:r>
    </w:p>
    <w:p>
      <w:pPr>
        <w:spacing w:after="0" w:line="6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Stockholders who do not fully exercise rights, warrants or convertible debt issued to them in any offering of subscription rights, warrants or convertible debt to purchase our common stock should expect that they will, at the completion of the offering, own a smaller proportional interest in us than would otherwise be the case if they fully exercised their rights, warrants or convertible debt. We cannot state precisely the amount of any such dilution in share ownership because we do not know what proportion of the common stock would be purchased as a result of any such offering.</w:t>
      </w:r>
    </w:p>
    <w:p>
      <w:pPr>
        <w:spacing w:after="0" w:line="17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In addition, if the subscription price, warrant price or convertible debt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convertible debt price or net asset value per share will be on the expiration date of such offering or what proportion of our common stock will be purchased as a result of any such offering. The risk of dilution is greater if there are multiple rights offerings. However, our board of directors will make a good faith determination that any offering of subscription rights, warrants or convertible debt would result in a net benefit to existing stockholders.</w:t>
      </w:r>
    </w:p>
    <w:p>
      <w:pPr>
        <w:spacing w:after="0" w:line="2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Future offerings of debt securities, which would be senior to our common stock upon liquidation, or equity securities, which could dilute our existing stockholders and may be senior to our common stock for the purposes of distributions, may harm the value of our common stock.</w:t>
      </w:r>
    </w:p>
    <w:p>
      <w:pPr>
        <w:spacing w:after="0" w:line="16"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future, we may attempt to increase our capital resources by making additional offerings of debt or equity securities, including commercial paper, medium-term notes, senior or subordinated notes and classes of preferred stock or common stock, subject to the restrictions of the 1940 Act. Upon a liquidation of our company, holders of our debt securities and shares of preferred stock and lenders with respect to other borrowings would receive a distribution of our available assets prior to the holders of our common stock. Additional equity offerings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by us may dilute the holdings of our existing stockholders or reduce the value of our common stock, or both. Any preferred stock we may issue would have a preference on distributions that could limit our ability to make distributions to the holders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 and diluting their stock holdings in us. In addition, proceeds from a sale of common stock will likely be used to increase our total assets or to pay down our borrowings, among other uses. This would increase our asset coverage ratio and permit us to incur additional leverage under rules pertaining to BDCs by increasing our borrowings or issuing senior securities such as preferred stock or additional debt securities.</w:t>
      </w:r>
    </w:p>
    <w:p>
      <w:pPr>
        <w:spacing w:after="0" w:line="28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national disasters may affect any market for our securities, impact the businesses in which we invest and harm our business, operating results and financial condition.</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Terrorist acts, acts of war or national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key personnel of our investment advisor and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develop referral relationships;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use of leverage;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additional capital on attractive terms or at all;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 valuations of our portfolio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for investment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and potential conflicts of interest with our investment advisor;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conflicts of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SBA regulations affecting our wholly-owned SBIC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 and portfolio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our status as a RIC and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form and amount of any distributions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applicable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dilution risks related to our ability to issue shares below our current net asset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resignation of our investment advisor or administrator;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investing in lower middle-market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investment advisor to identify, invest in and monitor companies that meet our investment criteria;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invest in qualifying assets.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and elsewhere in this prospectus. You should not place undue reliance on these forward-looking statements, which apply only as of the date of this prospectus. The forward-looking statements and projections contained in this prospectus are excluded from the safe harbor protection provided by Section 27A of the Securities Act of 1933, as amended, or the Securities Act.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Unless otherwise specified in any prospectus supplement accompanying this prospectus, we intend to use the net proceeds from the sale of our securities to invest in lower middle-market companies in accordance with our investment objective and strategies, to repay the outstanding indebtedness under our Credit Facility and for working capital and general corporate purposes. We will also pay operating expenses, including management, incentive and administrative fees, and may pay other expenses, from the net proceeds of any offering. We plan to raise new equity when we have attractive investment opportunities available. Pending such use, we will invest the net proceeds of any offering primarily in short-term securities consistent with our BDC election and our election to be taxed as a RIC. See “Regulation—Temporary Investments” for additional information about temporary investments we may make while waiting to make longer-term investments in pursuit of our investment objective.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Pending such use, we will invest the net proceeds of this offering primarily in cash, cash equivalents, U.S. Government securities and other high-quality debt instruments that mature in one year or less, or “temporary investments,” as appropriate. These securities may have lower yields than our other investments and accordingly result in lower distributions, if any, by us during such period. See “Regulation — Temporary Investments.” Our ability to achieve our investment objective may be limited to the extent that the net proceeds from the offering, pending full investment, are held in interest bearing deposits or other short-term instruments that produce income at a rate less than our cost of capital.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For the years ended December 31, 2010, 2011, 2012, 2013 and 2014, the ratio of earnings to fixed charges of the Company, computed as set forth below,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238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w w:val="91"/>
              </w:rPr>
              <w:t>For the year ended December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Earnings to Fixed Charges</w:t>
            </w:r>
            <w:r>
              <w:rPr>
                <w:rFonts w:ascii="Arial" w:cs="Arial" w:eastAsia="Arial" w:hAnsi="Arial"/>
                <w:sz w:val="15"/>
                <w:szCs w:val="15"/>
                <w:color w:val="auto"/>
              </w:rPr>
              <w:t>(1)</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2.01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3.81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4.02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4.95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3.65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computing the ratios of earnings to fixed charges, earnings represent net increase in net assets resulting from operations plus (or minus) tax provision (benefit) including excise tax expense plus fixed charges. Fixed charges include interest and financing expenses.</w:t>
      </w:r>
    </w:p>
    <w:p>
      <w:pPr>
        <w:spacing w:after="0" w:line="19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153" w:lineRule="exact"/>
        <w:rPr>
          <w:rFonts w:ascii="Arial" w:cs="Arial" w:eastAsia="Arial" w:hAnsi="Arial"/>
          <w:sz w:val="16"/>
          <w:szCs w:val="16"/>
          <w:color w:val="auto"/>
        </w:rPr>
      </w:pPr>
    </w:p>
    <w:p>
      <w:pPr>
        <w:ind w:left="900" w:right="720" w:hanging="325"/>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Excluding net unrealized gains or losses, the earnings to fixed charges ratio would be 2.03, 0.86, 3.75, 8.08 and 1.88 for the years ended December 31, 2010, 2011, 2012, 2013 and 2014, respectively.</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Excluding net realized and unrealized gains or losses, the earnings to fixed charges ratio would be 2.81, 3.11, 3.44, 3.76 and 4.15 for the years ended December 2010, 2011, 2012, 2013 and 2014,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common stock began trading on June 21, 2011 on The Nasdaq Global Market under the symbol “FDUS.” Effective January 3, 2012, our common stock is included in the Nasdaq Global Select Market. Prior to June 21, 2011, there was no established public trading market for our common stock. The following table lists the high and low closing sale price for our common stock, and the closing sale price as a percentage of net asset value, or NAV, since shares of our common stock began being regularly quoted on Nasdaq.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Premium/</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Premium/</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(Discount)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6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of Low</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87"/>
              </w:rPr>
              <w:t>Closing Sales</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High Sales</w:t>
            </w:r>
          </w:p>
        </w:tc>
        <w:tc>
          <w:tcPr>
            <w:tcW w:w="1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Price to</w:t>
            </w:r>
          </w:p>
        </w:tc>
        <w:tc>
          <w:tcPr>
            <w:tcW w:w="16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 to</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gridSpan w:val="2"/>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NAV (2)</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NAV (2)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 Share (3)</w:t>
            </w:r>
          </w:p>
        </w:tc>
        <w:tc>
          <w:tcPr>
            <w:tcW w:w="0" w:type="dxa"/>
            <w:vAlign w:val="bottom"/>
          </w:tcPr>
          <w:p>
            <w:pPr>
              <w:spacing w:after="0"/>
              <w:rPr>
                <w:sz w:val="1"/>
                <w:szCs w:val="1"/>
                <w:color w:val="auto"/>
              </w:rPr>
            </w:pPr>
          </w:p>
        </w:tc>
      </w:tr>
      <w:tr>
        <w:trPr>
          <w:trHeight w:val="20"/>
        </w:trPr>
        <w:tc>
          <w:tcPr>
            <w:tcW w:w="4080" w:type="dxa"/>
            <w:vAlign w:val="bottom"/>
            <w:gridSpan w:val="3"/>
            <w:vMerge w:val="continue"/>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NAV (1)</w:t>
            </w:r>
          </w:p>
        </w:tc>
        <w:tc>
          <w:tcPr>
            <w:tcW w:w="5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280" w:type="dxa"/>
            <w:vAlign w:val="bottom"/>
            <w:vMerge w:val="restart"/>
          </w:tcPr>
          <w:p>
            <w:pPr>
              <w:spacing w:after="0" w:line="20" w:lineRule="exact"/>
              <w:rPr>
                <w:sz w:val="1"/>
                <w:szCs w:val="1"/>
                <w:color w:val="auto"/>
              </w:rPr>
            </w:pPr>
          </w:p>
        </w:tc>
        <w:tc>
          <w:tcPr>
            <w:tcW w:w="7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Low</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gridSpan w:val="3"/>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Year</w:t>
            </w: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ended December 31, 2012</w:t>
            </w:r>
          </w:p>
        </w:tc>
        <w:tc>
          <w:tcPr>
            <w:tcW w:w="1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$14.94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$14.38</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$12.85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(14.0)%</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13.22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15.27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14.89</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14.55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324"/>
        </w:trPr>
        <w:tc>
          <w:tcPr>
            <w:tcW w:w="4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Year ended December 31, 2013</w:t>
            </w: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15.46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16.52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16.06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17.28</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18.60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15.35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22.29</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18.64</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45.2</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201</w:t>
            </w:r>
            <w:r>
              <w:rPr>
                <w:rFonts w:ascii="Arial" w:cs="Arial" w:eastAsia="Arial" w:hAnsi="Arial"/>
                <w:sz w:val="18"/>
                <w:szCs w:val="18"/>
                <w:color w:val="auto"/>
              </w:rPr>
              <w:t>4</w:t>
            </w: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15.22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21.99</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17.86</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44.5</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16.63</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15.18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16.51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32.0</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13.71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51" w:lineRule="exact"/>
        <w:rPr>
          <w:rFonts w:ascii="Arial" w:cs="Arial" w:eastAsia="Arial" w:hAnsi="Arial"/>
          <w:sz w:val="17"/>
          <w:szCs w:val="17"/>
          <w:color w:val="auto"/>
        </w:rPr>
      </w:pPr>
    </w:p>
    <w:p>
      <w:pPr>
        <w:ind w:left="460" w:right="32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as the difference between the respective high or low closing sales price and the quarter end net asset value divided by the quarter end net asset value.</w:t>
      </w:r>
    </w:p>
    <w:p>
      <w:pPr>
        <w:spacing w:after="0" w:line="75"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regular and special, if applicable, distribution declared in the specified quarter. We have adopted an “opt out” dividend reinvestment plan for our common stockholders. As a result, if we declare a distribution, stockholders’ cash distributions will be automatically reinvested in additional shares of our common stock, unless they specifically “opt out” of the dividend reinvestment plan so as to receive cash distributions. See “Dividend Reinvestment Plan.”</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Shares of BDCs may trade at a market price that is less than the net asset value of those shares. The possibilities that our shares of common stock will trade at a discount from net asset value or at premiums that are unsustainable over the long term are separate and distinct from the risk that our net asset value will decrease. It is not possible to predict whether any common stock offered pursuant to this prospectus supplement will trade at, above, or below net asset value.</w:t>
      </w:r>
    </w:p>
    <w:p>
      <w:pPr>
        <w:spacing w:after="0" w:line="18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We intend to continue to pay quarterly distributions to our stockholders. Our quarterly distributions, if any, are determined by our board of directors. We have elected to be taxed as a RIC under Subchapter M of the Code. As long as we qualify as a RIC, we will not be taxed on our investment company taxable income or net capital gain, to the extent that such income or gain is distributed, or deemed to be distributed, to stockholders on a timely basis.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maintain our qualification as a RIC, we must, among other things, distribute at least 90.0% of our net ordinary income and our net short-term capital gains in excess of our net long-term capital losses, if any. In order to avoid certain excise taxes imposed on RICs, we currently intend to distribute during each calendar year an amount at least equal to the sum of (1) 98.0% of our net ordinary income for the calendar year, (2) 98.2% of our capital gain net income for the calendar year and (3) any net ordinary income and capital gain net income for the preceding calendar year that were not distributed during such year and on which we paid no U.S. federal income tax. We may retain for investment some or all of our net capital gain (i.e., net long-term capital gains in excess of net short-term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“Material U.S. Federal Income Tax Considerations” in the accompanying prospectus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“Regulation” and “Material U.S. Federal Income Tax Considerations” in the accompanying prospectus.</w:t>
      </w:r>
    </w:p>
    <w:p>
      <w:pPr>
        <w:spacing w:after="0" w:line="16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may make distributions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to the extent of the distributing corporation’s current and accumulated earnings and profits. The Internal Revenue Service has issued private letter rulings indicating that such treatment may apply under circumstances in which the total amount of cash distributed is limited to as little as 20.0% of the total distribution. Under these rulings, if too many stockholders elect to receive their distributions in cash, each such stockholder would receive a pro-rata share of the total cash to be distributed and would receive the remainder of their distribution in shares of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7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will report certain U.S. federal income tax information with respect to our distributions to our stockholders on IRS Form 1099-DIV after the end of the year. Our ability to pay distributions could be affected by future business performance, liquidity, capital needs, alternative investment opportunities and loan covenants.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selected consolidated financial data of FIC and its subsidiaries, including the Funds, as of and for the years ended December 31, 2010, 2011, 2012, 2013 and 2014, is derived from the consolidated financial statements that have been audited by McGladrey LLP, independent registered public accounting firm. Financial information prior to our IPO in June 2011 is that of Fund I. This financial data should be read in conjunction with our consolidated financial statements and the notes thereto included elsewhere in this prospectus and with “Management’s Discussion and Analysis of Financial Condition and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center"/>
              <w:ind w:left="392"/>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gridSpan w:val="4"/>
          </w:tcPr>
          <w:p>
            <w:pPr>
              <w:jc w:val="center"/>
              <w:ind w:left="8"/>
              <w:spacing w:after="0" w:line="142" w:lineRule="exact"/>
              <w:rPr>
                <w:sz w:val="20"/>
                <w:szCs w:val="20"/>
                <w:color w:val="auto"/>
              </w:rPr>
            </w:pPr>
            <w:r>
              <w:rPr>
                <w:rFonts w:ascii="Arial" w:cs="Arial" w:eastAsia="Arial" w:hAnsi="Arial"/>
                <w:sz w:val="14"/>
                <w:szCs w:val="14"/>
                <w:i w:val="1"/>
                <w:iCs w:val="1"/>
                <w:color w:val="auto"/>
                <w:w w:val="95"/>
              </w:rPr>
              <w:t>(Dollars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Total investment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17,985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8"/>
              <w:spacing w:after="0"/>
              <w:rPr>
                <w:sz w:val="20"/>
                <w:szCs w:val="20"/>
                <w:color w:val="auto"/>
              </w:rPr>
            </w:pPr>
            <w:r>
              <w:rPr>
                <w:rFonts w:ascii="Arial" w:cs="Arial" w:eastAsia="Arial" w:hAnsi="Arial"/>
                <w:sz w:val="18"/>
                <w:szCs w:val="18"/>
                <w:color w:val="auto"/>
                <w:w w:val="98"/>
              </w:rPr>
              <w:t>23,387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33,849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41,792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46,116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4,237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All other expenses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2,660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15,691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19,542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23,664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15,687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19,296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23,281</w:t>
            </w:r>
          </w:p>
        </w:tc>
        <w:tc>
          <w:tcPr>
            <w:tcW w:w="0" w:type="dxa"/>
            <w:vAlign w:val="bottom"/>
          </w:tcPr>
          <w:p>
            <w:pPr>
              <w:spacing w:after="0"/>
              <w:rPr>
                <w:sz w:val="1"/>
                <w:szCs w:val="1"/>
                <w:color w:val="auto"/>
              </w:rPr>
            </w:pPr>
          </w:p>
        </w:tc>
      </w:tr>
      <w:tr>
        <w:trPr>
          <w:trHeight w:val="324"/>
        </w:trPr>
        <w:tc>
          <w:tcPr>
            <w:tcW w:w="6240" w:type="dxa"/>
            <w:vAlign w:val="bottom"/>
          </w:tcPr>
          <w:p>
            <w:pPr>
              <w:ind w:left="360"/>
              <w:spacing w:after="0"/>
              <w:rPr>
                <w:sz w:val="20"/>
                <w:szCs w:val="20"/>
                <w:color w:val="auto"/>
              </w:rPr>
            </w:pPr>
            <w:r>
              <w:rPr>
                <w:rFonts w:ascii="Arial" w:cs="Arial" w:eastAsia="Arial" w:hAnsi="Arial"/>
                <w:sz w:val="18"/>
                <w:szCs w:val="18"/>
                <w:color w:val="auto"/>
              </w:rPr>
              <w:t>Net realized gains (losses) on investments</w:t>
            </w:r>
          </w:p>
        </w:tc>
        <w:tc>
          <w:tcPr>
            <w:tcW w:w="8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(3,858)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w w:val="89"/>
              </w:rPr>
              <w:t>(12,318)</w:t>
            </w:r>
          </w:p>
        </w:tc>
        <w:tc>
          <w:tcPr>
            <w:tcW w:w="10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1,975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30,588</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(17,029)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8"/>
              </w:rPr>
              <w:t>16,171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(22,188)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13,250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Income tax (provision) on realized gains on investments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8"/>
              </w:rPr>
              <w:t>15,386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19,411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27,203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19,485</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(at end of period)</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8"/>
              <w:spacing w:after="0"/>
              <w:rPr>
                <w:sz w:val="20"/>
                <w:szCs w:val="20"/>
                <w:color w:val="auto"/>
              </w:rPr>
            </w:pPr>
            <w:r>
              <w:rPr>
                <w:rFonts w:ascii="Arial" w:cs="Arial" w:eastAsia="Arial" w:hAnsi="Arial"/>
                <w:sz w:val="18"/>
                <w:szCs w:val="18"/>
                <w:color w:val="auto"/>
              </w:rPr>
              <w:t>1.22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1.54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(loss) on investments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8"/>
              <w:spacing w:after="0"/>
              <w:rPr>
                <w:sz w:val="20"/>
                <w:szCs w:val="20"/>
                <w:color w:val="auto"/>
              </w:rPr>
            </w:pPr>
            <w:r>
              <w:rPr>
                <w:rFonts w:ascii="Arial" w:cs="Arial" w:eastAsia="Arial" w:hAnsi="Arial"/>
                <w:sz w:val="18"/>
                <w:szCs w:val="18"/>
                <w:color w:val="auto"/>
              </w:rPr>
              <w:t>1.63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1.91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(post initial public offering)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Weighted average annual yield on debt investments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15.3 %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Number of portfolio companies at year end</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ratios (as percentage of average net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 share data and average net assets are presented as if the Formation Transaction and IPO had occurred on January 1, 2011.</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Weighted average yields are computed using the effective interest rates for debt investments at cost as of the period end date, including accretion of original issue discount and loan origination fees, but excluding debt investments on non-accrual status, if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9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gridSpan w:val="3"/>
          </w:tcPr>
          <w:p>
            <w:pPr>
              <w:jc w:val="center"/>
              <w:spacing w:after="0" w:line="142" w:lineRule="exact"/>
              <w:rPr>
                <w:sz w:val="20"/>
                <w:szCs w:val="20"/>
                <w:color w:val="auto"/>
              </w:rPr>
            </w:pPr>
            <w:r>
              <w:rPr>
                <w:rFonts w:ascii="Arial" w:cs="Arial" w:eastAsia="Arial" w:hAnsi="Arial"/>
                <w:sz w:val="14"/>
                <w:szCs w:val="14"/>
                <w:i w:val="1"/>
                <w:iCs w:val="1"/>
                <w:color w:val="auto"/>
                <w:w w:val="96"/>
              </w:rPr>
              <w:t>(Dollars 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assets and liabilities data:</w:t>
            </w:r>
          </w:p>
        </w:tc>
        <w:tc>
          <w:tcPr>
            <w:tcW w:w="2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Total investments at fair value</w:t>
            </w:r>
          </w:p>
        </w:tc>
        <w:tc>
          <w:tcPr>
            <w:tcW w:w="2820" w:type="dxa"/>
            <w:vAlign w:val="bottom"/>
            <w:gridSpan w:val="2"/>
          </w:tcPr>
          <w:p>
            <w:pPr>
              <w:jc w:val="right"/>
              <w:ind w:right="28"/>
              <w:spacing w:after="0"/>
              <w:rPr>
                <w:sz w:val="20"/>
                <w:szCs w:val="20"/>
                <w:color w:val="auto"/>
              </w:rPr>
            </w:pPr>
            <w:r>
              <w:rPr>
                <w:rFonts w:ascii="Arial" w:cs="Arial" w:eastAsia="Arial" w:hAnsi="Arial"/>
                <w:sz w:val="18"/>
                <w:szCs w:val="18"/>
                <w:color w:val="auto"/>
              </w:rPr>
              <w:t>$141,341</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$204,745</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$274,249</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$306,981</w:t>
            </w:r>
          </w:p>
        </w:tc>
        <w:tc>
          <w:tcPr>
            <w:tcW w:w="780" w:type="dxa"/>
            <w:vAlign w:val="bottom"/>
          </w:tcPr>
          <w:p>
            <w:pPr>
              <w:jc w:val="right"/>
              <w:spacing w:after="0"/>
              <w:rPr>
                <w:sz w:val="20"/>
                <w:szCs w:val="20"/>
                <w:color w:val="auto"/>
              </w:rPr>
            </w:pPr>
            <w:r>
              <w:rPr>
                <w:rFonts w:ascii="Arial" w:cs="Arial" w:eastAsia="Arial" w:hAnsi="Arial"/>
                <w:sz w:val="18"/>
                <w:szCs w:val="18"/>
                <w:color w:val="auto"/>
              </w:rPr>
              <w:t>$396,355</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147,377</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248,643</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333,849</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367,262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435,587</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Borrowings</w:t>
            </w:r>
          </w:p>
        </w:tc>
        <w:tc>
          <w:tcPr>
            <w:tcW w:w="2820" w:type="dxa"/>
            <w:vAlign w:val="bottom"/>
            <w:gridSpan w:val="2"/>
          </w:tcPr>
          <w:p>
            <w:pPr>
              <w:jc w:val="right"/>
              <w:ind w:right="28"/>
              <w:spacing w:after="0"/>
              <w:rPr>
                <w:sz w:val="20"/>
                <w:szCs w:val="20"/>
                <w:color w:val="auto"/>
              </w:rPr>
            </w:pPr>
            <w:r>
              <w:rPr>
                <w:rFonts w:ascii="Arial" w:cs="Arial" w:eastAsia="Arial" w:hAnsi="Arial"/>
                <w:sz w:val="18"/>
                <w:szCs w:val="18"/>
                <w:color w:val="auto"/>
              </w:rPr>
              <w:t>93,500</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104,000</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144,500</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144,500</w:t>
            </w:r>
          </w:p>
        </w:tc>
        <w:tc>
          <w:tcPr>
            <w:tcW w:w="780" w:type="dxa"/>
            <w:vAlign w:val="bottom"/>
          </w:tcPr>
          <w:p>
            <w:pPr>
              <w:jc w:val="right"/>
              <w:spacing w:after="0"/>
              <w:rPr>
                <w:sz w:val="20"/>
                <w:szCs w:val="20"/>
                <w:color w:val="auto"/>
              </w:rPr>
            </w:pPr>
            <w:r>
              <w:rPr>
                <w:rFonts w:ascii="Arial" w:cs="Arial" w:eastAsia="Arial" w:hAnsi="Arial"/>
                <w:sz w:val="18"/>
                <w:szCs w:val="18"/>
                <w:color w:val="auto"/>
              </w:rPr>
              <w:t>183,500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2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52,005</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140,482</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183,091</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211,125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243,263</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tables set forth certain quarterly financial information for each of the twelve quarters ending with the quarter ended December 31, 2014. This information was derived from our unaudited consolidated financial statements. Results for any quarter are not necessarily indicative of results for the past fiscal year or for any future quarter.</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$ 10,559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$10,581</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5,444</w:t>
            </w:r>
          </w:p>
        </w:tc>
        <w:tc>
          <w:tcPr>
            <w:tcW w:w="240" w:type="dxa"/>
            <w:vAlign w:val="bottom"/>
          </w:tcPr>
          <w:p>
            <w:pPr>
              <w:spacing w:after="0"/>
              <w:rPr>
                <w:sz w:val="18"/>
                <w:szCs w:val="18"/>
                <w:color w:val="auto"/>
              </w:rPr>
            </w:pPr>
          </w:p>
        </w:tc>
        <w:tc>
          <w:tcPr>
            <w:tcW w:w="1360" w:type="dxa"/>
            <w:vAlign w:val="bottom"/>
            <w:gridSpan w:val="5"/>
          </w:tcPr>
          <w:p>
            <w:pPr>
              <w:jc w:val="right"/>
              <w:ind w:right="460"/>
              <w:spacing w:after="0"/>
              <w:rPr>
                <w:sz w:val="20"/>
                <w:szCs w:val="20"/>
                <w:color w:val="auto"/>
              </w:rPr>
            </w:pPr>
            <w:r>
              <w:rPr>
                <w:rFonts w:ascii="Arial" w:cs="Arial" w:eastAsia="Arial" w:hAnsi="Arial"/>
                <w:sz w:val="18"/>
                <w:szCs w:val="18"/>
                <w:color w:val="auto"/>
              </w:rPr>
              <w:t>5,509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5,627</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6,701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2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3,428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5,301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0.40</w:t>
            </w:r>
          </w:p>
        </w:tc>
        <w:tc>
          <w:tcPr>
            <w:tcW w:w="1360" w:type="dxa"/>
            <w:vAlign w:val="bottom"/>
            <w:gridSpan w:val="5"/>
          </w:tcPr>
          <w:p>
            <w:pPr>
              <w:jc w:val="right"/>
              <w:ind w:right="460"/>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36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asset value per share at end of period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Pr>
          <w:p>
            <w:pPr>
              <w:spacing w:after="0"/>
              <w:rPr>
                <w:sz w:val="20"/>
                <w:szCs w:val="20"/>
                <w:color w:val="auto"/>
              </w:rPr>
            </w:pPr>
          </w:p>
        </w:tc>
        <w:tc>
          <w:tcPr>
            <w:tcW w:w="1360" w:type="dxa"/>
            <w:vAlign w:val="bottom"/>
            <w:gridSpan w:val="5"/>
          </w:tcPr>
          <w:p>
            <w:pPr>
              <w:jc w:val="right"/>
              <w:ind w:right="460"/>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r>
      <w:tr>
        <w:trPr>
          <w:trHeight w:val="355"/>
        </w:trPr>
        <w:tc>
          <w:tcPr>
            <w:tcW w:w="4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$10,476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4,923</w:t>
            </w:r>
          </w:p>
        </w:tc>
        <w:tc>
          <w:tcPr>
            <w:tcW w:w="240" w:type="dxa"/>
            <w:vAlign w:val="bottom"/>
          </w:tcPr>
          <w:p>
            <w:pPr>
              <w:spacing w:after="0"/>
              <w:rPr>
                <w:sz w:val="18"/>
                <w:szCs w:val="18"/>
                <w:color w:val="auto"/>
              </w:rPr>
            </w:pPr>
          </w:p>
        </w:tc>
        <w:tc>
          <w:tcPr>
            <w:tcW w:w="1360" w:type="dxa"/>
            <w:vAlign w:val="bottom"/>
            <w:gridSpan w:val="5"/>
          </w:tcPr>
          <w:p>
            <w:pPr>
              <w:jc w:val="right"/>
              <w:ind w:right="460"/>
              <w:spacing w:after="0"/>
              <w:rPr>
                <w:sz w:val="20"/>
                <w:szCs w:val="20"/>
                <w:color w:val="auto"/>
              </w:rPr>
            </w:pPr>
            <w:r>
              <w:rPr>
                <w:rFonts w:ascii="Arial" w:cs="Arial" w:eastAsia="Arial" w:hAnsi="Arial"/>
                <w:sz w:val="18"/>
                <w:szCs w:val="18"/>
                <w:color w:val="auto"/>
              </w:rPr>
              <w:t>3,164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5,274</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5,935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13,420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4,537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0.38</w:t>
            </w:r>
          </w:p>
        </w:tc>
        <w:tc>
          <w:tcPr>
            <w:tcW w:w="1360" w:type="dxa"/>
            <w:vAlign w:val="bottom"/>
            <w:gridSpan w:val="5"/>
          </w:tcPr>
          <w:p>
            <w:pPr>
              <w:jc w:val="right"/>
              <w:ind w:right="460"/>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136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asset value per share at end of period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240" w:type="dxa"/>
            <w:vAlign w:val="bottom"/>
          </w:tcPr>
          <w:p>
            <w:pPr>
              <w:spacing w:after="0"/>
              <w:rPr>
                <w:sz w:val="20"/>
                <w:szCs w:val="20"/>
                <w:color w:val="auto"/>
              </w:rPr>
            </w:pPr>
          </w:p>
        </w:tc>
        <w:tc>
          <w:tcPr>
            <w:tcW w:w="1360" w:type="dxa"/>
            <w:vAlign w:val="bottom"/>
            <w:gridSpan w:val="5"/>
          </w:tcPr>
          <w:p>
            <w:pPr>
              <w:jc w:val="right"/>
              <w:ind w:right="460"/>
              <w:spacing w:after="0"/>
              <w:rPr>
                <w:sz w:val="20"/>
                <w:szCs w:val="20"/>
                <w:color w:val="auto"/>
              </w:rPr>
            </w:pPr>
            <w:r>
              <w:rPr>
                <w:rFonts w:ascii="Arial" w:cs="Arial" w:eastAsia="Arial" w:hAnsi="Arial"/>
                <w:sz w:val="18"/>
                <w:szCs w:val="18"/>
                <w:color w:val="auto"/>
              </w:rPr>
              <w:t>16.06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r>
      <w:tr>
        <w:trPr>
          <w:trHeight w:val="355"/>
        </w:trPr>
        <w:tc>
          <w:tcPr>
            <w:tcW w:w="4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00" w:type="dxa"/>
            <w:vAlign w:val="bottom"/>
          </w:tcPr>
          <w:p>
            <w:pPr>
              <w:spacing w:after="0"/>
              <w:rPr>
                <w:sz w:val="14"/>
                <w:szCs w:val="14"/>
                <w:color w:val="auto"/>
              </w:rPr>
            </w:pPr>
          </w:p>
        </w:tc>
        <w:tc>
          <w:tcPr>
            <w:tcW w:w="19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7,596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$7,629</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3,621</w:t>
            </w: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3,351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4,002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3,519</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0.36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asset value per share at end of period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14.94</w:t>
            </w:r>
          </w:p>
        </w:tc>
        <w:tc>
          <w:tcPr>
            <w:tcW w:w="2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r>
      <w:tr>
        <w:trPr>
          <w:trHeight w:val="350"/>
        </w:trPr>
        <w:tc>
          <w:tcPr>
            <w:tcW w:w="4400" w:type="dxa"/>
            <w:vAlign w:val="bottom"/>
          </w:tcPr>
          <w:p>
            <w:pPr>
              <w:spacing w:after="0"/>
              <w:rPr>
                <w:sz w:val="24"/>
                <w:szCs w:val="24"/>
                <w:color w:val="auto"/>
              </w:rPr>
            </w:pPr>
          </w:p>
        </w:tc>
        <w:tc>
          <w:tcPr>
            <w:tcW w:w="1320" w:type="dxa"/>
            <w:vAlign w:val="bottom"/>
          </w:tcPr>
          <w:p>
            <w:pPr>
              <w:jc w:val="right"/>
              <w:ind w:right="239"/>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“Selected Consolidated Financial Data,” Fidus Investment Corporation’s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Fidus Investment Corporation was formed as a Maryland corporation on February 14, 2011. We completed our initial public offering, or IPO, in June 2011, and have completed additional underwritten public offerings of our common stock in September 2012, February 2013 and September 2014 providing approximately $140.5 million in net proceeds after deducting underwriting fees and offering costs.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June 20, 2011, Fidus Investment Corporation acquired all of the limited partnership interests of Fidus Mezzanine Capital, L.P., or Fund I, and membership interests of Fidus Mezzanine Capital GP, LLC, its general partner, through the Formation Transactions (as defined in Note 1 to the consolidated financial statements), resulting in Fund I becoming our wholly-owned SBIC subsidiary. Immediately following the Formation Transactions,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Fund I and Fund II are collectively referred to as the “Funds.”</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Fund I received its SBIC license on October 22, 2007 and Fund II received its SBIC license on May 28, 2013.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 Based on the current capitalization of the Funds, we have approximately $51.5 million of remaining borrowing capacity under the SBIC Debenture Program and intend to fully utilize such capacity over the ensuing 12-24 months.</w:t>
      </w:r>
    </w:p>
    <w:p>
      <w:pPr>
        <w:spacing w:after="0" w:line="15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August 2014, we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 million (the “ATM Program”). During the period from August 21, 2014 through December 31, 2014, 158,353 shares of our common stock were sold at an average offering price of $18.51 per share resulting in net proceeds of $2.9 million after commissions to the sales agent on shares sold and offering costs of $0.1 million. We intend to continue utilizing our ATM Program for capital to fund additional investments during 2015.</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September 30, 2014, the Company issued 2,000,000 shares in a follow-on public offering at an offering price of $17.00 per share. On October 21, 2014, the Company issued an additional 83,414 shares to the underwriters pursuant to their exercise of the over-allotment option. Such share issuances resulted in net proceeds of $33.7 million, after deducting underwriting fees and commissions and offering costs totaling $1.7 million. The net proceeds from this offering were available to fund additional investments.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76" w:lineRule="exact"/>
        <w:rPr>
          <w:sz w:val="20"/>
          <w:szCs w:val="20"/>
          <w:color w:val="auto"/>
        </w:rPr>
      </w:pPr>
    </w:p>
    <w:p>
      <w:pPr>
        <w:ind w:left="900" w:right="7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investment committee of our investment advisor;</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provide an independent appraisal for each of our investments at least once in every calendar year, and for new portfolio companies, at least once in the twelve-month period subsequent to the initial investment;</w:t>
      </w:r>
    </w:p>
    <w:p>
      <w:pPr>
        <w:spacing w:after="0" w:line="29"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advisor, the independent valuation firm(s) and the audit committee.</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perform detailed valuations of our debt and equity investments,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our debt investments, including senior secured loans and subordinated notes,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loan agreements. We determine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estimated remaining life; the nature and realizable value of any collateral;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loans to maturity. However, if we have information available to us that the loan is expected to be repaid in the near term, we would use an estimated remaining life based on the expected repayment date.</w:t>
      </w:r>
    </w:p>
    <w:p>
      <w:pPr>
        <w:spacing w:after="0" w:line="17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cash flows,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prices paid in comparable transactions, applicable market yields and leverage levels, the nature and realizable value of any collateral, the markets in which the portfolio company does business, and comparisons of financial ratios of peer companies that are public. Where applicable, we consider our ability to influence the capital structure of the portfolio company, as well as the timing of a potential exit.</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prices paid in comparable transactions, applicable market yields and leverage levels, the markets in which the portfolio company does business, and comparisons of financial ratios of peer companies that are public.</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calculated as the difference between the net proceeds from the sale or disposition and the cost basis of the investment, without regard to unrealized appreciation or depreciation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previously recognized. Changes in the fair value of investments from the prior period, as determined by our board of directors through the application of our valuation policy, are included as net change in unrealized appreciation (depreciation) on investments in the consolidated statements of operations.</w:t>
      </w:r>
    </w:p>
    <w:p>
      <w:pPr>
        <w:spacing w:after="0" w:line="12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is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and dividend income is accrued daily based on the outstanding principal amount and the contractual terms of the debt or preferred equity investment. Dividend income is recorded on the declaration date or at the point an obligation exists for the portfolio company to make a distribution. Distributions from portfolio companies are evaluated to determine if the distribution is a distribution of earnings or a return of capital.</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 xml:space="preserve">Payment-in-kind interest. </w:t>
      </w:r>
      <w:r>
        <w:rPr>
          <w:rFonts w:ascii="Arial" w:cs="Arial" w:eastAsia="Arial" w:hAnsi="Arial"/>
          <w:sz w:val="16"/>
          <w:szCs w:val="16"/>
          <w:color w:val="auto"/>
        </w:rPr>
        <w:t>We have investments in our portfolio that contain a PIK income provision. The PIK income, computed at the contractual rate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applicable investment agreement, is added to the principal balance of the investment, rather than being paid in cash, and recorded as interest or dividend income on the consolidated statements of operations. Generally, PIK can be paid-in-kind or all in cash. We stop accruing PIK income when it is determined that PIK income is no longer collectible. In addition, to maintain our status as a RIC and to avoid paying corporate federal income tax, substantially all of this income must be paid out to stockholders in the form of distributions, even though we have not yet collected the cash. We may have difficulty paying our required distributions if we recognize income before, or without, receiving cash representing such income.</w:t>
      </w:r>
    </w:p>
    <w:p>
      <w:pPr>
        <w:spacing w:after="0" w:line="16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Loans or preferred equity investments are placed on non-accrual status and we will generally cease recognizing interest or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when principal, interest or dividend payments become materially past due, or when there is reasonable doubt that principal, interest or dividends will be collected. Interest payments received on non-accrual investments may be recognized as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88"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In connection with our debt investments, we will sometimes receive warrants or other equity-related securities, or Warrants. We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are treated as original issue discount, or OID, and accreted into interest income using the effective interest method over the term of the investment.</w:t>
      </w:r>
    </w:p>
    <w:p>
      <w:pPr>
        <w:spacing w:after="0" w:line="15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Fee income. </w:t>
      </w:r>
      <w:r>
        <w:rPr>
          <w:rFonts w:ascii="Arial" w:cs="Arial" w:eastAsia="Arial" w:hAnsi="Arial"/>
          <w:sz w:val="16"/>
          <w:szCs w:val="16"/>
          <w:color w:val="auto"/>
        </w:rPr>
        <w:t>All transaction fees earned in connection with our investments are recognized as fee income. Such fees typically include fees for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structuring and advisory services, provided to portfolio companies. We recognize income from fees for providing such structuring and advisory services when the services are rendered or the transactions are completed. Upon the prepayment of a loan or debt security, any prepayment penalties are recorded as fee income when earned. Prior to the Formation Transactions, and in accordance with the prior limited partnership agreement, we historically recorded transaction fees provided in connection with our investments as a direct offset to management fee expense. We also typically receive upfront loan origination or closing fees in connection with investments. Such upfront loan origination and closing fees are capitalized as unearned income offset against investment cost basis on our consolidated statements of assets and liabilities and accreted into income over the life of the investment.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During year ended December 31, 2014, we invested $149.8 million in debt and equity investments, including 12 new portfolio companies. These investments consisted of subordinated notes ($103.7 million, or 69.2%), senior secured loans ($33.1 million, or 22.1%), equity securities ($12.2 million, or</w:t>
      </w:r>
    </w:p>
    <w:p>
      <w:pPr>
        <w:spacing w:after="0" w:line="253" w:lineRule="auto"/>
        <w:rPr>
          <w:sz w:val="20"/>
          <w:szCs w:val="20"/>
          <w:color w:val="auto"/>
        </w:rPr>
      </w:pPr>
      <w:r>
        <w:rPr>
          <w:rFonts w:ascii="Arial" w:cs="Arial" w:eastAsia="Arial" w:hAnsi="Arial"/>
          <w:sz w:val="18"/>
          <w:szCs w:val="18"/>
          <w:color w:val="auto"/>
        </w:rPr>
        <w:t>8.1%), and warrants ($0.8 million, or 0.6%). During the year ended December 31, 2014 we received proceeds from sales or repayments, including principal, return of capital dividends and net realized gains (losses), of $62.6 million. During the year ended December 31, 2013, we invested $149.1 million in debt and equity investments, including nine new portfolio companies. These investments consisted of subordinated notes ($111.5 million, or 74.8%), senior secured loans ($22.7 million, or 15.2%), equity securities ($14.7 million, or 9.9%) and warrants ($0.2 million, or 0.1%). During the year ended December 31, 2013 we received proceeds from repayments of principal, including return of capital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dividends and realized gains, of $131.2 million. During the year ended December 31, 2012, we invested $85.5 million in debt and equity investments, including nine new portfolio companies. These investments consisted of subordinated notes ($49.6 million, or 58.0%), senior secured loans ($26.1 million, or 30.5%), equity securities ($6.3 million, or 7.4%) and warrants ($3.5 million, or 4.1%). During the year ended December 31, 2012, we received proceeds from repayments of principal, including return of capital dividends and realized gains, of $25.2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the fair value of our investment portfolio totaled $396.4 million and consisted of 42 portfolio companies.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our debt portfolio was entirely comprised of fixed rate investments. Overall, the portfolio had net unrealized appreciation of $5.0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Our average portfolio company investment at amortized cost was $9.3 million as of December 31, 2014.</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fair value of our investment portfolio totaled $307.0 million and consisted of 37 portfolio companies.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our debt portfolio was entirely comprised of fixed rate investments. Overall, the portfolio had net unrealized depreciation of $8.2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Our average portfolio company investment at amortized cost was $8.5 million as of December 31, 2013.</w:t>
      </w:r>
    </w:p>
    <w:p>
      <w:pPr>
        <w:spacing w:after="0" w:line="211"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As of December 31, 2012, the fair value of our investment portfolio totaled $274.2 million and consisted of 30 portfolio companies. As of December 31, 2012, our debt portfolio was entirely comprised of fixed rate investments. Overall, the portfolio had net unrealized appreciation of $14.0 million as of December 31, 2012. Our average portfolio company investment at amortized cost was $8.7 million as of December 31, 2012.</w:t>
      </w:r>
    </w:p>
    <w:p>
      <w:pPr>
        <w:spacing w:after="0" w:line="16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weighted average yields on debt investments at December 31, 2014, 2013 and 2012 were 13.4%, 14.5% and 15.3%, respectively. The weighted average yields were computed using the effective interest rates for debt investments at cost as of December 31, 2014, 2013 and 2012, respectively, including the accretion of original issue discount and loan origination fees, but excluding investments on non-accrual status, if 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portfolio composition by investment type at fair value and cost as a percentage of total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8"/>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6"/>
              </w:rPr>
              <w:t>Cost</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980" w:type="dxa"/>
            <w:vAlign w:val="bottom"/>
            <w:tcBorders>
              <w:bottom w:val="single" w:sz="8" w:color="auto"/>
            </w:tcBorders>
            <w:gridSpan w:val="6"/>
          </w:tcPr>
          <w:p>
            <w:pPr>
              <w:jc w:val="right"/>
              <w:ind w:right="313"/>
              <w:spacing w:after="0" w:line="142" w:lineRule="exact"/>
              <w:rPr>
                <w:sz w:val="20"/>
                <w:szCs w:val="20"/>
                <w:color w:val="auto"/>
              </w:rPr>
            </w:pPr>
            <w:r>
              <w:rPr>
                <w:rFonts w:ascii="Arial" w:cs="Arial" w:eastAsia="Arial" w:hAnsi="Arial"/>
                <w:sz w:val="14"/>
                <w:szCs w:val="14"/>
                <w:b w:val="1"/>
                <w:bCs w:val="1"/>
                <w:color w:val="auto"/>
              </w:rPr>
              <w:t>As of December 31,</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Senior secured loans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18.7</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17.4</w:t>
            </w: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Warrants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Royalty rights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6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-179705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-25400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-8255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9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shows the portfolio composition by geographic region at fair value and cost as a percentage of total investments.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6"/>
              </w:rPr>
              <w:t>Cost</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0" w:type="dxa"/>
            <w:vAlign w:val="bottom"/>
            <w:tcBorders>
              <w:bottom w:val="single" w:sz="8" w:color="auto"/>
            </w:tcBorders>
            <w:gridSpan w:val="5"/>
          </w:tcPr>
          <w:p>
            <w:pPr>
              <w:jc w:val="center"/>
              <w:ind w:left="337"/>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3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Southeast</w:t>
            </w:r>
          </w:p>
        </w:tc>
        <w:tc>
          <w:tcPr>
            <w:tcW w:w="3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Midwest</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23.9</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21.9</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4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24.9</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Northeast</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16.9</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19.4</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18.9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3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9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15.9</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6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362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100.0%</w:t>
            </w:r>
          </w:p>
        </w:tc>
        <w:tc>
          <w:tcPr>
            <w:tcW w:w="12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620" w:type="dxa"/>
            <w:vAlign w:val="bottom"/>
            <w:vMerge w:val="restart"/>
          </w:tcPr>
          <w:p>
            <w:pPr>
              <w:jc w:val="right"/>
              <w:ind w:right="830"/>
              <w:spacing w:after="0"/>
              <w:rPr>
                <w:sz w:val="20"/>
                <w:szCs w:val="20"/>
                <w:color w:val="auto"/>
              </w:rPr>
            </w:pPr>
            <w:r>
              <w:rPr>
                <w:rFonts w:ascii="Arial" w:cs="Arial" w:eastAsia="Arial" w:hAnsi="Arial"/>
                <w:sz w:val="18"/>
                <w:szCs w:val="18"/>
                <w:color w:val="auto"/>
              </w:rPr>
              <w:t>-47-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-419735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-265430</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-248285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detailed industry composition of our portfolio at fair value and cost as a percentage of total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As of December 31,</w:t>
            </w:r>
          </w:p>
        </w:tc>
        <w:tc>
          <w:tcPr>
            <w:tcW w:w="4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As of December 31,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Healthcare products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8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Healthcare services</w:t>
            </w:r>
          </w:p>
        </w:tc>
        <w:tc>
          <w:tcPr>
            <w:tcW w:w="680" w:type="dxa"/>
            <w:vAlign w:val="bottom"/>
            <w:gridSpan w:val="2"/>
          </w:tcPr>
          <w:p>
            <w:pPr>
              <w:jc w:val="right"/>
              <w:ind w:right="148"/>
              <w:spacing w:after="0"/>
              <w:rPr>
                <w:sz w:val="20"/>
                <w:szCs w:val="20"/>
                <w:color w:val="auto"/>
              </w:rPr>
            </w:pPr>
            <w:r>
              <w:rPr>
                <w:rFonts w:ascii="Arial" w:cs="Arial" w:eastAsia="Arial" w:hAnsi="Arial"/>
                <w:sz w:val="18"/>
                <w:szCs w:val="18"/>
                <w:color w:val="auto"/>
              </w:rPr>
              <w:t>10.3</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10.6</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12.8</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10.8</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10.3</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9.3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Aerospace &amp; defense manufacturing</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11.0</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8.6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6.9</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8.8</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Consumer products</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3.7</w:t>
            </w:r>
          </w:p>
        </w:tc>
        <w:tc>
          <w:tcPr>
            <w:tcW w:w="8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5.6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Components manufacturing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Industrial cleaning &amp; coatings</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4.9</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4.2</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11.2</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Financial services</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3.4</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Business services</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Safety products manufacturing</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Printing services</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3.3</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Specialty chemicals</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5.9</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Apparel distribution</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Laundry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Retail cleaning</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Specialty cracker manufacturing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Electronic components supplier</w:t>
            </w: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3.6</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4.6</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0.4</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6.2</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Commercial cleaning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Debt collection services</w:t>
            </w:r>
          </w:p>
        </w:tc>
        <w:tc>
          <w:tcPr>
            <w:tcW w:w="6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Industrial products</w:t>
            </w: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Furniture rental</w:t>
            </w:r>
          </w:p>
        </w:tc>
        <w:tc>
          <w:tcPr>
            <w:tcW w:w="6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Movie theaters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5.4</w:t>
            </w:r>
          </w:p>
        </w:tc>
        <w:tc>
          <w:tcPr>
            <w:tcW w:w="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100.0%</w:t>
            </w:r>
          </w:p>
        </w:tc>
        <w:tc>
          <w:tcPr>
            <w:tcW w:w="180" w:type="dxa"/>
            <w:vAlign w:val="bottom"/>
            <w:vMerge w:val="continue"/>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100.0%</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100.0%</w:t>
            </w:r>
          </w:p>
        </w:tc>
        <w:tc>
          <w:tcPr>
            <w:tcW w:w="840" w:type="dxa"/>
            <w:vAlign w:val="bottom"/>
            <w:gridSpan w:val="2"/>
          </w:tcPr>
          <w:p>
            <w:pPr>
              <w:jc w:val="right"/>
              <w:ind w:right="168"/>
              <w:spacing w:after="0"/>
              <w:rPr>
                <w:sz w:val="20"/>
                <w:szCs w:val="20"/>
                <w:color w:val="auto"/>
              </w:rPr>
            </w:pPr>
            <w:r>
              <w:rPr>
                <w:rFonts w:ascii="Arial" w:cs="Arial" w:eastAsia="Arial" w:hAnsi="Arial"/>
                <w:sz w:val="18"/>
                <w:szCs w:val="18"/>
                <w:color w:val="auto"/>
                <w:w w:val="94"/>
              </w:rPr>
              <w:t>100.0%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900" w:right="3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and the trends and risk factors are favorable, and may include an expected capital gain.</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6"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Rating 4 is used for investments performing materially below expectations and the risk has increased materially since origination. The portfolio company has the potential for some loss of investment return, but we expect no loss of principal.</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as of December 31, 2014,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December 31, 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Pr>
          <w:p>
            <w:pPr>
              <w:spacing w:after="0"/>
              <w:rPr>
                <w:sz w:val="14"/>
                <w:szCs w:val="14"/>
                <w:color w:val="auto"/>
              </w:rPr>
            </w:pPr>
          </w:p>
        </w:tc>
        <w:tc>
          <w:tcPr>
            <w:tcW w:w="16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December 31,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w:t>
            </w:r>
          </w:p>
        </w:tc>
        <w:tc>
          <w:tcPr>
            <w:tcW w:w="38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at Fair</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of 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at Fair</w:t>
            </w: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Total</w:t>
            </w:r>
          </w:p>
        </w:tc>
        <w:tc>
          <w:tcPr>
            <w:tcW w:w="12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at Fair</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Rating</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49,499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44,572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25,480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297,024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229,113</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225,086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3</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48,814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30,322</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23,683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5</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2,974</w:t>
            </w:r>
          </w:p>
        </w:tc>
        <w:tc>
          <w:tcPr>
            <w:tcW w:w="3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396,355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306,981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274,249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upon our investment rating system, the weighted average rating of our portfolio as of each December 31, 2014, 2013 and 2012 was 2.0.</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December 31, 2014 and 2012, we had no investments on non-accrual status. As of December 31, 2013, we had debt investments in one portfolio company on non-accrual status, which had a cost and fair value of $7.3 million and $3.0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fiscal years ended December 31, 2014 and December 31,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 ended December 31, 2014, total investment income was $46.1 million, an increase of $4.3 million, or 10.3%, over the $41.8 million of total investment income for the year ended December 31, 2013. The increase was primarily attributable to a $2.6 million increase in interest income resulting largely from higher average levels of debt investments outstanding and a $1.5 million increase in fee income from investments during the year ended December 31, 2014, as compared to the year ended December 31, 2013.</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For the year ended December 31, 2014, total expenses, including income tax provision, were $22.8 million, an increase of $0.3 million or 1.5%, over the $22.5 million of total expenses, including income tax provision, for the year ended December 31, 2013. Interest and financing expenses for the year ended December 31, 2014 were $7.5 million, an increase of $0.4 million or 6.1%, compared to $7.1 million for the year ended December 31, 2013 as a result of higher average balances of SBA debentures outstanding during 2014 and interest and commitment fees related to the Credit Facility. The base management fee increased $0.6 million, or 12.1%, to $5.9 million for the year ended December 31, 2014 due to higher average total assets less cash and cash equivalents for the year ended December 31, 2014 than the comparable period in 2013. The incentive fee for the year ended December 31, 2014 was $4.9 million, a $1.9 million, or 28.5%, decrease from the $6.8 million incentive fee for the year ended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December 31, 2013 which was primarily the result of a capital gains incentive fee reversal of $0.7 million during the 2014 period compared to a capital gains incentive fee accrual of $1.6 million during the same period in 2013, which was partially offset by a $0.4 million increase in the income incentive fee. The administrative service fee, professional fees and other general and administrative expenses increased $1.1 million, or 34.2%, to $4.2 million primarily due to increased personnel costs and professional fees.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investment income for the year ended December 31, 2014 was $23.3 million, which was an increase of $4.0 million, or 20.7%, compared to net investment income of $19.3 million during the year ended December 31, 2013 as a result of the $4.3 million increase in total investment income and the $0.3 million increase in total expenses, including income tax provision.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the year ended December 31, 2014, net realized losses on investments were $17.0 million resulting from realized losses on investments in one non-control/non-affiliate portfolio company and one affiliate portfolio company, which were partially offset by realized gains on investments in six non-control/non-affiliate portfolio companies and one affiliate portfolio company. For the year ended December 31, 2013, the total realized gain on investments was $30.6 million, which consisted of realized gains on investments in a control portfolio company and realized gains on investments in five non-control/non-affiliate portfolio companies.</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During the year ended December 31, 2014, we recorded a net change in unrealized appreciation on investments of $13.3 million attributable to (i) the reversal of net unrealized depreciation on investments of $11.0 million related to the exit or sale of investments, resulting in unrealized appreciation, (ii) net unrealized depreciation of $0.8 million on debt investments and (iii) net unrealized appreciation of $3.1 million on equity investments. During the year ended December 31, 2013, we recorded net unrealized depreciation of $22.2 million attributable to (i) the reversal of net unrealized appreciation on investments of $14.6 million related to the exit or sale of investments, resulting in unrealized depreciation, (ii) net unrealized depreciation of $6.8 million on debt investments and (iii) net unrealized depreciation of $0.8 million on equity investments.</w:t>
      </w:r>
    </w:p>
    <w:p>
      <w:pPr>
        <w:spacing w:after="0" w:line="178"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As a result of these events, our net increase in net assets resulting from operations during the year ended December 31, 2014 was $19.5 million, or a decrease of $7.7 million, or 28.4%, compared to a net increase in net assets resulting from operations of $27.2 million during the prior year period.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years ended December 31, 2013 and December 31, 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 ended December, 2013, total investment income was $41.8 million, an increase of $7.9 million, or 23.5%, over the $33.8 million of total investment income for the year ended December 31, 2012. The increase was primarily attributable to a $6.5 million increase in interest income and a $0.7 million increase in fee income from investments and $0.7 million increase in dividend income. The $6.5 million increase in interest income is primarily due to higher average levels of portfolio debt investments outstanding during year ended December 31, 2013, as compared to the year ended December 31, 2012. The fee income increase of $0.7 million is the result of an increase in the activity and size of the investment portfolio during the year ended December 31, 2013 compared to the prior year. The increase in dividend income is primarily attributable to higher levels of dividend producing investments and higher distributions from our portfolio companies in 2013 compared to 2012.</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For the year ended December 31, 2013, total expenses, including income tax provision, were $22.5 million, an increase of $4.3 million or 23.9%, over the $18.2 million of total expenses for the year ended December 31, 2012. The base management fee increased $1.0 million, or 24.2%, due to higher average total assets less cash and cash equivalents for the year ended December 31, 2013 than the comparable period in 2012. In addition, the income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incentive fee increased $1.1 million, or 27.3%, to $5.2 million for the year ended December 31, 2013 over the comparable period in 2012. The capital gains incentive fee increased $0.8 million, or 112.2%, to $1.6 million for the year ended December 31, 2013 compared to $0.7 million for the year ended December 31, 2012 primarily due to a $4.2 million increase in net gain on investments. Interest expense increased $0.7 million due to higher average balances of SBA debentures outstanding during the year ended December 31, 2013 compared to the year ended December 31, 2012. In additional, the income tax provision increased $0.2 million given the higher levels of excise tax recorded for the year ended December 31, 2013 than the year ended December 31, 2012.</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Net investment income for the year ended December 31, 2013 was $19.3 million, which was an increase of $3.6 million, or 23.0%, compared to net investment income of $15.7 million during the year ended December 31, 2012 as a result of the $7.9 million increase in total investment income as compared to the $4.3 million increase in total expenses.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For the year ended December 31, 2013, the total realized gain on investments was $30.6 million, which consisted of realized gains on three investments in a control portfolio company and 10 investments in five non-control/non-affiliate portfolio companies. For the year ended December 31, 2012, the total realized gain on investments was $2.0 million, which consisted of realized gains on three investments in two non-control/non-affiliate portfolio companies.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During the year ended December 31, 2013, we recorded a net change in unrealized depreciation on investments of $22.2 million attributable to (i) the reversal of net unrealized appreciation on investments of $14.6 million related to the exit or sale of investments, resulting in unrealized depreciation, (ii) net unrealized depreciation of $6.8 million on debt investments and (iii) net unrealized depreciation of $0.8 million on equity investments. During the year ended December 31, 2012, we recorded net unrealized appreciation on investments of $1.7 million comprised of net unrealized appreciation of $1.8 million on equity investments and net unrealized depreciation of $0.1 million on debt investments.</w:t>
      </w:r>
    </w:p>
    <w:p>
      <w:pPr>
        <w:spacing w:after="0" w:line="173"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In addition, income tax (provision) on realized gains on investments increased $0.5 million due to higher excise tax and U.S. federal income tax accruals related to realized gains on investments at our Taxable Subsidiaries for the year ended December 31, 2013 compared to the prior year.</w:t>
      </w:r>
    </w:p>
    <w:p>
      <w:pPr>
        <w:spacing w:after="0" w:line="124"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As a result of these events, our net increase in net assets resulting from operations during the year ended December 31, 2013 was $27.2 million, or an increase of $7.8 million, or 40.1%, compared to a net increase in net assets resulting from operations of $19.4 million during the prior year.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of December 31, 2014, we had $29.3 million in cash and cash equivalents and our net assets totaled $243.3 million. We believe that our current cash and cash equivalents on hand, our continued access to SBA-guaranteed debentures, our Credit Facility and our anticipated cash flows from operations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For the year ended December 31, 2014, we experienced a net decrease in cash and cash equivalents in the amount of $24.1 million. During that period, we used $71.3 million of cash for operating activities, primarily for the funding of $149.8 million of investments, which was partially offset by the proceeds from sales and repayments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investments of $62.6 million. During the same period, we generated $47.2 million from financing activities resulting from proceeds received from stock offerings, net of expenses, of $36.5 million, proceeds from the issuance of SBA debentures of $29.0 million and borrowings under the Credit Facility of $10.0 million, which were partially offset by cash dividends paid to stockholders of $23.9 million, a $2.9 million payment for taxes paid on behalf of the stockholders related to the 2013 deemed distribution and payments of financing costs totaling $1.6 million.</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the year ended December 31, 2013, we experienced a net increase in cash and cash equivalents in the amount of $1.4 million. During that period, we used $2.1 million of cash for operating activities, primarily for the funding of $149.1 million of investments, which was partially offset by $131.2 million of repayments and sales proceeds received. During the same period, we generated $3.5 million from financing activities, consisting primarily of proceeds from a follow-on equity offering of $28.9 million, net of expenses, which was partially offset by cash dividends paid to stockholders of $25.1 million and the payment of deferred financing costs of $0.3 million.</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For the year ended December 31, 2012, we experienced a net increase in cash and cash equivalents in the amount of $13.0 million. During that period, we used $49.5 million of cash for operating activities, primarily for the funding of $85.5 million of investments, partially offset by $25.2 million of repayments and sales proceeds received and $15.7 million of net investment income. During the same period, we generated $62.5 million from financing activities, consisting primarily of proceeds from a follow-on equity offering of $38.0 million, net of expenses and proceeds from SBA debentures of $40.5 million. These increases were partially offset by cash dividends paid to stockholders of $14.8 million and financing fees paid of $1.2 million.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fund our investment activities on a long-term basis through a combination of additional debt and equity capital.</w:t>
      </w:r>
    </w:p>
    <w:p>
      <w:pPr>
        <w:spacing w:after="0" w:line="24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200.0% of an SBIC’s regulatory capital or $150.0 million, whichever is less. For two or more SBICs under common control, the maximum amount of outstanding SBA debentures cannot exceed $225.0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2014, Fund I had $150.0 million of outstanding SBA debentures. Based on its $75.0 million of regulatory capital as of December 31, 2014, Fund I cannot issue additional SBA debentures. As of December 31, 2014, Fund II had $23.5 million of outstanding SBA debentures. Based on its $37.5 million of regulatory capital as of December 31, 2014, Fund II has the current capacity to issue up to an additional $51.5 million of SBA debentures. For more information on the SBA debentures, please see Note 6 to our consolidated financial statements.</w:t>
      </w:r>
    </w:p>
    <w:p>
      <w:pPr>
        <w:spacing w:after="0" w:line="169"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In June 2014, we entered the Credit Facility to provide additional funding for our investment and operational activities. The Credit Facility, which matures on June 16, 2018, had an initial commitment of $30.0 million and an accordion feature that allows for an increase in the total commitments up to $75.0 million, subject to certain customary conditions. The Credit Facility is secured primarily by our assets, excluding the assets of the Funds.</w:t>
      </w:r>
    </w:p>
    <w:p>
      <w:pPr>
        <w:spacing w:after="0" w:line="147"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On December 19, 2014, FIC amended the Credit Facility to (i) increase the commitment from $30.0 million to $50.0 million until certain financial conditions are met and (ii) allow FIC to buy-back up to $10.0 million of our common stock subject to the satisfaction of specified financial covenants and conditions. The Credit Facility continues to have an accordion feature which allows for an increase in the total commitment up to $75.0 million.</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Borrowings under the Credit Facility are subject to a minimum borrowing/collateral base that applies an advance rate to certain portfolio investments. We are subject to additional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Borrowings under the Credit Facility bear interest, subject to our election, on a per annum basis equal to (i) the alternate base rate plus 2.5% or (ii) the applicable LIBOR rate plus 3.5%. The alternate base rate is equal to the greater of (i) prime rate, (ii) the federal funds rate plus 0.5% or (iii) the three-month LIBOR rate plus 1.0%. We pay a commitment fee ranging from 0.5% to 1.0% per annum on undrawn amounts.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2014, the weighted average interest rate for all SBA debentures and borrowings outstanding under the Credit Facility was 4.0%.</w:t>
      </w:r>
    </w:p>
    <w:p>
      <w:pPr>
        <w:spacing w:after="0" w:line="24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made customary representations and warranties and are required to comply with various affirmative, negative and financial covenants, reporting requirements and other customary requirements for similar credit facilities. These covenants are subject to important limitations and exceptions that are described in the documents governing the Credit Facility. As of December 31, 2014, we are in compliance with all covenants of the Credit Facility and there was $10.0 million outstanding under the Credit Facility.</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As a BDC, we are generally required to meet a coverage ratio of total assets to total senior securities, which include borrowings and any preferred stock we may issue in the future, of at least 200.0%. This requirement limits the amount that we may borrow. We have received exemptive relief from the Securities and Exchange Commission, or the SEC, to allow us to exclude any indebtedness guaranteed by the SBA and issued by the Funds from the 200.0% asset coverage requirements, which, in turn, will enable us to fund more investments with debt capital.</w:t>
      </w:r>
    </w:p>
    <w:p>
      <w:pPr>
        <w:spacing w:after="0" w:line="17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4, 2014, our stockholders voted to allow us to sell or otherwise issue common stock at a price below net asset value per share for a period of one year ending on the earlier of June 4, 2015 or the date of our 2015 Annual Meeting of Stockholders. We expect to present to our stockholders a similar proposal at our 2015 Annual Meeting of Stockholders. Our stockholders specified that the cumulative number of shares sold in each offering during the one-year period ending on the earlier of June 4, 2015 or the date of our 2015 Annual Meeting of Stockholders may not exceed 25.0% of our outstanding common stock immediately prior to each such sale.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Current Market Conditions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Though global credit and other financial market conditions have improved and stability has increased throughout the international financial system, the uncertainty surrounding the United States’ rapidly increasing national debt and continuing global economic malaise have kept markets volatile. These unstable conditions could continue for a prolonged period of time. Although we have been able to secure access to additional liquidity, including our follow-on stock offerings, the ATM Program and leverage available through the SBIC program and Credit Facility, there is no assurance that debt or equity capital will be available to us in the future on favorable terms, or at all.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 xml:space="preserve">In June 2013, the Financial Accounting Standards Board (“FASB”) issued Accounting Standards Update (“ASU”) 2013-08,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(Topic 946) Amendments to the Scope, Measurement and Disclosure Requirements (“ASU 2013-08”), </w:t>
      </w:r>
      <w:r>
        <w:rPr>
          <w:rFonts w:ascii="Arial" w:cs="Arial" w:eastAsia="Arial" w:hAnsi="Arial"/>
          <w:sz w:val="17"/>
          <w:szCs w:val="17"/>
          <w:color w:val="auto"/>
        </w:rPr>
        <w:t>containing new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assessing whether an entity is an investment company, requiring noncontolling ownership interest in investment companies to be measured at fair value and requiring certain additional disclosures. This guidance is effective for annual and interim periods beginning on or after December 15, 2013. The adoption of ASU 2013-08 did not have a material impact on our consolidated financial statements or disclosures.</w:t>
      </w:r>
    </w:p>
    <w:p>
      <w:pPr>
        <w:spacing w:after="0" w:line="173"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We are currently evaluating the impact this ASU will have on our consolidated financial position or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February 2015, the FASB issued ASU 2015-02, Consolidation: Amendments to the Consolidation Analysis, which amends the criteria for determining which entities are considered variable interest entities (“VIEs”), amends the criteria for determining if a service provider possesses a variable interest in a VIE and ends the deferral granted to investment companies for application of the VIE consolidation model. This guidance is effective for annual and interim reporting periods of public entities beginning after December 15, 2015 and early adoption is permitted. We are currently evaluating the impact this ASU will have on our consolidated financial position or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may be a party to financial instruments with off-balance sheet risk in the normal course of business to meet the financial needs of our portfolio companies. As of December 31, 2014, we had off-balance sheet arrangements consisting of five unfunded revolving loan commitments totaling $4.1 million to portfolio companies and two unfunded loan commitment totaling $5.4 million to a portfolio company. As of December 31, 2013, we had off-balance sheet arrangements consisting of two unfunded revolving loan commitments totaling $1.5 million, two unfunded loan commitments totaling $4.6 million to portfolio companies, and one unfunded capital commitment of $0.3 million related to a portfolio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our future fixed commitments for cash payments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2016 to</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 to</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2020 and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7"/>
          </w:tcPr>
          <w:p>
            <w:pPr>
              <w:jc w:val="right"/>
              <w:ind w:right="660"/>
              <w:spacing w:after="0" w:line="142" w:lineRule="exact"/>
              <w:rPr>
                <w:sz w:val="20"/>
                <w:szCs w:val="20"/>
                <w:color w:val="auto"/>
              </w:rPr>
            </w:pPr>
            <w:r>
              <w:rPr>
                <w:rFonts w:ascii="Arial" w:cs="Arial" w:eastAsia="Arial" w:hAnsi="Arial"/>
                <w:sz w:val="14"/>
                <w:szCs w:val="14"/>
                <w:i w:val="1"/>
                <w:iCs w:val="1"/>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$66,450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due on SBA debentures</w:t>
            </w:r>
          </w:p>
        </w:tc>
        <w:tc>
          <w:tcPr>
            <w:tcW w:w="2860" w:type="dxa"/>
            <w:vAlign w:val="bottom"/>
            <w:gridSpan w:val="3"/>
          </w:tcPr>
          <w:p>
            <w:pPr>
              <w:jc w:val="right"/>
              <w:ind w:right="160"/>
              <w:spacing w:after="0"/>
              <w:rPr>
                <w:sz w:val="20"/>
                <w:szCs w:val="20"/>
                <w:color w:val="auto"/>
              </w:rPr>
            </w:pPr>
            <w:r>
              <w:rPr>
                <w:rFonts w:ascii="Arial" w:cs="Arial" w:eastAsia="Arial" w:hAnsi="Arial"/>
                <w:sz w:val="18"/>
                <w:szCs w:val="18"/>
                <w:color w:val="auto"/>
              </w:rPr>
              <w:t>34,910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6,747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13,247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9,624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borrowings</w:t>
            </w:r>
          </w:p>
        </w:tc>
        <w:tc>
          <w:tcPr>
            <w:tcW w:w="2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and fees due on Credit Facility</w:t>
            </w:r>
            <w:r>
              <w:rPr>
                <w:rFonts w:ascii="Arial" w:cs="Arial" w:eastAsia="Arial" w:hAnsi="Arial"/>
                <w:sz w:val="15"/>
                <w:szCs w:val="15"/>
                <w:color w:val="auto"/>
              </w:rPr>
              <w:t>(1)</w:t>
            </w:r>
          </w:p>
        </w:tc>
        <w:tc>
          <w:tcPr>
            <w:tcW w:w="2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1,124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1,651</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221,542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7,871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14,898</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86,431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112,342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8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Amounts represent (i) commitment fees on the unused portion of Credit Facility calculated at a rate of 1.0% of the unused amount as of December 31, 2014, which was $40.0 million, (ii) interest expense calculated at a rate of 3.688% of outstanding borrowings under the Credit Facility as of December 31, 2014, which were $10.0 million and (iii) annual agency fees due to the Credit Facility administrative agent.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certain contracts under which we have material future commitments. We entered into the Investment Advisory Agreement with our investment advisor in accordance with the 1940 Act. Under the Investment Advisory Agreement, our investment advisor provides us with investment advisory and management services. We pay the following amounts for these services (a) a management fee equal to a percentage of the average of our total assets (excluding cash and cash equivalents) and (b) an incentive fee based on our performance. See “Business — Management and Other Agreements — Investment Advisory Agreement — Management Fee.”</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Under the Administration Agreement, our investment advisor furnishes us with office facilities and equipment, provides us clerical, bookkeeping and record keeping services at such facilities and provides us with other administrative services necessary to conduct our day-to-day operations. See “Business — Management and Other Agreements — Administration Agreement.”</w:t>
      </w:r>
    </w:p>
    <w:p>
      <w:pPr>
        <w:spacing w:after="0" w:line="18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any new agreements that we enter into may increase. In addition, we would likely incur significant time and expense in locating alternative parties to provide the services we expect to receive under our Investment Advisory Agreement and our Administration Agreement. Any new investment advisory agreement would also be subject to approval by our Independent Directors and our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December 31, 2014 and 2013, our debt portfolio was entirely comprised of fixed rate investments. Our pooled SBA debentures bear interest at fixed rates. Our Credit Facility bears interest, subject to our election, on a per annum basis equal to (i) the alternate base rate plus 2.5% or (ii) the applicable LIBOR rate plus 3.5%. The alternate base rate is equal to the greater of (i) prime rate, (ii) the federal funds rate plus 0.5% or (iii) the three-month LIBOR rate plus 1.0%.</w:t>
      </w:r>
    </w:p>
    <w:p>
      <w:pPr>
        <w:spacing w:after="0" w:line="192"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Assuming that the consolidated statements of assets and liabilities as of December 31, 2014 and 2013 were to remain constant, a hypothetical 100 basis point change in interest rates would not have a material effect on our level of interest income from debt investments or interest expense.</w:t>
      </w:r>
    </w:p>
    <w:p>
      <w:pPr>
        <w:spacing w:after="0" w:line="14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Information about our senior securities is shown in the following table for the years indicated in the table, unless otherwise noted. McGladrey LLP’s report on the senior securities table as of December 31, 2014, is attached as an exhibit to the registration statement of which this prospectus is a part.</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Total 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Involuntary</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3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Asset</w:t>
            </w:r>
          </w:p>
        </w:tc>
        <w:tc>
          <w:tcPr>
            <w:tcW w:w="14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Treasury</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Coverage per</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Preference</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Value per</w:t>
            </w:r>
          </w:p>
        </w:tc>
        <w:tc>
          <w:tcPr>
            <w:tcW w:w="0" w:type="dxa"/>
            <w:vAlign w:val="bottom"/>
          </w:tcPr>
          <w:p>
            <w:pPr>
              <w:spacing w:after="0"/>
              <w:rPr>
                <w:sz w:val="1"/>
                <w:szCs w:val="1"/>
                <w:color w:val="auto"/>
              </w:rPr>
            </w:pPr>
          </w:p>
        </w:tc>
      </w:tr>
      <w:tr>
        <w:trPr>
          <w:trHeight w:val="171"/>
        </w:trPr>
        <w:tc>
          <w:tcPr>
            <w:tcW w:w="3280" w:type="dxa"/>
            <w:vAlign w:val="bottom"/>
            <w:gridSpan w:val="3"/>
            <w:vMerge w:val="continue"/>
          </w:tcPr>
          <w:p>
            <w:pPr>
              <w:spacing w:after="0"/>
              <w:rPr>
                <w:sz w:val="14"/>
                <w:szCs w:val="14"/>
                <w:color w:val="auto"/>
              </w:rPr>
            </w:pPr>
          </w:p>
        </w:tc>
        <w:tc>
          <w:tcPr>
            <w:tcW w:w="212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 xml:space="preserve">Securities </w:t>
            </w:r>
            <w:r>
              <w:rPr>
                <w:rFonts w:ascii="Arial" w:cs="Arial" w:eastAsia="Arial" w:hAnsi="Arial"/>
                <w:sz w:val="12"/>
                <w:szCs w:val="12"/>
                <w:b w:val="1"/>
                <w:bCs w:val="1"/>
                <w:color w:val="auto"/>
                <w:w w:val="88"/>
              </w:rPr>
              <w:t>(1)</w:t>
            </w:r>
          </w:p>
        </w:tc>
        <w:tc>
          <w:tcPr>
            <w:tcW w:w="14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 xml:space="preserve">Unit </w:t>
            </w:r>
            <w:r>
              <w:rPr>
                <w:rFonts w:ascii="Arial" w:cs="Arial" w:eastAsia="Arial" w:hAnsi="Arial"/>
                <w:sz w:val="12"/>
                <w:szCs w:val="12"/>
                <w:b w:val="1"/>
                <w:bCs w:val="1"/>
                <w:color w:val="auto"/>
                <w:w w:val="98"/>
              </w:rPr>
              <w:t>(2+)</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 xml:space="preserve">per Unit </w:t>
            </w:r>
            <w:r>
              <w:rPr>
                <w:rFonts w:ascii="Arial" w:cs="Arial" w:eastAsia="Arial" w:hAnsi="Arial"/>
                <w:sz w:val="12"/>
                <w:szCs w:val="12"/>
                <w:b w:val="1"/>
                <w:bCs w:val="1"/>
                <w:color w:val="auto"/>
                <w:w w:val="95"/>
              </w:rPr>
              <w:t>(3)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4"/>
                <w:szCs w:val="14"/>
                <w:i w:val="1"/>
                <w:iCs w:val="1"/>
                <w:color w:val="auto"/>
                <w:w w:val="98"/>
              </w:rPr>
              <w:t>(dollars in</w:t>
            </w: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i w:val="1"/>
                <w:iCs w:val="1"/>
                <w:color w:val="auto"/>
                <w:w w:val="92"/>
              </w:rPr>
              <w:t>thousands)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2007</w:t>
            </w:r>
          </w:p>
        </w:tc>
        <w:tc>
          <w:tcPr>
            <w:tcW w:w="234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46,450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1,701</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2009</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79,450</w:t>
            </w:r>
          </w:p>
        </w:tc>
        <w:tc>
          <w:tcPr>
            <w:tcW w:w="1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1,610</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93,500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2011</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104,000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2,351</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2,267</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2013</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144,500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2,461</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2,460</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2007</w:t>
            </w:r>
          </w:p>
        </w:tc>
        <w:tc>
          <w:tcPr>
            <w:tcW w:w="234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15,520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2,285</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2009</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2011</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2013</w:t>
            </w: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3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42,676</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jc w:val="both"/>
        <w:ind w:left="460" w:right="20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 because senior securities are not registered for public trading.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$3.0 million and $20.0 million; however, we may from time to time opportunistically make investments in larger or smaller companies. Our investments typically range between $5.0 million and $20.0 million per portfolio company.</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2014, we had debt and equity investments in 42 portfolio companies with an aggregate fair value of $396.4 million. The weighted average yield on our debt investments as of December 31, 2014 was 13.4%. The weighted average yield was computed using the effective interest rates as of December 31, 2014, including accretion of original issue discount and loan origination fees, but excluding investments on non-accrual status, if any. There can be no assurance that the weighted average yield will remain at its current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believe that the limited amount of capital available to lower middle-market companies, coupled with the desire of these companies for flexible and partnership-oriented sources of capital, creates an attractive investment environment for us. We believe the following factors will continue to provide us with opportunities to grow and deliver attractive returns to stockholders.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The lower middle-market represents a large, underserved market. </w:t>
      </w:r>
      <w:r>
        <w:rPr>
          <w:rFonts w:ascii="Arial" w:cs="Arial" w:eastAsia="Arial" w:hAnsi="Arial"/>
          <w:sz w:val="18"/>
          <w:szCs w:val="18"/>
          <w:color w:val="auto"/>
        </w:rPr>
        <w:t>We believe that lower middle-market companies, most of which are privately-held,</w:t>
      </w:r>
      <w:r>
        <w:rPr>
          <w:rFonts w:ascii="Arial" w:cs="Arial" w:eastAsia="Arial" w:hAnsi="Arial"/>
          <w:sz w:val="18"/>
          <w:szCs w:val="18"/>
          <w:i w:val="1"/>
          <w:iCs w:val="1"/>
          <w:color w:val="auto"/>
        </w:rPr>
        <w:t xml:space="preserve"> </w:t>
      </w:r>
      <w:r>
        <w:rPr>
          <w:rFonts w:ascii="Arial" w:cs="Arial" w:eastAsia="Arial" w:hAnsi="Arial"/>
          <w:sz w:val="18"/>
          <w:szCs w:val="18"/>
          <w:color w:val="auto"/>
        </w:rPr>
        <w:t>are relatively underserved by traditional capital providers such as commercial banks, finance companies, hedge funds and collateralized loan obligation funds. Further, we believe that companies of this size generally possess conservative capital structures with significant enterprise value cushions, as compared to larger companies with more financing options.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Current credit market dislocation for lower middle-market companies has created an opportunity for attractive risk-adjusted returns</w:t>
      </w:r>
      <w:r>
        <w:rPr>
          <w:rFonts w:ascii="Arial" w:cs="Arial" w:eastAsia="Arial" w:hAnsi="Arial"/>
          <w:sz w:val="17"/>
          <w:szCs w:val="17"/>
          <w:color w:val="auto"/>
        </w:rPr>
        <w:t>. In this market,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traditional capital sources, such as commercial banks, finance companies, hedge funds and collateralized loan obligation funds have reduced lending and investing in the lower middle-market, which has resulted in increased opportunities for alternative funding sources. In addition, we believe that there continues to be less competition in the lower middle-market and an increased opportunity for attractive risk-adjusted returns. The remaining lenders and investors in the current environment are requiring lower amounts of senior and total leverage, increased equity commitments and more comprehensive covenant packages than was customary in the years leading up to the credit crisis.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Large pools of uninvested private equity capital should drive future transaction velocity</w:t>
      </w:r>
      <w:r>
        <w:rPr>
          <w:rFonts w:ascii="Arial" w:cs="Arial" w:eastAsia="Arial" w:hAnsi="Arial"/>
          <w:sz w:val="18"/>
          <w:szCs w:val="18"/>
          <w:color w:val="auto"/>
        </w:rPr>
        <w:t>. We believe there is a large pool of uninvested private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and we expect that private equity firms will remain active investors in lower middle-market companies. Private equity funds generally seek to leverage their investments by combining their equity capital with senior secured loans and/or mezzanine debt provided by other sources, and our relationships with private equity firms position us to partner with private equity investors.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Future refinancing activity is expected to create additional investment opportunities</w:t>
      </w:r>
      <w:r>
        <w:rPr>
          <w:rFonts w:ascii="Arial" w:cs="Arial" w:eastAsia="Arial" w:hAnsi="Arial"/>
          <w:sz w:val="18"/>
          <w:szCs w:val="18"/>
          <w:color w:val="auto"/>
        </w:rPr>
        <w:t>. A high volume of financings completed will mature in the coming</w:t>
      </w:r>
      <w:r>
        <w:rPr>
          <w:rFonts w:ascii="Arial" w:cs="Arial" w:eastAsia="Arial" w:hAnsi="Arial"/>
          <w:sz w:val="18"/>
          <w:szCs w:val="18"/>
          <w:i w:val="1"/>
          <w:iCs w:val="1"/>
          <w:color w:val="auto"/>
        </w:rPr>
        <w:t xml:space="preserve"> </w:t>
      </w:r>
      <w:r>
        <w:rPr>
          <w:rFonts w:ascii="Arial" w:cs="Arial" w:eastAsia="Arial" w:hAnsi="Arial"/>
          <w:sz w:val="18"/>
          <w:szCs w:val="18"/>
          <w:color w:val="auto"/>
        </w:rPr>
        <w:t>years. Additionally, we believe that demand for debt financing from lower middle-market companies will remain strong because these companies will continue to require credit to refinance existing debt, to support growth initiatives and to finance acquisitions. We believe this supply of opportunities coupled with limited financing providers focused on lower middle-market companies will continue to offer investment opportunities with attractive risk-adjusted returns.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accomplish our goal of becoming the premier provider of capital to and value-added partner of lower middle-market companies by:</w:t>
      </w:r>
    </w:p>
    <w:p>
      <w:pPr>
        <w:spacing w:after="0" w:line="23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Leveraging the Experience of Our Investment Advisor</w:t>
      </w:r>
      <w:r>
        <w:rPr>
          <w:rFonts w:ascii="Arial" w:cs="Arial" w:eastAsia="Arial" w:hAnsi="Arial"/>
          <w:sz w:val="17"/>
          <w:szCs w:val="17"/>
          <w:color w:val="auto"/>
        </w:rPr>
        <w:t>. Our investment advisor’s investment professionals have significant experience investing in,</w:t>
      </w:r>
      <w:r>
        <w:rPr>
          <w:rFonts w:ascii="Arial" w:cs="Arial" w:eastAsia="Arial" w:hAnsi="Arial"/>
          <w:sz w:val="17"/>
          <w:szCs w:val="17"/>
          <w:i w:val="1"/>
          <w:iCs w:val="1"/>
          <w:color w:val="auto"/>
        </w:rPr>
        <w:t xml:space="preserve"> </w:t>
      </w:r>
      <w:r>
        <w:rPr>
          <w:rFonts w:ascii="Arial" w:cs="Arial" w:eastAsia="Arial" w:hAnsi="Arial"/>
          <w:sz w:val="17"/>
          <w:szCs w:val="17"/>
          <w:color w:val="auto"/>
        </w:rPr>
        <w:t>lending to 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pacing w:after="0" w:line="17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Capitalizing on Our Strong Transaction Sourcing Network</w:t>
      </w:r>
      <w:r>
        <w:rPr>
          <w:rFonts w:ascii="Arial" w:cs="Arial" w:eastAsia="Arial" w:hAnsi="Arial"/>
          <w:sz w:val="17"/>
          <w:szCs w:val="17"/>
          <w:color w:val="auto"/>
        </w:rPr>
        <w:t>. Our investment advisor’s investment professionals possess an extensive network of long-standing relationships with private equity firms, middle-market senior lenders, junior capital partners, financial intermediaries and management teams of privately owned businesses. We believe that the combination of our relationships and our reputation as a reliable, responsive and value-added financing partner helps generate a steady stream of new investment opportunities and proprietary deal flow.</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Serving as a Value-Added Partner with Customized Financing Solutions</w:t>
      </w:r>
      <w:r>
        <w:rPr>
          <w:rFonts w:ascii="Arial" w:cs="Arial" w:eastAsia="Arial" w:hAnsi="Arial"/>
          <w:sz w:val="17"/>
          <w:szCs w:val="17"/>
          <w:color w:val="auto"/>
        </w:rPr>
        <w:t>. We follow a partnership-oriented investment approach and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mezzanine debt securities, typically coupled with an equity interest; however, on a selective basis we may invest in senior secured or unitranche loans.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Employing Rigorous Due Diligence and Underwriting Processes Focused on Capital Preservation</w:t>
      </w:r>
      <w:r>
        <w:rPr>
          <w:rFonts w:ascii="Arial" w:cs="Arial" w:eastAsia="Arial" w:hAnsi="Arial"/>
          <w:sz w:val="17"/>
          <w:szCs w:val="17"/>
          <w:color w:val="auto"/>
        </w:rPr>
        <w:t>. Our investment advisor follows a disciplined and</w:t>
      </w:r>
      <w:r>
        <w:rPr>
          <w:rFonts w:ascii="Arial" w:cs="Arial" w:eastAsia="Arial" w:hAnsi="Arial"/>
          <w:sz w:val="17"/>
          <w:szCs w:val="17"/>
          <w:i w:val="1"/>
          <w:iCs w:val="1"/>
          <w:color w:val="auto"/>
        </w:rPr>
        <w:t xml:space="preserve"> </w:t>
      </w:r>
      <w:r>
        <w:rPr>
          <w:rFonts w:ascii="Arial" w:cs="Arial" w:eastAsia="Arial" w:hAnsi="Arial"/>
          <w:sz w:val="17"/>
          <w:szCs w:val="17"/>
          <w:color w:val="auto"/>
        </w:rPr>
        <w:t>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 portfolio that meets our return and value criteria over the long term.</w:t>
      </w:r>
    </w:p>
    <w:p>
      <w:pPr>
        <w:spacing w:after="0" w:line="18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Actively Managing our Portfolio</w:t>
      </w:r>
      <w:r>
        <w:rPr>
          <w:rFonts w:ascii="Arial" w:cs="Arial" w:eastAsia="Arial" w:hAnsi="Arial"/>
          <w:sz w:val="16"/>
          <w:szCs w:val="16"/>
          <w:color w:val="auto"/>
        </w:rPr>
        <w:t>. We believe that our investment advisor’s initial and ongoing portfolio review process allows us to effectively monitor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and prospects of our portfolio companies. We seek to obtain board observation rights or board seats with respect to our portfolio companies and we conduct monthly financial reviews and regular discussions with portfolio company management. We structure our investments with 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comprehensive set of financial maintenance,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4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Maintaining Portfolio Diversification</w:t>
      </w:r>
      <w:r>
        <w:rPr>
          <w:rFonts w:ascii="Arial" w:cs="Arial" w:eastAsia="Arial" w:hAnsi="Arial"/>
          <w:sz w:val="16"/>
          <w:szCs w:val="16"/>
          <w:color w:val="auto"/>
        </w:rPr>
        <w:t>. We seek to maintain a portfolio of investments that is appropriately diversified among companies,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defense and aerospace, transportation and logistics, information technology services and niche manufacturing. We believe that investing across various industries helps mitigate the potential effects of negative economic events for particular companies, regions and industries.</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Benefiting from Lower Cost of Capital</w:t>
      </w:r>
      <w:r>
        <w:rPr>
          <w:rFonts w:ascii="Arial" w:cs="Arial" w:eastAsia="Arial" w:hAnsi="Arial"/>
          <w:sz w:val="18"/>
          <w:szCs w:val="18"/>
          <w:color w:val="auto"/>
        </w:rPr>
        <w:t>. The Funds’ SBIC licenses allow us to issue SBA-guaranteed debentures. These SBA debentures carry long-term fixed rates that are generally lower than rates on comparable bank and public debt. Because lower-cost SBA leverage is, and will continue to be, a significant part of our funding strategy, our relative cost of debt capital should be lower than many of our competitors. The SBA regulations currently limit the amount that is available to be borrowed by the Funds to $225.0 million in aggregate.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Advisor</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6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Agreements—Investment Advisory Agreement.”</w:t>
      </w:r>
    </w:p>
    <w:p>
      <w:pPr>
        <w:spacing w:after="0" w:line="1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seek to create a diversified investment portfolio that primarily includes mezzanine loans and equity securities. Our investments typically range between $5.0 million to $20.0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7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Mezzanine Debt Investments. </w:t>
      </w:r>
      <w:r>
        <w:rPr>
          <w:rFonts w:ascii="Arial" w:cs="Arial" w:eastAsia="Arial" w:hAnsi="Arial"/>
          <w:sz w:val="16"/>
          <w:szCs w:val="16"/>
          <w:color w:val="auto"/>
        </w:rPr>
        <w:t>We typically invest in mezzanine debt, which includes senior subordinated notes and junior secured loans. These loans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have higher fixed interest rates (often representing a combination of cash pay and payment-in-kind interest), prepayment penalties and amortization of principal deferred to maturity, as well as origination and other fees. Subordinated loans generally allow the borrower to make a large lump sum payment of principal at the end of the loan term, and there is a risk of loss if the borrower is unable to pay the lump sum or refinance the amount owed at maturity. Subordinated investments are generally more volatile than secured loans and may involve a greater risk of loss of principal. In certain situations where we are able to structure an investment as a junior secured loan, we will obtain a junior security interest in the assets of these portfolio companies that will serve as collateral in support of the repayment of such loan. This collateral may take the form of second-priority liens on the assets of a portfolio company.</w:t>
      </w:r>
    </w:p>
    <w:p>
      <w:pPr>
        <w:spacing w:after="0" w:line="16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Senior Secured Loans</w:t>
      </w:r>
      <w:r>
        <w:rPr>
          <w:rFonts w:ascii="Arial" w:cs="Arial" w:eastAsia="Arial" w:hAnsi="Arial"/>
          <w:sz w:val="16"/>
          <w:szCs w:val="16"/>
          <w:color w:val="auto"/>
        </w:rPr>
        <w:t>. We also opportunistically structure some of our debt investments as senior secured or unitranche loans. Senior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provide for a fixed interest rate and may contain some minimum principal amortization, excess cash flow sweep features and prepayment penalties. Senior secured loans are secured by a first or second priority lien on all existing and future assets of the borrower and may take the form of term loans or revolving lines of credit. Unitranche debt financing involves issuing one debt security that blends the risk and return profiles of both secured and subordinated debt and typically involves a first priority lien on all existing and future assets of the borrower. We believe that unitranche debt can be attractive for many lower middle-market companies given their size in order to reduce structural complexity and potential conflicts among creditors.</w:t>
      </w:r>
    </w:p>
    <w:p>
      <w:pPr>
        <w:spacing w:after="0" w:line="165"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8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040" w:type="dxa"/>
            <w:vAlign w:val="bottom"/>
          </w:tcPr>
          <w:p>
            <w:pPr>
              <w:ind w:left="80"/>
              <w:spacing w:after="0"/>
              <w:rPr>
                <w:sz w:val="20"/>
                <w:szCs w:val="20"/>
                <w:color w:val="auto"/>
              </w:rPr>
            </w:pPr>
            <w:r>
              <w:rPr>
                <w:rFonts w:ascii="Arial" w:cs="Arial" w:eastAsia="Arial" w:hAnsi="Arial"/>
                <w:sz w:val="18"/>
                <w:szCs w:val="18"/>
                <w:color w:val="auto"/>
              </w:rPr>
              <w:t>business services;</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760" w:type="dxa"/>
            <w:vAlign w:val="bottom"/>
          </w:tcPr>
          <w:p>
            <w:pPr>
              <w:ind w:left="80"/>
              <w:spacing w:after="0"/>
              <w:rPr>
                <w:sz w:val="20"/>
                <w:szCs w:val="20"/>
                <w:color w:val="auto"/>
              </w:rPr>
            </w:pPr>
            <w:r>
              <w:rPr>
                <w:rFonts w:ascii="Arial" w:cs="Arial" w:eastAsia="Arial" w:hAnsi="Arial"/>
                <w:sz w:val="18"/>
                <w:szCs w:val="18"/>
                <w:color w:val="auto"/>
              </w:rPr>
              <w:t>niche manufacturing;</w:t>
            </w: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  industrial products and services;</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760" w:type="dxa"/>
            <w:vAlign w:val="bottom"/>
          </w:tcPr>
          <w:p>
            <w:pPr>
              <w:ind w:left="80"/>
              <w:spacing w:after="0"/>
              <w:rPr>
                <w:sz w:val="20"/>
                <w:szCs w:val="20"/>
                <w:color w:val="auto"/>
              </w:rPr>
            </w:pPr>
            <w:r>
              <w:rPr>
                <w:rFonts w:ascii="Arial" w:cs="Arial" w:eastAsia="Arial" w:hAnsi="Arial"/>
                <w:sz w:val="18"/>
                <w:szCs w:val="18"/>
                <w:color w:val="auto"/>
              </w:rPr>
              <w:t>defense and aerospace;</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5040" w:type="dxa"/>
            <w:vAlign w:val="bottom"/>
          </w:tcPr>
          <w:p>
            <w:pPr>
              <w:ind w:left="80"/>
              <w:spacing w:after="0"/>
              <w:rPr>
                <w:sz w:val="20"/>
                <w:szCs w:val="20"/>
                <w:color w:val="auto"/>
              </w:rPr>
            </w:pPr>
            <w:r>
              <w:rPr>
                <w:rFonts w:ascii="Arial" w:cs="Arial" w:eastAsia="Arial" w:hAnsi="Arial"/>
                <w:sz w:val="18"/>
                <w:szCs w:val="18"/>
                <w:color w:val="auto"/>
              </w:rPr>
              <w:t>value-added distribution;</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760" w:type="dxa"/>
            <w:vAlign w:val="bottom"/>
          </w:tcPr>
          <w:p>
            <w:pPr>
              <w:ind w:left="80"/>
              <w:spacing w:after="0"/>
              <w:rPr>
                <w:sz w:val="20"/>
                <w:szCs w:val="20"/>
                <w:color w:val="auto"/>
              </w:rPr>
            </w:pPr>
            <w:r>
              <w:rPr>
                <w:rFonts w:ascii="Arial" w:cs="Arial" w:eastAsia="Arial" w:hAnsi="Arial"/>
                <w:sz w:val="18"/>
                <w:szCs w:val="18"/>
                <w:color w:val="auto"/>
              </w:rPr>
              <w:t>transportation and logistics;</w:t>
            </w: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  healthcare products and services;</w:t>
            </w:r>
          </w:p>
        </w:tc>
        <w:tc>
          <w:tcPr>
            <w:tcW w:w="3660" w:type="dxa"/>
            <w:vAlign w:val="bottom"/>
            <w:gridSpan w:val="2"/>
          </w:tcPr>
          <w:p>
            <w:pPr>
              <w:ind w:left="740"/>
              <w:spacing w:after="0"/>
              <w:rPr>
                <w:sz w:val="20"/>
                <w:szCs w:val="20"/>
                <w:color w:val="auto"/>
              </w:rPr>
            </w:pPr>
            <w:r>
              <w:rPr>
                <w:rFonts w:ascii="Arial" w:cs="Arial" w:eastAsia="Arial" w:hAnsi="Arial"/>
                <w:sz w:val="18"/>
                <w:szCs w:val="18"/>
                <w:color w:val="auto"/>
                <w:w w:val="94"/>
              </w:rPr>
              <w:t>•  information technology services; and</w:t>
            </w:r>
          </w:p>
        </w:tc>
      </w:tr>
      <w:tr>
        <w:trPr>
          <w:trHeight w:val="310"/>
        </w:trPr>
        <w:tc>
          <w:tcPr>
            <w:tcW w:w="5200" w:type="dxa"/>
            <w:vAlign w:val="bottom"/>
            <w:gridSpan w:val="2"/>
          </w:tcPr>
          <w:p>
            <w:pPr>
              <w:spacing w:after="0"/>
              <w:rPr>
                <w:sz w:val="20"/>
                <w:szCs w:val="20"/>
                <w:color w:val="auto"/>
              </w:rPr>
            </w:pPr>
            <w:r>
              <w:rPr>
                <w:rFonts w:ascii="Arial" w:cs="Arial" w:eastAsia="Arial" w:hAnsi="Arial"/>
                <w:sz w:val="18"/>
                <w:szCs w:val="18"/>
                <w:color w:val="auto"/>
              </w:rPr>
              <w:t>•  consumer products and services (including retail, food and</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760" w:type="dxa"/>
            <w:vAlign w:val="bottom"/>
          </w:tcPr>
          <w:p>
            <w:pPr>
              <w:ind w:left="80"/>
              <w:spacing w:after="0"/>
              <w:rPr>
                <w:sz w:val="20"/>
                <w:szCs w:val="20"/>
                <w:color w:val="auto"/>
              </w:rPr>
            </w:pPr>
            <w:r>
              <w:rPr>
                <w:rFonts w:ascii="Arial" w:cs="Arial" w:eastAsia="Arial" w:hAnsi="Arial"/>
                <w:sz w:val="18"/>
                <w:szCs w:val="18"/>
                <w:color w:val="auto"/>
              </w:rPr>
              <w:t>energy services.</w:t>
            </w:r>
          </w:p>
        </w:tc>
      </w:tr>
      <w:tr>
        <w:trPr>
          <w:trHeight w:val="230"/>
        </w:trPr>
        <w:tc>
          <w:tcPr>
            <w:tcW w:w="16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beverage);</w:t>
            </w:r>
          </w:p>
        </w:tc>
        <w:tc>
          <w:tcPr>
            <w:tcW w:w="90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December 31, 2014, we had investments in 42 portfolio companies with an aggregate fair value of $396.4 million. As of December 31, 2013, we had investments in 37 portfolio companies with an aggregate fair value of $307.0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Value Orientation / Positive Cash Flow. </w:t>
      </w:r>
      <w:r>
        <w:rPr>
          <w:rFonts w:ascii="Arial" w:cs="Arial" w:eastAsia="Arial" w:hAnsi="Arial"/>
          <w:sz w:val="17"/>
          <w:szCs w:val="17"/>
          <w:color w:val="auto"/>
        </w:rPr>
        <w:t>Our investment advisor places a premium on analysis of business fundamentals from an investor’s perspective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$3.0 million. We do not invest in start-up companies, “turn-around” situations or companies that we believe have unproven business plans.</w:t>
      </w:r>
    </w:p>
    <w:p>
      <w:pPr>
        <w:spacing w:after="0" w:line="171"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i w:val="1"/>
          <w:iCs w:val="1"/>
          <w:color w:val="auto"/>
        </w:rPr>
        <w:t>Experienced Management Teams with Meaningful Equity Ownership</w:t>
      </w:r>
      <w:r>
        <w:rPr>
          <w:rFonts w:ascii="Arial" w:cs="Arial" w:eastAsia="Arial" w:hAnsi="Arial"/>
          <w:sz w:val="16"/>
          <w:szCs w:val="16"/>
          <w:color w:val="auto"/>
        </w:rPr>
        <w:t>. We target portfolio companies that have management teams with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Niche Market Leaders with Defensible Market Positions</w:t>
      </w:r>
      <w:r>
        <w:rPr>
          <w:rFonts w:ascii="Arial" w:cs="Arial" w:eastAsia="Arial" w:hAnsi="Arial"/>
          <w:sz w:val="18"/>
          <w:szCs w:val="18"/>
          <w:color w:val="auto"/>
        </w:rPr>
        <w:t>. We seek to invest in portfolio companies that have developed defensible and/or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within their respective markets or market niches and are well positioned to capitalize on growth opportunities. We favor companies that demonstrate significant competitive advantages, which we believe helps to protect their market position and profitability.</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 xml:space="preserve">Diversified Customer and Supplier Base. </w:t>
      </w:r>
      <w:r>
        <w:rPr>
          <w:rFonts w:ascii="Arial" w:cs="Arial" w:eastAsia="Arial" w:hAnsi="Arial"/>
          <w:sz w:val="16"/>
          <w:szCs w:val="16"/>
          <w:color w:val="auto"/>
        </w:rPr>
        <w:t>We prefer to invest in portfolio companies that have a diversified customer and supplier base. Companies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a diversified customer and supplier base are generally better able to endure economic downturns, industry consolidation and shifting customer preferences.</w:t>
      </w:r>
    </w:p>
    <w:p>
      <w:pPr>
        <w:spacing w:after="0" w:line="124"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i w:val="1"/>
          <w:iCs w:val="1"/>
          <w:color w:val="auto"/>
        </w:rPr>
        <w:t>Significant Equity Value</w:t>
      </w:r>
      <w:r>
        <w:rPr>
          <w:rFonts w:ascii="Arial" w:cs="Arial" w:eastAsia="Arial" w:hAnsi="Arial"/>
          <w:sz w:val="17"/>
          <w:szCs w:val="17"/>
          <w:color w:val="auto"/>
        </w:rPr>
        <w:t>. We believe the existence of significant underlying equity value provides important support to our debt investments.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our 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Viable Exit Strategy. </w:t>
      </w:r>
      <w:r>
        <w:rPr>
          <w:rFonts w:ascii="Arial" w:cs="Arial" w:eastAsia="Arial" w:hAnsi="Arial"/>
          <w:sz w:val="17"/>
          <w:szCs w:val="17"/>
          <w:color w:val="auto"/>
        </w:rPr>
        <w:t>We invest in portfolio companies that we believe will provide steady cash flows to service our debt, ultimately repay our loans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working capital for their respective businesses. In addition, we seek to invest in companies whose business models and expected future cash flows offer attractive exit possibilities for our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Committee</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Our investment advisor has formed investment committees to evaluate and approve all of our investments and those made by the Funds. The investment committee process is intended to bring the diverse experience and perspectives of the committees’ members to the analysis and consideration of each investment. The investment committees also serve to provide investment consistency and adherence to our investment advisor’s core investment philosophy and policies. The investment committees also determine appropriate investment sizing and suggest ongoing monitoring requirements.</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members of the investment committee that evaluates and approves all of our investments are Edward H. Ross, Thomas C. Lauer, John H. Grigg, John J. Ross, II, Paul E. Tierney, Jr., W. Andrew Worth and Robert G. Lesley, Jr. The members of the investment committee that evaluates and approves all of the Funds’ investments are Edward H. Ross, Thomas C. Lauer, John H. Grigg, John J. Ross, II, Paul E. Tierney, Jr. and W. Andrew Worth. Our Investment Advisor intends to add Mr. Lesley to the Funds’ investment committee subsequent to the SBA’s approval of Mr. Lesley acting in that capacity.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9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Generation/Origination;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Initial Evaluation;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Diligence and Underwriting;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and Closing;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Active Portfolio 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phases is described in more detail below.</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Investment Generation/Origination. </w:t>
      </w:r>
      <w:r>
        <w:rPr>
          <w:rFonts w:ascii="Arial" w:cs="Arial" w:eastAsia="Arial" w:hAnsi="Arial"/>
          <w:sz w:val="18"/>
          <w:szCs w:val="18"/>
          <w:color w:val="auto"/>
        </w:rPr>
        <w:t>Our investment origination efforts are focused on leveraging our investment advisor’s extensive network of long-standing 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valued-added partner generates a balanced mix of proprietary deal flow and a steady stream of new deal opportunities.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 xml:space="preserve">Initial Evaluation. </w:t>
      </w:r>
      <w:r>
        <w:rPr>
          <w:rFonts w:ascii="Arial" w:cs="Arial" w:eastAsia="Arial" w:hAnsi="Arial"/>
          <w:sz w:val="18"/>
          <w:szCs w:val="18"/>
          <w:color w:val="auto"/>
        </w:rPr>
        <w:t>After a potential transaction is received by our investment advisor, it will conduct an initial review of the transaction materials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it meets our investment criteria and complies with SBA and other regulatory compliance requirements.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76" w:lineRule="exact"/>
        <w:rPr>
          <w:sz w:val="20"/>
          <w:szCs w:val="20"/>
          <w:color w:val="auto"/>
        </w:rPr>
      </w:pPr>
    </w:p>
    <w:p>
      <w:pPr>
        <w:ind w:left="900" w:right="2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comprehensive financial model based on quantitative analysis of historical financial performance, projections and pro forma adjustments to determine a range of estimated internal rates of return.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initial call or meeting with the management team, owner, private equity sponsor or other deal partner.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brief industry and market analysis, leveraging direct industry expertise from other investment professionals of our investment advisor.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Preliminary qualitative analysis of the management team’s competencies and backgrounds.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investment structures and pricing terms.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Upon successful completion of the screening process, the deal team prepares a screening memorandum and makes a recommendation to the investment committee. At this time, the investment committees will also consider whether the investment would be made by us or through the Funds. If the investment committees support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spacing w:after="0" w:line="17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Due Diligence and Underwriting. </w:t>
      </w:r>
      <w:r>
        <w:rPr>
          <w:rFonts w:ascii="Arial" w:cs="Arial" w:eastAsia="Arial" w:hAnsi="Arial"/>
          <w:sz w:val="18"/>
          <w:szCs w:val="18"/>
          <w:color w:val="auto"/>
        </w:rPr>
        <w:t>Our investment advisor has developed a rigorous and disciplined due diligence process that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9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Initial or additional site visits and facility tours with management and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the business history, operations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depth review of industry and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Analysis of key customers and suppliers, including review of any concentrations and key contracts.</w:t>
      </w:r>
    </w:p>
    <w:p>
      <w:pPr>
        <w:spacing w:after="0" w:line="130" w:lineRule="exact"/>
        <w:rPr>
          <w:rFonts w:ascii="Arial" w:cs="Arial" w:eastAsia="Arial" w:hAnsi="Arial"/>
          <w:sz w:val="18"/>
          <w:szCs w:val="18"/>
          <w:color w:val="auto"/>
        </w:rPr>
      </w:pPr>
    </w:p>
    <w:p>
      <w:pPr>
        <w:ind w:left="900" w:right="160" w:hanging="325"/>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Detailed review of historical and projected financial statements, including a review of at least three years of performance (annual and monthly), key financial ratios, revenue, expense and profitability drivers and sensitivities to management’s financial projections.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Detailed evaluation of company management, including background checks.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 party reviews of accounting, environmental, legal, insurance, interviews with customers and suppliers, material contracts, competition, industry and market studies (each as appropriate).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sponsor diligence, if applicable, including portfolio company and other reference checks.</w:t>
      </w:r>
    </w:p>
    <w:p>
      <w:pPr>
        <w:spacing w:after="0" w:line="22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committees. If the investment committees support the deal team’s recommendation, the deal team will proceed with negotiating and documenting the investment.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Documentation and Closing. </w:t>
      </w:r>
      <w:r>
        <w:rPr>
          <w:rFonts w:ascii="Arial" w:cs="Arial" w:eastAsia="Arial" w:hAnsi="Arial"/>
          <w:sz w:val="18"/>
          <w:szCs w:val="18"/>
          <w:color w:val="auto"/>
        </w:rPr>
        <w:t>Our investment advisor works with the management of a potential portfolio company and its other capital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as applicable, senior, junior and equity capital providers to structure an investment. Our investment advisor structures each investment with an acute focus on capital preservation and will tailor the terms of each investment to the facts and circumstances of the transaction and the portfolio company. We seek to limit the downside potential of our investments by:</w:t>
      </w:r>
    </w:p>
    <w:p>
      <w:pPr>
        <w:spacing w:after="0" w:line="92" w:lineRule="exact"/>
        <w:rPr>
          <w:sz w:val="20"/>
          <w:szCs w:val="20"/>
          <w:color w:val="auto"/>
        </w:rPr>
      </w:pPr>
    </w:p>
    <w:p>
      <w:pPr>
        <w:ind w:left="900" w:right="2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Targeting an optimal total return on our investments (including a combination of current and deferred interest, prepayment penalties and equity participation) that compensates us for credit risk.</w:t>
      </w:r>
    </w:p>
    <w:p>
      <w:pPr>
        <w:spacing w:after="0" w:line="75"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spacing w:after="0" w:line="92"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312" w:lineRule="auto"/>
        <w:rPr>
          <w:sz w:val="20"/>
          <w:szCs w:val="20"/>
          <w:color w:val="auto"/>
        </w:rPr>
      </w:pPr>
      <w:r>
        <w:rPr>
          <w:rFonts w:ascii="Arial" w:cs="Arial" w:eastAsia="Arial" w:hAnsi="Arial"/>
          <w:sz w:val="16"/>
          <w:szCs w:val="16"/>
          <w:color w:val="auto"/>
        </w:rPr>
        <w:t>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Active Portfolio Management</w:t>
      </w:r>
      <w:r>
        <w:rPr>
          <w:rFonts w:ascii="Arial" w:cs="Arial" w:eastAsia="Arial" w:hAnsi="Arial"/>
          <w:sz w:val="18"/>
          <w:szCs w:val="18"/>
          <w:color w:val="auto"/>
        </w:rPr>
        <w:t>. Active portfolio monitoring is a vital part of our investment process and we continuously monitor the status and progress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part of the monitoring process, the deal team conducts a comprehensive review of the financial and operating results of each portfolio company that includes a review of the monthly/quarterly financials relative to prior year and budget, a review of the financial projections including cash flow and liquidity needs, meeting with management, attending board meetings and reviewing compliance certificates and covenants. We will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Rating System</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900" w:right="3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and the trends and risk factors are favorable, and may include an expected capital gain.</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86"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4 is used for investments performing materially below our expectations and the risk has increased materially since origination. The portfolio company has the potential for some loss of investment return, but we expect no loss of principal.</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as of December 31, 2014 and 2013.</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As of December 31, 2014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As of December 31, 2013</w:t>
            </w: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Portfolio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1140" w:type="dxa"/>
            <w:vAlign w:val="bottom"/>
            <w:tcBorders>
              <w:top w:val="single" w:sz="8" w:color="auto"/>
            </w:tcBorders>
          </w:tcPr>
          <w:p>
            <w:pPr>
              <w:spacing w:after="0"/>
              <w:rPr>
                <w:sz w:val="12"/>
                <w:szCs w:val="12"/>
                <w:color w:val="auto"/>
              </w:rPr>
            </w:pPr>
          </w:p>
        </w:tc>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6"/>
          </w:tcPr>
          <w:p>
            <w:pPr>
              <w:ind w:left="200"/>
              <w:spacing w:after="0" w:line="142" w:lineRule="exact"/>
              <w:rPr>
                <w:sz w:val="20"/>
                <w:szCs w:val="20"/>
                <w:color w:val="auto"/>
              </w:rPr>
            </w:pPr>
            <w:r>
              <w:rPr>
                <w:rFonts w:ascii="Arial" w:cs="Arial" w:eastAsia="Arial" w:hAnsi="Arial"/>
                <w:sz w:val="14"/>
                <w:szCs w:val="14"/>
                <w:i w:val="1"/>
                <w:iCs w:val="1"/>
                <w:color w:val="auto"/>
              </w:rPr>
              <w:t>(dollars in thousands)</w:t>
            </w: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49,499</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44,572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297,024</w:t>
            </w:r>
          </w:p>
        </w:tc>
        <w:tc>
          <w:tcPr>
            <w:tcW w:w="5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229,113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48,814</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30,322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5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396,355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306,981</w:t>
            </w:r>
          </w:p>
        </w:tc>
        <w:tc>
          <w:tcPr>
            <w:tcW w:w="5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our investment rating system, the weighted average rating of our portfolio as of both December 31, 2014 and 2013 was 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Net Asset Value and Valuation Process</w:t>
      </w:r>
    </w:p>
    <w:p>
      <w:pPr>
        <w:spacing w:after="0" w:line="12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a BDC, we offer, and must provide upon request, managerial assistance to our portfolio companies. This assistance typically involves, among other things, monitoring the operations of our portfolio companies, participating in board and management meetings, consulting with and advising officers of portfolio companies and providing other organizational and financial guidance. Our investment advisor, acting as our administrator, provides such managerial assistance on our behalf to portfolio companies that request this assistance. We may receive fees for these services and will reimburse our investment advisor, acting as our administrator, for its allocated costs in providing such assistance.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status.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do not have any direct employees, and our day-to-day investment operations are managed by our investment advisor, which is also acting as our administrator. We have a chief executive officer,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own any real estate or other physical properties materially important to our operation; however, we lease office space for our executive office at 1603 Orrington Avenue, Suite 1005, Evanston, Illinois 60201. Our investment advisor also maintains additional office space at 227 West Trade Street Suite 1910 Charlotte, NC 28202 and 70 East 55th Street, 10th Floor, New York, NY 10022. We believe that our current office facilities are adequate for our business as we intend to conduct 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While the outcome of any current legal proceedings cannot at this time be predicted with certainty, we do not expect any current matters will materially affect our financial condition or results of operations; however, there can be no assurance whether any pending legal proceedings will have a material adverse effect on our financial condition or results of operations in any future reporting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The following table sets forth certain audited information as of December 31, 2014, for the portfolio companies in which we had a debt or equity investment. Other than these investments, our only formal relationships with our portfolio companies are the managerial assistance ancillary to our investments and the board observer or participation rights we may receive.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Rate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4"/>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Address</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29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Investment Type</w:t>
            </w:r>
          </w:p>
        </w:tc>
        <w:tc>
          <w:tcPr>
            <w:tcW w:w="86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6"/>
        </w:trPr>
        <w:tc>
          <w:tcPr>
            <w:tcW w:w="2540" w:type="dxa"/>
            <w:vAlign w:val="bottom"/>
            <w:gridSpan w:val="3"/>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Cash/PIK</w:t>
            </w: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Control Investments</w:t>
            </w:r>
          </w:p>
        </w:tc>
        <w:tc>
          <w:tcPr>
            <w:tcW w:w="7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Paramount Building Solutions, LLC</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Retail Cleaning</w:t>
            </w: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7.0%/3.0%</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12/31/2017</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   1,118</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1,118</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$ 1,067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10235 S. 51st Street, Suite 185</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7.0%/7.0%</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12/31/2017</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2,842</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2,842</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2,687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Phoenix, AZ 85044</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Warrant (1,086,035 units)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(5,000,000 units)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(107,143 units)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10,460</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4,244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Control Investments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10,460</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4,244</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Apex Microtechnology, Inc.</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Electronic</w:t>
            </w: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Warrant (2,293 units)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5980 N. Shannon Road</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Components Supplier</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(11,690 shares)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1,302</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140"/>
              <w:spacing w:after="0"/>
              <w:rPr>
                <w:sz w:val="20"/>
                <w:szCs w:val="20"/>
                <w:color w:val="auto"/>
              </w:rPr>
            </w:pPr>
            <w:r>
              <w:rPr>
                <w:rFonts w:ascii="Arial" w:cs="Arial" w:eastAsia="Arial" w:hAnsi="Arial"/>
                <w:sz w:val="14"/>
                <w:szCs w:val="14"/>
                <w:color w:val="auto"/>
              </w:rPr>
              <w:t>Tucson, AZ 85741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1,389</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FAR Research Inc.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Specialty Chemicals</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11.8%/0.0%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3/31/2019</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7,600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7,567</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2210 Wilhelmina Ct, NE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Revolving Loan ($1,750 commitment)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11.8%/0.0%</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3/31/2019</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Palm Bay, FL 32905</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(10 units)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8,696</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8,674</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Inflexxion, Inc.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12.5%/0.0%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12/16/2019</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4,750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4,726</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4,726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320 Needham Street, Suite 100</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Revolving Loan ($1,000 commitment)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12.5%/0.0%</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12/16/2019</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Newton, MA 02464</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(1,400 units)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6,421</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6,421</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Malabar International</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Aerospace &amp; Defense</w:t>
            </w: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12.5%/2.5%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5/21/2017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7,264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7,239</w:t>
            </w: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7,264</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220 W. Los Angeles Avenue</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Manufacturing</w:t>
            </w: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(1,494 shares)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1,992</w:t>
            </w: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Simi Valley, CA 93065</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9,231</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10,522</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Medsurant Holdings, LLC</w:t>
            </w:r>
          </w:p>
        </w:tc>
        <w:tc>
          <w:tcPr>
            <w:tcW w:w="1440" w:type="dxa"/>
            <w:vAlign w:val="bottom"/>
            <w:gridSpan w:val="2"/>
          </w:tcPr>
          <w:p>
            <w:pPr>
              <w:spacing w:after="0"/>
              <w:rPr>
                <w:sz w:val="20"/>
                <w:szCs w:val="20"/>
                <w:color w:val="auto"/>
              </w:rPr>
            </w:pPr>
            <w:r>
              <w:rPr>
                <w:rFonts w:ascii="Arial" w:cs="Arial" w:eastAsia="Arial" w:hAnsi="Arial"/>
                <w:sz w:val="14"/>
                <w:szCs w:val="14"/>
                <w:color w:val="auto"/>
              </w:rPr>
              <w:t>Healthcare Services</w:t>
            </w:r>
          </w:p>
        </w:tc>
        <w:tc>
          <w:tcPr>
            <w:tcW w:w="298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9.5%/4.5%</w:t>
            </w:r>
          </w:p>
        </w:tc>
        <w:tc>
          <w:tcPr>
            <w:tcW w:w="8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7/12/2016</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10,129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9,603</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10,129</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1660 S. Albion Street, Suite 425</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(126,662 units)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1,345</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Denver, CO 80222</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Warrant (505,176 units)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4,516</w:t>
            </w: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3,715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15,464</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14,871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Pfanstiehl, Inc.</w:t>
            </w:r>
          </w:p>
        </w:tc>
        <w:tc>
          <w:tcPr>
            <w:tcW w:w="1440" w:type="dxa"/>
            <w:vAlign w:val="bottom"/>
            <w:gridSpan w:val="2"/>
          </w:tcPr>
          <w:p>
            <w:pPr>
              <w:spacing w:after="0"/>
              <w:rPr>
                <w:sz w:val="20"/>
                <w:szCs w:val="20"/>
                <w:color w:val="auto"/>
              </w:rPr>
            </w:pPr>
            <w:r>
              <w:rPr>
                <w:rFonts w:ascii="Arial" w:cs="Arial" w:eastAsia="Arial" w:hAnsi="Arial"/>
                <w:sz w:val="14"/>
                <w:szCs w:val="14"/>
                <w:color w:val="auto"/>
              </w:rPr>
              <w:t>Healthcare Products</w:t>
            </w:r>
          </w:p>
        </w:tc>
        <w:tc>
          <w:tcPr>
            <w:tcW w:w="298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12.0%/1.5%</w:t>
            </w:r>
          </w:p>
        </w:tc>
        <w:tc>
          <w:tcPr>
            <w:tcW w:w="8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9/29/2018</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6,208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6,168</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6,208</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1219 Glen Rock Avenue</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(8,500 units)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140"/>
              <w:spacing w:after="0"/>
              <w:rPr>
                <w:sz w:val="20"/>
                <w:szCs w:val="20"/>
                <w:color w:val="auto"/>
              </w:rPr>
            </w:pPr>
            <w:r>
              <w:rPr>
                <w:rFonts w:ascii="Arial" w:cs="Arial" w:eastAsia="Arial" w:hAnsi="Arial"/>
                <w:sz w:val="14"/>
                <w:szCs w:val="14"/>
                <w:color w:val="auto"/>
              </w:rPr>
              <w:t>Waukegan, IL 60085</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7,018</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9,296</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Safety Products Group, LLC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Safety Products</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12.0%/1.5%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12/30/2018</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9,965</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2002 Karbach</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Manufacturing</w:t>
            </w: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(749 units)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749</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Houston, TX 77092</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(676 units)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10,715</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10,812</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Trantech Radiator Products, Inc.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Utility Equipment</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12.0%/1.8%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5/4/2017</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9,518</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9,498</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9,518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 Tranter Drive, P.O. Box 570</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Manufacturing</w:t>
            </w: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(6,875 shares)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688</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962</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Edgefield, SC 29824</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10,186</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10,480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2540" w:type="dxa"/>
            <w:vAlign w:val="bottom"/>
            <w:gridSpan w:val="3"/>
          </w:tcPr>
          <w:p>
            <w:pPr>
              <w:spacing w:after="0"/>
              <w:rPr>
                <w:sz w:val="20"/>
                <w:szCs w:val="20"/>
                <w:color w:val="auto"/>
              </w:rPr>
            </w:pPr>
            <w:r>
              <w:rPr>
                <w:rFonts w:ascii="Arial" w:cs="Arial" w:eastAsia="Arial" w:hAnsi="Arial"/>
                <w:sz w:val="14"/>
                <w:szCs w:val="14"/>
                <w:i w:val="1"/>
                <w:iCs w:val="1"/>
                <w:color w:val="auto"/>
              </w:rPr>
              <w:t>Westminster Cracker Company, Inc.</w:t>
            </w:r>
          </w:p>
        </w:tc>
        <w:tc>
          <w:tcPr>
            <w:tcW w:w="1440" w:type="dxa"/>
            <w:vAlign w:val="bottom"/>
            <w:gridSpan w:val="2"/>
          </w:tcPr>
          <w:p>
            <w:pPr>
              <w:spacing w:after="0"/>
              <w:rPr>
                <w:sz w:val="20"/>
                <w:szCs w:val="20"/>
                <w:color w:val="auto"/>
              </w:rPr>
            </w:pPr>
            <w:r>
              <w:rPr>
                <w:rFonts w:ascii="Arial" w:cs="Arial" w:eastAsia="Arial" w:hAnsi="Arial"/>
                <w:sz w:val="14"/>
                <w:szCs w:val="14"/>
                <w:color w:val="auto"/>
              </w:rPr>
              <w:t>Specialty Cracker</w:t>
            </w:r>
          </w:p>
        </w:tc>
        <w:tc>
          <w:tcPr>
            <w:tcW w:w="2980" w:type="dxa"/>
            <w:vAlign w:val="bottom"/>
            <w:gridSpan w:val="2"/>
          </w:tcPr>
          <w:p>
            <w:pPr>
              <w:spacing w:after="0"/>
              <w:rPr>
                <w:sz w:val="20"/>
                <w:szCs w:val="20"/>
                <w:color w:val="auto"/>
              </w:rPr>
            </w:pPr>
            <w:r>
              <w:rPr>
                <w:rFonts w:ascii="Arial" w:cs="Arial" w:eastAsia="Arial" w:hAnsi="Arial"/>
                <w:sz w:val="14"/>
                <w:szCs w:val="14"/>
                <w:color w:val="auto"/>
              </w:rPr>
              <w:t>Preferred Equity (95,798 units)</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152</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 Scale Avenue, Suite 81, Bldg 14</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Manufacturing</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(1,208,197 units)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1,208</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1,804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140"/>
              <w:spacing w:after="0"/>
              <w:rPr>
                <w:sz w:val="20"/>
                <w:szCs w:val="20"/>
                <w:color w:val="auto"/>
              </w:rPr>
            </w:pPr>
            <w:r>
              <w:rPr>
                <w:rFonts w:ascii="Arial" w:cs="Arial" w:eastAsia="Arial" w:hAnsi="Arial"/>
                <w:sz w:val="14"/>
                <w:szCs w:val="14"/>
                <w:color w:val="auto"/>
              </w:rPr>
              <w:t>Rutland, VT 05701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1,278</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1,956</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World Wide Packaging, LLC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12.0%/1.8%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10/26/2018</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10,097</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10,063</w:t>
            </w:r>
          </w:p>
        </w:tc>
        <w:tc>
          <w:tcPr>
            <w:tcW w:w="840" w:type="dxa"/>
            <w:vAlign w:val="bottom"/>
            <w:tcBorders>
              <w:lef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10,097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15 Vreeland Road, Suite #4</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(1,517,573 units)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Florham Park, NJ 07932</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11,581</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11,612</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Affiliate Investments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81,979</w:t>
            </w:r>
          </w:p>
        </w:tc>
        <w:tc>
          <w:tcPr>
            <w:tcW w:w="18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86,200</w:t>
            </w:r>
          </w:p>
        </w:tc>
        <w:tc>
          <w:tcPr>
            <w:tcW w:w="1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Principal</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4"/>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Address</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2"/>
                <w:szCs w:val="12"/>
                <w:color w:val="auto"/>
              </w:rPr>
            </w:pPr>
          </w:p>
        </w:tc>
        <w:tc>
          <w:tcPr>
            <w:tcW w:w="29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Investment Type</w:t>
            </w:r>
          </w:p>
        </w:tc>
        <w:tc>
          <w:tcPr>
            <w:tcW w:w="88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Maturity</w:t>
            </w:r>
          </w:p>
        </w:tc>
        <w:tc>
          <w:tcPr>
            <w:tcW w:w="7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620" w:type="dxa"/>
            <w:vAlign w:val="bottom"/>
            <w:gridSpan w:val="2"/>
            <w:vMerge w:val="continue"/>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6"/>
        </w:trPr>
        <w:tc>
          <w:tcPr>
            <w:tcW w:w="2560" w:type="dxa"/>
            <w:vAlign w:val="bottom"/>
            <w:gridSpan w:val="3"/>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Cash/PIK</w:t>
            </w:r>
          </w:p>
        </w:tc>
        <w:tc>
          <w:tcPr>
            <w:tcW w:w="88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gridSpan w:val="2"/>
            <w:vMerge w:val="continue"/>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Acentia, LLC</w:t>
            </w: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Information</w:t>
            </w: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Common Units (499 units)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3130 Fairview Park Drive,</w:t>
            </w: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Technology Services</w:t>
            </w:r>
          </w:p>
        </w:tc>
        <w:tc>
          <w:tcPr>
            <w:tcW w:w="10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Suite 800</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Falls Church, VA 22042</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ACFP Management, Inc.</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Restaurants</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Units (1,000,000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1,091</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1,587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 W. Cypress Creek Road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Fort Lauderdale, FL 33309</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Allied 100 Group, Inc.</w:t>
            </w:r>
          </w:p>
        </w:tc>
        <w:tc>
          <w:tcPr>
            <w:tcW w:w="1360" w:type="dxa"/>
            <w:vAlign w:val="bottom"/>
          </w:tcPr>
          <w:p>
            <w:pPr>
              <w:spacing w:after="0"/>
              <w:rPr>
                <w:sz w:val="20"/>
                <w:szCs w:val="20"/>
                <w:color w:val="auto"/>
              </w:rPr>
            </w:pPr>
            <w:r>
              <w:rPr>
                <w:rFonts w:ascii="Arial" w:cs="Arial" w:eastAsia="Arial" w:hAnsi="Arial"/>
                <w:sz w:val="14"/>
                <w:szCs w:val="14"/>
                <w:color w:val="auto"/>
              </w:rPr>
              <w:t>Healthcare Products</w:t>
            </w:r>
          </w:p>
        </w:tc>
        <w:tc>
          <w:tcPr>
            <w:tcW w:w="3080" w:type="dxa"/>
            <w:vAlign w:val="bottom"/>
            <w:gridSpan w:val="3"/>
          </w:tcPr>
          <w:p>
            <w:pPr>
              <w:ind w:left="100"/>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11.5%/0.0%</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5/26/2020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13,000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12,936</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12,936</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1800 U.S. Highway 51 North</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(1,250,000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Woodruff, WI 54568</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14,186</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14,186</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Anatrace Products, LLC</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Healthcare Products</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Senior Secured Loan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11.5%/1.5%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10/11/2018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9,500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9,469</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434 W Dussel Dr.</w:t>
            </w:r>
          </w:p>
        </w:tc>
        <w:tc>
          <w:tcPr>
            <w:tcW w:w="1360" w:type="dxa"/>
            <w:vAlign w:val="bottom"/>
          </w:tcPr>
          <w:p>
            <w:pPr>
              <w:spacing w:after="0"/>
              <w:rPr>
                <w:sz w:val="12"/>
                <w:szCs w:val="12"/>
                <w:color w:val="auto"/>
              </w:rPr>
            </w:pP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Revolving Loan ($500 commitment)</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N/A</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10/11/2018</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Maumee, OH 43537</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(360,000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9,827</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10,018</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Brook &amp; Whittle Limited</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Services</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12.0%/4.8%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12/31/2016</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7,297</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7,297</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7,272</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260 Branford Road,</w:t>
            </w:r>
          </w:p>
        </w:tc>
        <w:tc>
          <w:tcPr>
            <w:tcW w:w="1360" w:type="dxa"/>
            <w:vAlign w:val="bottom"/>
          </w:tcPr>
          <w:p>
            <w:pPr>
              <w:spacing w:after="0"/>
              <w:rPr>
                <w:sz w:val="11"/>
                <w:szCs w:val="11"/>
                <w:color w:val="auto"/>
              </w:rPr>
            </w:pPr>
          </w:p>
        </w:tc>
        <w:tc>
          <w:tcPr>
            <w:tcW w:w="30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Subordinated Note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P.O. Box 409</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12.0%/2.0%</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12/31/2016</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2,250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2,250</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2,153</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North Branford, CT 06471</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 (1,051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285</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Common Equity - Series A (148 shares)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 Series D (527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9,995</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9,650</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Caldwell &amp; Gregory, LLC</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Laundry Services</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11.5%/1.0%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11/30/2018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1,524</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1,502</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129 Broad Street Road</w:t>
            </w:r>
          </w:p>
        </w:tc>
        <w:tc>
          <w:tcPr>
            <w:tcW w:w="1360" w:type="dxa"/>
            <w:vAlign w:val="bottom"/>
          </w:tcPr>
          <w:p>
            <w:pPr>
              <w:spacing w:after="0"/>
              <w:rPr>
                <w:sz w:val="12"/>
                <w:szCs w:val="12"/>
                <w:color w:val="auto"/>
              </w:rPr>
            </w:pP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0.0%/12.0%</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5/31/2019</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3,618</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3,394</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3,618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Manakin-Sabot, VA 23103</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(500,000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Warrant (242,121 units)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242</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5,638</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5,985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Carlson Systems Holdings, Inc.</w:t>
            </w:r>
          </w:p>
        </w:tc>
        <w:tc>
          <w:tcPr>
            <w:tcW w:w="1360" w:type="dxa"/>
            <w:vAlign w:val="bottom"/>
          </w:tcPr>
          <w:p>
            <w:pPr>
              <w:spacing w:after="0"/>
              <w:rPr>
                <w:sz w:val="20"/>
                <w:szCs w:val="20"/>
                <w:color w:val="auto"/>
              </w:rPr>
            </w:pPr>
            <w:r>
              <w:rPr>
                <w:rFonts w:ascii="Arial" w:cs="Arial" w:eastAsia="Arial" w:hAnsi="Arial"/>
                <w:sz w:val="14"/>
                <w:szCs w:val="14"/>
                <w:color w:val="auto"/>
              </w:rPr>
              <w:t>Specialty Distribution</w:t>
            </w:r>
          </w:p>
        </w:tc>
        <w:tc>
          <w:tcPr>
            <w:tcW w:w="3080" w:type="dxa"/>
            <w:vAlign w:val="bottom"/>
            <w:gridSpan w:val="3"/>
          </w:tcPr>
          <w:p>
            <w:pPr>
              <w:ind w:left="100"/>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11.5%/0.0%</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5/20/2020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12,000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11,941</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11,941</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10840 Harney Street</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(7,500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Omaha, NE 68154</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12,691</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12,691</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Channel Technologies Group, LLC</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Component</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11.0%/1.3%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4/10/2019</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7,000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6,952</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6,619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879 Ward Drive</w:t>
            </w: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Manufacturing</w:t>
            </w: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Equity (612 units)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1,139</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Santa Barbara, CA 93111</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(612,432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8,091</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7,305</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Connect-Air International, Inc.</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Specialty Distribution</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12.8%/0.0%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11,395</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11,400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4240 B Street N.W.</w:t>
            </w:r>
          </w:p>
        </w:tc>
        <w:tc>
          <w:tcPr>
            <w:tcW w:w="1360" w:type="dxa"/>
            <w:vAlign w:val="bottom"/>
          </w:tcPr>
          <w:p>
            <w:pPr>
              <w:spacing w:after="0"/>
              <w:rPr>
                <w:sz w:val="13"/>
                <w:szCs w:val="13"/>
                <w:color w:val="auto"/>
              </w:rPr>
            </w:pP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Common Equity</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4,600</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Auburn, WA 98001</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11,395</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16,000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8"/>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Continental Anesthesia Management,</w:t>
            </w:r>
          </w:p>
        </w:tc>
        <w:tc>
          <w:tcPr>
            <w:tcW w:w="1360" w:type="dxa"/>
            <w:vAlign w:val="bottom"/>
          </w:tcPr>
          <w:p>
            <w:pPr>
              <w:spacing w:after="0"/>
              <w:rPr>
                <w:sz w:val="20"/>
                <w:szCs w:val="20"/>
                <w:color w:val="auto"/>
              </w:rPr>
            </w:pPr>
            <w:r>
              <w:rPr>
                <w:rFonts w:ascii="Arial" w:cs="Arial" w:eastAsia="Arial" w:hAnsi="Arial"/>
                <w:sz w:val="14"/>
                <w:szCs w:val="14"/>
                <w:color w:val="auto"/>
              </w:rPr>
              <w:t>Healthcare Services</w:t>
            </w:r>
          </w:p>
        </w:tc>
        <w:tc>
          <w:tcPr>
            <w:tcW w:w="3080" w:type="dxa"/>
            <w:vAlign w:val="bottom"/>
            <w:gridSpan w:val="3"/>
          </w:tcPr>
          <w:p>
            <w:pPr>
              <w:ind w:left="100"/>
              <w:spacing w:after="0"/>
              <w:rPr>
                <w:sz w:val="20"/>
                <w:szCs w:val="20"/>
                <w:color w:val="auto"/>
              </w:rPr>
            </w:pPr>
            <w:r>
              <w:rPr>
                <w:rFonts w:ascii="Arial" w:cs="Arial" w:eastAsia="Arial" w:hAnsi="Arial"/>
                <w:sz w:val="14"/>
                <w:szCs w:val="14"/>
                <w:color w:val="auto"/>
              </w:rPr>
              <w:t>Senior Secured Loan</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8.0%/6.0%</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4/15/2015</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10,259</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10,252</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10,130</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i w:val="1"/>
                <w:iCs w:val="1"/>
                <w:color w:val="auto"/>
              </w:rPr>
              <w:t>LLC</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1770 First Street, Suite 703</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 (263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276</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Highland Park, IL 60035</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10,528</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10,130</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EBL, LLC (EbLens)</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12.0%/3.0%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9,610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9,584</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9,706</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299 Industrial Avenue</w:t>
            </w:r>
          </w:p>
        </w:tc>
        <w:tc>
          <w:tcPr>
            <w:tcW w:w="1360" w:type="dxa"/>
            <w:vAlign w:val="bottom"/>
          </w:tcPr>
          <w:p>
            <w:pPr>
              <w:spacing w:after="0"/>
              <w:rPr>
                <w:sz w:val="12"/>
                <w:szCs w:val="12"/>
                <w:color w:val="auto"/>
              </w:rPr>
            </w:pP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Common Equity (750,000 units)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Torrington, CT 06790</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10,334</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10,687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FDS Avionics Corp.</w:t>
            </w:r>
          </w:p>
        </w:tc>
        <w:tc>
          <w:tcPr>
            <w:tcW w:w="1360" w:type="dxa"/>
            <w:vAlign w:val="bottom"/>
          </w:tcPr>
          <w:p>
            <w:pPr>
              <w:spacing w:after="0"/>
              <w:rPr>
                <w:sz w:val="20"/>
                <w:szCs w:val="20"/>
                <w:color w:val="auto"/>
              </w:rPr>
            </w:pPr>
            <w:r>
              <w:rPr>
                <w:rFonts w:ascii="Arial" w:cs="Arial" w:eastAsia="Arial" w:hAnsi="Arial"/>
                <w:sz w:val="14"/>
                <w:szCs w:val="14"/>
                <w:color w:val="auto"/>
                <w:w w:val="98"/>
              </w:rPr>
              <w:t>Aerospace &amp; Defense</w:t>
            </w:r>
          </w:p>
        </w:tc>
        <w:tc>
          <w:tcPr>
            <w:tcW w:w="3080" w:type="dxa"/>
            <w:vAlign w:val="bottom"/>
            <w:gridSpan w:val="3"/>
          </w:tcPr>
          <w:p>
            <w:pPr>
              <w:ind w:left="100"/>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12.3%/0.0%</w:t>
            </w:r>
          </w:p>
        </w:tc>
        <w:tc>
          <w:tcPr>
            <w:tcW w:w="1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4/1/2020</w:t>
            </w:r>
          </w:p>
        </w:tc>
        <w:tc>
          <w:tcPr>
            <w:tcW w:w="18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5,200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5,175</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5,175</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Flight Display Systems)</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(200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6435 Shiloh Road, Suite 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7,175</w:t>
            </w:r>
          </w:p>
        </w:tc>
        <w:tc>
          <w:tcPr>
            <w:tcW w:w="2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7,175</w:t>
            </w:r>
          </w:p>
        </w:tc>
        <w:tc>
          <w:tcPr>
            <w:tcW w:w="1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Alpharetta, GA 30005</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FTH Acquisition Corp. VII</w:t>
            </w:r>
          </w:p>
        </w:tc>
        <w:tc>
          <w:tcPr>
            <w:tcW w:w="1360" w:type="dxa"/>
            <w:vAlign w:val="bottom"/>
          </w:tcPr>
          <w:p>
            <w:pPr>
              <w:spacing w:after="0"/>
              <w:rPr>
                <w:sz w:val="20"/>
                <w:szCs w:val="20"/>
                <w:color w:val="auto"/>
              </w:rPr>
            </w:pPr>
            <w:r>
              <w:rPr>
                <w:rFonts w:ascii="Arial" w:cs="Arial" w:eastAsia="Arial" w:hAnsi="Arial"/>
                <w:sz w:val="14"/>
                <w:szCs w:val="14"/>
                <w:color w:val="auto"/>
              </w:rPr>
              <w:t>Information</w:t>
            </w:r>
          </w:p>
        </w:tc>
        <w:tc>
          <w:tcPr>
            <w:tcW w:w="3080" w:type="dxa"/>
            <w:vAlign w:val="bottom"/>
            <w:gridSpan w:val="3"/>
          </w:tcPr>
          <w:p>
            <w:pPr>
              <w:ind w:left="100"/>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13.0%/0.0%</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2/27/2015</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8,395</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8,395</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8,350</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5655 Peachtree Parkway</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 Services</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Equity (887,122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887</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Norcross, GA 30092</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9,282</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8,971</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Grindmaster Corporation</w:t>
            </w: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11.5%/0.0%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10/31/2019</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10,500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10,456</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10,456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4003 Collins Lane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Louisville, KY 40245</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IOS Acquisitions, Inc.</w:t>
            </w:r>
          </w:p>
        </w:tc>
        <w:tc>
          <w:tcPr>
            <w:tcW w:w="1360" w:type="dxa"/>
            <w:vAlign w:val="bottom"/>
          </w:tcPr>
          <w:p>
            <w:pPr>
              <w:spacing w:after="0"/>
              <w:rPr>
                <w:sz w:val="20"/>
                <w:szCs w:val="20"/>
                <w:color w:val="auto"/>
              </w:rPr>
            </w:pPr>
            <w:r>
              <w:rPr>
                <w:rFonts w:ascii="Arial" w:cs="Arial" w:eastAsia="Arial" w:hAnsi="Arial"/>
                <w:sz w:val="14"/>
                <w:szCs w:val="14"/>
                <w:color w:val="auto"/>
              </w:rPr>
              <w:t>Oil &amp; Gas Services</w:t>
            </w:r>
          </w:p>
        </w:tc>
        <w:tc>
          <w:tcPr>
            <w:tcW w:w="3080" w:type="dxa"/>
            <w:vAlign w:val="bottom"/>
            <w:gridSpan w:val="3"/>
          </w:tcPr>
          <w:p>
            <w:pPr>
              <w:ind w:left="100"/>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12.0%/3.3%</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6/26/2018</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14,263</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14,175</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13,788</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8909 Youngsville Highway 89,</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(2,152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P.O. Box 397</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14,675</w:t>
            </w:r>
          </w:p>
        </w:tc>
        <w:tc>
          <w:tcPr>
            <w:tcW w:w="2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14,152</w:t>
            </w:r>
          </w:p>
        </w:tc>
        <w:tc>
          <w:tcPr>
            <w:tcW w:w="1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Youngsville, LA 70592</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Jacob Ash Holdings, Inc.</w:t>
            </w:r>
          </w:p>
        </w:tc>
        <w:tc>
          <w:tcPr>
            <w:tcW w:w="1360" w:type="dxa"/>
            <w:vAlign w:val="bottom"/>
          </w:tcPr>
          <w:p>
            <w:pPr>
              <w:spacing w:after="0"/>
              <w:rPr>
                <w:sz w:val="20"/>
                <w:szCs w:val="20"/>
                <w:color w:val="auto"/>
              </w:rPr>
            </w:pPr>
            <w:r>
              <w:rPr>
                <w:rFonts w:ascii="Arial" w:cs="Arial" w:eastAsia="Arial" w:hAnsi="Arial"/>
                <w:sz w:val="14"/>
                <w:szCs w:val="14"/>
                <w:color w:val="auto"/>
              </w:rPr>
              <w:t>Apparel Distribution</w:t>
            </w:r>
          </w:p>
        </w:tc>
        <w:tc>
          <w:tcPr>
            <w:tcW w:w="3080" w:type="dxa"/>
            <w:vAlign w:val="bottom"/>
            <w:gridSpan w:val="3"/>
          </w:tcPr>
          <w:p>
            <w:pPr>
              <w:ind w:left="100"/>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13.0%/4.0%</w:t>
            </w:r>
          </w:p>
        </w:tc>
        <w:tc>
          <w:tcPr>
            <w:tcW w:w="1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6/30/2018</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4,000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3,992</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4,000</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301 Munson Avenue</w:t>
            </w: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13.0%/0.0%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6/30/2018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963</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953</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McKees Rocks, PA 15136</w:t>
            </w:r>
          </w:p>
        </w:tc>
        <w:tc>
          <w:tcPr>
            <w:tcW w:w="1360" w:type="dxa"/>
            <w:vAlign w:val="bottom"/>
          </w:tcPr>
          <w:p>
            <w:pPr>
              <w:spacing w:after="0"/>
              <w:rPr>
                <w:sz w:val="12"/>
                <w:szCs w:val="12"/>
                <w:color w:val="auto"/>
              </w:rPr>
            </w:pPr>
          </w:p>
        </w:tc>
        <w:tc>
          <w:tcPr>
            <w:tcW w:w="3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Equity (66,138 shares)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0.0%/15.0%</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6/30/2018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798</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 (63,492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5,810</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5,773</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Rate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4"/>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Address</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27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Investment Type</w:t>
            </w:r>
          </w:p>
        </w:tc>
        <w:tc>
          <w:tcPr>
            <w:tcW w:w="88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6"/>
        </w:trPr>
        <w:tc>
          <w:tcPr>
            <w:tcW w:w="2560" w:type="dxa"/>
            <w:vAlign w:val="bottom"/>
            <w:gridSpan w:val="3"/>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Cash/PIK</w:t>
            </w:r>
          </w:p>
        </w:tc>
        <w:tc>
          <w:tcPr>
            <w:tcW w:w="94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K2 Industrial Services, Inc.</w:t>
            </w:r>
          </w:p>
        </w:tc>
        <w:tc>
          <w:tcPr>
            <w:tcW w:w="76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Industrial Cleaning</w:t>
            </w:r>
          </w:p>
        </w:tc>
        <w:tc>
          <w:tcPr>
            <w:tcW w:w="10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Subordinated Note</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11.8%/2.8%</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5/23/2017</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15,213</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15,162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15,213</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5233 Hohman Avenue</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&amp; Coatings</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 Series A (1,200 shares)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914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Hammond, IN 46320</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 Series B (74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16,210</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Lightning Diversion Systems, LLC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&amp; Defense</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10.5%/0.0%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12/20/2018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12,198</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12,154</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12,198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16572 Burke LN</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Manufacturing</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Revolving Loan ($1,000 commitment)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12/20/2018</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Huntington Beach, CA 92647</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(600,000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2,204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12,152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14,400</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MedPlast, LLC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Products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11.0%/1.5%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3/31/2019</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10,185</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10,126</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10,185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405 West Geneva Drive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(188 shares)</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0.0%/8.0%</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Tempe, AZ 85282</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(3,728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10,394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10,456</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National Truck Protection Co., Inc.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13.5%/2.0%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9/13/2018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12,662</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12,598</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12,662</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 Commerce Drive, Suite 200</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Units (1,109 shares)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1,923</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Cranford, NJ 07016</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13,356</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14,585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Oaktree Medical Centre, P.C.</w:t>
            </w:r>
          </w:p>
        </w:tc>
        <w:tc>
          <w:tcPr>
            <w:tcW w:w="1440" w:type="dxa"/>
            <w:vAlign w:val="bottom"/>
            <w:gridSpan w:val="2"/>
          </w:tcPr>
          <w:p>
            <w:pPr>
              <w:spacing w:after="0"/>
              <w:rPr>
                <w:sz w:val="20"/>
                <w:szCs w:val="20"/>
                <w:color w:val="auto"/>
              </w:rPr>
            </w:pPr>
            <w:r>
              <w:rPr>
                <w:rFonts w:ascii="Arial" w:cs="Arial" w:eastAsia="Arial" w:hAnsi="Arial"/>
                <w:sz w:val="14"/>
                <w:szCs w:val="14"/>
                <w:color w:val="auto"/>
              </w:rPr>
              <w:t>Healthcare Services</w:t>
            </w:r>
          </w:p>
        </w:tc>
        <w:tc>
          <w:tcPr>
            <w:tcW w:w="2720" w:type="dxa"/>
            <w:vAlign w:val="bottom"/>
            <w:gridSpan w:val="2"/>
          </w:tcPr>
          <w:p>
            <w:pPr>
              <w:spacing w:after="0"/>
              <w:rPr>
                <w:sz w:val="20"/>
                <w:szCs w:val="20"/>
                <w:color w:val="auto"/>
              </w:rPr>
            </w:pPr>
            <w:r>
              <w:rPr>
                <w:rFonts w:ascii="Arial" w:cs="Arial" w:eastAsia="Arial" w:hAnsi="Arial"/>
                <w:sz w:val="14"/>
                <w:szCs w:val="14"/>
                <w:color w:val="auto"/>
              </w:rPr>
              <w:t>Senior Secured Loan</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6.5%/0.0%</w:t>
            </w:r>
          </w:p>
        </w:tc>
        <w:tc>
          <w:tcPr>
            <w:tcW w:w="1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5/6/2019</w:t>
            </w:r>
          </w:p>
        </w:tc>
        <w:tc>
          <w:tcPr>
            <w:tcW w:w="580" w:type="dxa"/>
            <w:vAlign w:val="bottom"/>
          </w:tcPr>
          <w:p>
            <w:pPr>
              <w:jc w:val="right"/>
              <w:spacing w:after="0"/>
              <w:rPr>
                <w:sz w:val="20"/>
                <w:szCs w:val="20"/>
                <w:color w:val="auto"/>
              </w:rPr>
            </w:pPr>
            <w:r>
              <w:rPr>
                <w:rFonts w:ascii="Arial" w:cs="Arial" w:eastAsia="Arial" w:hAnsi="Arial"/>
                <w:sz w:val="14"/>
                <w:szCs w:val="14"/>
                <w:color w:val="auto"/>
              </w:rPr>
              <w:t>700</w:t>
            </w:r>
          </w:p>
        </w:tc>
        <w:tc>
          <w:tcPr>
            <w:tcW w:w="18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675</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(dba Pain Management Associates)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14.0%/0.0%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5/6/2019</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5,300</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5,254</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 East Broad Street, Suite 200</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Revolving Loan ($500 commitment)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5/6/2019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Greenville, SC 29601</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6,194</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5,925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Pinnergy, Ltd.</w:t>
            </w:r>
          </w:p>
        </w:tc>
        <w:tc>
          <w:tcPr>
            <w:tcW w:w="1440" w:type="dxa"/>
            <w:vAlign w:val="bottom"/>
            <w:gridSpan w:val="2"/>
          </w:tcPr>
          <w:p>
            <w:pPr>
              <w:spacing w:after="0"/>
              <w:rPr>
                <w:sz w:val="20"/>
                <w:szCs w:val="20"/>
                <w:color w:val="auto"/>
              </w:rPr>
            </w:pPr>
            <w:r>
              <w:rPr>
                <w:rFonts w:ascii="Arial" w:cs="Arial" w:eastAsia="Arial" w:hAnsi="Arial"/>
                <w:sz w:val="14"/>
                <w:szCs w:val="14"/>
                <w:color w:val="auto"/>
              </w:rPr>
              <w:t>Oil &amp; Gas Services</w:t>
            </w:r>
          </w:p>
        </w:tc>
        <w:tc>
          <w:tcPr>
            <w:tcW w:w="272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10.5%/0.8%</w:t>
            </w:r>
          </w:p>
        </w:tc>
        <w:tc>
          <w:tcPr>
            <w:tcW w:w="1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1/24/2020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20,000</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19,931</w:t>
            </w:r>
          </w:p>
        </w:tc>
        <w:tc>
          <w:tcPr>
            <w:tcW w:w="100" w:type="dxa"/>
            <w:vAlign w:val="bottom"/>
          </w:tcPr>
          <w:p>
            <w:pPr>
              <w:spacing w:after="0"/>
              <w:rPr>
                <w:sz w:val="22"/>
                <w:szCs w:val="22"/>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19,812</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111 Congress Avenue, Suite 2020</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Austin, TX 78701</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Plymouth Rock Energy, LLC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Secured Loan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11.8%/0.0%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5/14/2017</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6,000</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5,973</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1074 Broadway</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Services</w:t>
            </w: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Woodmere, NY 11598</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Premium Franchise Brands, LLC</w:t>
            </w:r>
          </w:p>
        </w:tc>
        <w:tc>
          <w:tcPr>
            <w:tcW w:w="1440" w:type="dxa"/>
            <w:vAlign w:val="bottom"/>
            <w:gridSpan w:val="2"/>
          </w:tcPr>
          <w:p>
            <w:pPr>
              <w:spacing w:after="0"/>
              <w:rPr>
                <w:sz w:val="20"/>
                <w:szCs w:val="20"/>
                <w:color w:val="auto"/>
              </w:rPr>
            </w:pPr>
            <w:r>
              <w:rPr>
                <w:rFonts w:ascii="Arial" w:cs="Arial" w:eastAsia="Arial" w:hAnsi="Arial"/>
                <w:sz w:val="14"/>
                <w:szCs w:val="14"/>
                <w:color w:val="auto"/>
              </w:rPr>
              <w:t>Commercial</w:t>
            </w:r>
          </w:p>
        </w:tc>
        <w:tc>
          <w:tcPr>
            <w:tcW w:w="2720" w:type="dxa"/>
            <w:vAlign w:val="bottom"/>
            <w:gridSpan w:val="2"/>
          </w:tcPr>
          <w:p>
            <w:pPr>
              <w:spacing w:after="0"/>
              <w:rPr>
                <w:sz w:val="20"/>
                <w:szCs w:val="20"/>
                <w:color w:val="auto"/>
              </w:rPr>
            </w:pPr>
            <w:r>
              <w:rPr>
                <w:rFonts w:ascii="Arial" w:cs="Arial" w:eastAsia="Arial" w:hAnsi="Arial"/>
                <w:sz w:val="14"/>
                <w:szCs w:val="14"/>
                <w:color w:val="auto"/>
              </w:rPr>
              <w:t>Preferred Equity (1,054,619 shares)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718</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2520 Northwinds Parkway,</w:t>
            </w:r>
          </w:p>
        </w:tc>
        <w:tc>
          <w:tcPr>
            <w:tcW w:w="1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Cleaning</w:t>
            </w: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Suite 375</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Alpharetta, GA 30009</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Restaurant Finance Co, LLC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Restaurants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Senior Secured Loan ($10,500 commitment)</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12.0%/4.0%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7/31/2020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5,145</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5,133</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5,145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6300 Carmel Road, Suite 110B</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Charlotte, NC 28277</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Simplex Manufacturing Co.</w:t>
            </w:r>
          </w:p>
        </w:tc>
        <w:tc>
          <w:tcPr>
            <w:tcW w:w="1440" w:type="dxa"/>
            <w:vAlign w:val="bottom"/>
            <w:gridSpan w:val="2"/>
          </w:tcPr>
          <w:p>
            <w:pPr>
              <w:spacing w:after="0"/>
              <w:rPr>
                <w:sz w:val="20"/>
                <w:szCs w:val="20"/>
                <w:color w:val="auto"/>
              </w:rPr>
            </w:pPr>
            <w:r>
              <w:rPr>
                <w:rFonts w:ascii="Arial" w:cs="Arial" w:eastAsia="Arial" w:hAnsi="Arial"/>
                <w:sz w:val="14"/>
                <w:szCs w:val="14"/>
                <w:color w:val="auto"/>
              </w:rPr>
              <w:t>Aerospace &amp; Defense</w:t>
            </w:r>
          </w:p>
        </w:tc>
        <w:tc>
          <w:tcPr>
            <w:tcW w:w="272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right"/>
              <w:spacing w:after="0"/>
              <w:rPr>
                <w:sz w:val="20"/>
                <w:szCs w:val="20"/>
                <w:color w:val="auto"/>
              </w:rPr>
            </w:pPr>
            <w:r>
              <w:rPr>
                <w:rFonts w:ascii="Arial" w:cs="Arial" w:eastAsia="Arial" w:hAnsi="Arial"/>
                <w:sz w:val="14"/>
                <w:szCs w:val="14"/>
                <w:color w:val="auto"/>
                <w:w w:val="92"/>
              </w:rPr>
              <w:t>14.0%/0.0%</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11/1/2015</w:t>
            </w:r>
          </w:p>
        </w:tc>
        <w:tc>
          <w:tcPr>
            <w:tcW w:w="24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4,550</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4,537</w:t>
            </w:r>
          </w:p>
        </w:tc>
        <w:tc>
          <w:tcPr>
            <w:tcW w:w="100" w:type="dxa"/>
            <w:vAlign w:val="bottom"/>
          </w:tcPr>
          <w:p>
            <w:pPr>
              <w:spacing w:after="0"/>
              <w:rPr>
                <w:sz w:val="22"/>
                <w:szCs w:val="22"/>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4,537</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13340 NE Whitaker Way</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Manufacturing</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 (24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Portland, OR 97230</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5,350</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Toledo Molding &amp; Die, Inc.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Component</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10.5%/0.0%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12/18/2018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9,851</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9,851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1429 Coining Drive</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Manufacturing</w:t>
            </w: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Toledo, OH 43612</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United Biologics, LLC</w:t>
            </w:r>
          </w:p>
        </w:tc>
        <w:tc>
          <w:tcPr>
            <w:tcW w:w="1440" w:type="dxa"/>
            <w:vAlign w:val="bottom"/>
            <w:gridSpan w:val="2"/>
          </w:tcPr>
          <w:p>
            <w:pPr>
              <w:spacing w:after="0"/>
              <w:rPr>
                <w:sz w:val="20"/>
                <w:szCs w:val="20"/>
                <w:color w:val="auto"/>
              </w:rPr>
            </w:pPr>
            <w:r>
              <w:rPr>
                <w:rFonts w:ascii="Arial" w:cs="Arial" w:eastAsia="Arial" w:hAnsi="Arial"/>
                <w:sz w:val="14"/>
                <w:szCs w:val="14"/>
                <w:color w:val="auto"/>
              </w:rPr>
              <w:t>Healthcare Services</w:t>
            </w:r>
          </w:p>
        </w:tc>
        <w:tc>
          <w:tcPr>
            <w:tcW w:w="272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12.0%/2.0%</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3/5/2017</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8,688</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8,393</w:t>
            </w:r>
          </w:p>
        </w:tc>
        <w:tc>
          <w:tcPr>
            <w:tcW w:w="100" w:type="dxa"/>
            <w:vAlign w:val="bottom"/>
          </w:tcPr>
          <w:p>
            <w:pPr>
              <w:spacing w:after="0"/>
              <w:rPr>
                <w:sz w:val="23"/>
                <w:szCs w:val="23"/>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8,688</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100 NE Loop 410, Suite 200</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Equity (98,377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San Antonio, TX 78216</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Warrant (57,469 units)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10,028</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10,038</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US GreenFiber, LLC</w:t>
            </w:r>
          </w:p>
        </w:tc>
        <w:tc>
          <w:tcPr>
            <w:tcW w:w="1440" w:type="dxa"/>
            <w:vAlign w:val="bottom"/>
            <w:gridSpan w:val="2"/>
          </w:tcPr>
          <w:p>
            <w:pPr>
              <w:spacing w:after="0"/>
              <w:rPr>
                <w:sz w:val="20"/>
                <w:szCs w:val="20"/>
                <w:color w:val="auto"/>
              </w:rPr>
            </w:pPr>
            <w:r>
              <w:rPr>
                <w:rFonts w:ascii="Arial" w:cs="Arial" w:eastAsia="Arial" w:hAnsi="Arial"/>
                <w:sz w:val="14"/>
                <w:szCs w:val="14"/>
                <w:color w:val="auto"/>
              </w:rPr>
              <w:t>Building Products</w:t>
            </w:r>
          </w:p>
        </w:tc>
        <w:tc>
          <w:tcPr>
            <w:tcW w:w="272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12.5%/0.0%</w:t>
            </w:r>
          </w:p>
        </w:tc>
        <w:tc>
          <w:tcPr>
            <w:tcW w:w="1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1/2/2019</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14,000</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13,936</w:t>
            </w:r>
          </w:p>
        </w:tc>
        <w:tc>
          <w:tcPr>
            <w:tcW w:w="100" w:type="dxa"/>
            <w:vAlign w:val="bottom"/>
          </w:tcPr>
          <w:p>
            <w:pPr>
              <w:spacing w:after="0"/>
              <w:rPr>
                <w:sz w:val="22"/>
                <w:szCs w:val="22"/>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13,936</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2500 Distribution Street, Suite 200</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Manufacturing</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(1,667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2"/>
          </w:tcPr>
          <w:p>
            <w:pPr>
              <w:ind w:left="140"/>
              <w:spacing w:after="0"/>
              <w:rPr>
                <w:sz w:val="20"/>
                <w:szCs w:val="20"/>
                <w:color w:val="auto"/>
              </w:rPr>
            </w:pPr>
            <w:r>
              <w:rPr>
                <w:rFonts w:ascii="Arial" w:cs="Arial" w:eastAsia="Arial" w:hAnsi="Arial"/>
                <w:sz w:val="14"/>
                <w:szCs w:val="14"/>
                <w:color w:val="auto"/>
              </w:rPr>
              <w:t>Charlotte, NC 28203</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14,436</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Virginia Tile Company, LLC</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Specialty</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12.3%/0.0%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5/19/2020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12,000</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11,940</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28320 Plymouth Road</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(19.5 shares)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Livonia, MI 48150</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12,190</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12,190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Worldwide Express Operations, LLC</w:t>
            </w:r>
          </w:p>
        </w:tc>
        <w:tc>
          <w:tcPr>
            <w:tcW w:w="1440" w:type="dxa"/>
            <w:vAlign w:val="bottom"/>
            <w:gridSpan w:val="2"/>
          </w:tcPr>
          <w:p>
            <w:pPr>
              <w:spacing w:after="0"/>
              <w:rPr>
                <w:sz w:val="20"/>
                <w:szCs w:val="20"/>
                <w:color w:val="auto"/>
              </w:rPr>
            </w:pPr>
            <w:r>
              <w:rPr>
                <w:rFonts w:ascii="Arial" w:cs="Arial" w:eastAsia="Arial" w:hAnsi="Arial"/>
                <w:sz w:val="14"/>
                <w:szCs w:val="14"/>
                <w:color w:val="auto"/>
              </w:rPr>
              <w:t>Transportation</w:t>
            </w:r>
          </w:p>
        </w:tc>
        <w:tc>
          <w:tcPr>
            <w:tcW w:w="2720" w:type="dxa"/>
            <w:vAlign w:val="bottom"/>
            <w:gridSpan w:val="2"/>
          </w:tcPr>
          <w:p>
            <w:pPr>
              <w:spacing w:after="0"/>
              <w:rPr>
                <w:sz w:val="20"/>
                <w:szCs w:val="20"/>
                <w:color w:val="auto"/>
              </w:rPr>
            </w:pPr>
            <w:r>
              <w:rPr>
                <w:rFonts w:ascii="Arial" w:cs="Arial" w:eastAsia="Arial" w:hAnsi="Arial"/>
                <w:sz w:val="14"/>
                <w:szCs w:val="14"/>
                <w:color w:val="auto"/>
              </w:rPr>
              <w:t>Subordinated Note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11.5%/1.0%</w:t>
            </w:r>
          </w:p>
        </w:tc>
        <w:tc>
          <w:tcPr>
            <w:tcW w:w="1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8/1/2020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12,678</w:t>
            </w:r>
          </w:p>
        </w:tc>
        <w:tc>
          <w:tcPr>
            <w:tcW w:w="580" w:type="dxa"/>
            <w:vAlign w:val="bottom"/>
            <w:gridSpan w:val="3"/>
          </w:tcPr>
          <w:p>
            <w:pPr>
              <w:jc w:val="right"/>
              <w:ind w:right="20"/>
              <w:spacing w:after="0"/>
              <w:rPr>
                <w:sz w:val="20"/>
                <w:szCs w:val="20"/>
                <w:color w:val="auto"/>
              </w:rPr>
            </w:pPr>
            <w:r>
              <w:rPr>
                <w:rFonts w:ascii="Arial" w:cs="Arial" w:eastAsia="Arial" w:hAnsi="Arial"/>
                <w:sz w:val="14"/>
                <w:szCs w:val="14"/>
                <w:color w:val="auto"/>
              </w:rPr>
              <w:t>12,578</w:t>
            </w:r>
          </w:p>
        </w:tc>
        <w:tc>
          <w:tcPr>
            <w:tcW w:w="100" w:type="dxa"/>
            <w:vAlign w:val="bottom"/>
          </w:tcPr>
          <w:p>
            <w:pPr>
              <w:spacing w:after="0"/>
              <w:rPr>
                <w:sz w:val="22"/>
                <w:szCs w:val="22"/>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12,678</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2828 Routh Street, Suite 400</w:t>
            </w:r>
          </w:p>
        </w:tc>
        <w:tc>
          <w:tcPr>
            <w:tcW w:w="1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Services</w:t>
            </w:r>
          </w:p>
        </w:tc>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 (2,500,000 units)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3,135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Dallas, TX 75201</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15,078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15,813</w:t>
            </w:r>
          </w:p>
        </w:tc>
        <w:tc>
          <w:tcPr>
            <w:tcW w:w="180" w:type="dxa"/>
            <w:vAlign w:val="bottom"/>
          </w:tcPr>
          <w:p>
            <w:pPr>
              <w:spacing w:after="0"/>
              <w:rPr>
                <w:sz w:val="14"/>
                <w:szCs w:val="14"/>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Non-Control/Non-Affiliate Investments</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298,899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305,911</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391,338</w:t>
            </w: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396,355</w:t>
            </w:r>
          </w:p>
        </w:tc>
        <w:tc>
          <w:tcPr>
            <w:tcW w:w="180" w:type="dxa"/>
            <w:vAlign w:val="bottom"/>
            <w:vMerge w:val="continue"/>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5.0% of our total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Pinnergy, Ltd. </w:t>
      </w:r>
      <w:r>
        <w:rPr>
          <w:rFonts w:ascii="Arial" w:cs="Arial" w:eastAsia="Arial" w:hAnsi="Arial"/>
          <w:sz w:val="18"/>
          <w:szCs w:val="18"/>
          <w:color w:val="auto"/>
        </w:rPr>
        <w:t>is a leading provider of fluid management and drilling services for oil and gas wells located throughout Texas and Louisiana.</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our charter, our directors are divided into three classes. Each class of directors will hold office for a three-year term. However, the initial members of the three classes will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This classification of our board of directors may have the effect of delaying or preventing a change in control of our management. Each director will hold office for the term to which he or she is elected and until his or her successor is duly elected and qualifies. Our charter permits the board of directors to elect directors to fill vacancies that are created either through an increase in the number of directors or due to the resignation, removal or death of any director.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individuals currently serve on our board of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Age</w:t>
            </w:r>
          </w:p>
        </w:tc>
        <w:tc>
          <w:tcPr>
            <w:tcW w:w="4740" w:type="dxa"/>
            <w:vAlign w:val="bottom"/>
            <w:gridSpan w:val="2"/>
            <w:vMerge w:val="restart"/>
          </w:tcPr>
          <w:p>
            <w:pPr>
              <w:ind w:left="1960"/>
              <w:spacing w:after="0"/>
              <w:rPr>
                <w:sz w:val="20"/>
                <w:szCs w:val="20"/>
                <w:color w:val="auto"/>
              </w:rPr>
            </w:pPr>
            <w:r>
              <w:rPr>
                <w:rFonts w:ascii="Arial" w:cs="Arial" w:eastAsia="Arial" w:hAnsi="Arial"/>
                <w:sz w:val="14"/>
                <w:szCs w:val="14"/>
                <w:b w:val="1"/>
                <w:bCs w:val="1"/>
                <w:color w:val="auto"/>
              </w:rPr>
              <w:t>Position</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Director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Since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Interested Directors:</w:t>
            </w: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4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Edward H. Ross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Thomas C. Lauer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31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Raymond L. Anstiss, Jr.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Charles D. Hyman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3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John A. Mazzarino</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directors is c/o Fidus Investment Corporation, 1603 Orrington Avenue, Suite 1005, Evanston, Illinois 60201.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60" w:type="dxa"/>
            <w:vAlign w:val="bottom"/>
            <w:gridSpan w:val="2"/>
          </w:tcPr>
          <w:p>
            <w:pPr>
              <w:ind w:left="170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6080" w:type="dxa"/>
            <w:vAlign w:val="bottom"/>
          </w:tcPr>
          <w:p>
            <w:pPr>
              <w:ind w:left="28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Shelby E. Sherard</w:t>
            </w: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16"/>
                <w:szCs w:val="16"/>
                <w:color w:val="auto"/>
              </w:rPr>
            </w:pPr>
          </w:p>
        </w:tc>
        <w:tc>
          <w:tcPr>
            <w:tcW w:w="6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 Chief Compliance Officer and</w:t>
            </w: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80" w:type="dxa"/>
            <w:vAlign w:val="bottom"/>
            <w:gridSpan w:val="2"/>
          </w:tcPr>
          <w:p>
            <w:pPr>
              <w:ind w:left="200"/>
              <w:spacing w:after="0"/>
              <w:rPr>
                <w:sz w:val="20"/>
                <w:szCs w:val="20"/>
                <w:color w:val="auto"/>
              </w:rPr>
            </w:pPr>
            <w:r>
              <w:rPr>
                <w:rFonts w:ascii="Arial" w:cs="Arial" w:eastAsia="Arial" w:hAnsi="Arial"/>
                <w:sz w:val="18"/>
                <w:szCs w:val="18"/>
                <w:color w:val="auto"/>
              </w:rPr>
              <w:t>Corporate Secretary</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address for each of our executive officers is c/o Fidus Investment Corporation, 1603 Orrington Avenue, Suite 1005, Evanston, Illinois 60201.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purposes of this presentation, our directors have been divided into two groups—independent directors and interested directors. Interested directors are “interested persons” as defined in the 1940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Raymond L. Anstiss, Jr. </w:t>
      </w:r>
      <w:r>
        <w:rPr>
          <w:rFonts w:ascii="Arial" w:cs="Arial" w:eastAsia="Arial" w:hAnsi="Arial"/>
          <w:sz w:val="16"/>
          <w:szCs w:val="16"/>
          <w:color w:val="auto"/>
        </w:rPr>
        <w:t>has served on our Board of Directors since September 2011 and is the chairman of our Audit and Compensation Committee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 and a member of our Nominating and Corporate Governance Committee (“Nominating Committee”). Mr. Anstiss is the President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Anstiss &amp; Co., an accounting, audit, tax and financial consulting firm headquartered in Lowell, Massachusetts. Prior to joining Anstiss &amp; Co. in 1993,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Anstiss served on the audit staff of KPMG Peat Marwick from 1988 to 1992. Mr. Anstiss has served on the board of two not-for-profit companies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past five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Charles D. Hyman </w:t>
      </w:r>
      <w:r>
        <w:rPr>
          <w:rFonts w:ascii="Arial" w:cs="Arial" w:eastAsia="Arial" w:hAnsi="Arial"/>
          <w:sz w:val="18"/>
          <w:szCs w:val="18"/>
          <w:color w:val="auto"/>
        </w:rPr>
        <w:t>has served on our Board of Directors since our initial public offering in June 2011 and is the chairman of our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a member of our Audit Committee. Mr. Hyman is the founder and chief executive officer of Charles D. Hyman &amp; Co., a private, registered investment management firm located in Ponte Vedra Beach, Florida. Prior to forming Charles D. Hyman &amp; Co. in 1994, Mr. Hyman served as a senior vice president of St. Johns Investment Management Company. Mr. Hyman has served on the board of directors for several not-for-profit companies in the past five years.</w:t>
      </w:r>
    </w:p>
    <w:p>
      <w:pPr>
        <w:spacing w:after="0" w:line="188"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i w:val="1"/>
          <w:iCs w:val="1"/>
          <w:color w:val="auto"/>
        </w:rPr>
        <w:t xml:space="preserve">John A. Mazzarino </w:t>
      </w:r>
      <w:r>
        <w:rPr>
          <w:rFonts w:ascii="Arial" w:cs="Arial" w:eastAsia="Arial" w:hAnsi="Arial"/>
          <w:sz w:val="17"/>
          <w:szCs w:val="17"/>
          <w:color w:val="auto"/>
        </w:rPr>
        <w:t>has served on our Board of Directors since November, 2012 and is a member of our Audit Committee and our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Mr. Mazzarino is a Co-Founder and Managing Director of Cherokee Investment Partners, a private equity real estate investment management firm focused on the acquisition, remediation, management and development of brownfields in North America and Europe. Prior to co-founding Cherokee’s predecessor firm in 1988, Mr. Mazzarino worked at Bain &amp; Company from 1982 to 1988, where he specialized in mergers and acquisitions and corporate strategy. From 1977 to 1982 he worked at Peat, Marwick, Mitchell &amp; Co., consulting on policy issues with the Environmental Protection Agency, the Department of Housing and Urban Development, the Department of Energy and other federal agencies. Mr. Mazzarino currently serves as a member of the board of advisors of the MIT Sloan School Finance Group and is a director of Cherokee Gives Back, Cherokee’s philanthropic arm. In addition, Mr. Mazzarino is a member of two other private and not-for-profit company boards.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 xml:space="preserve">Edward H. Ross </w:t>
      </w:r>
      <w:r>
        <w:rPr>
          <w:rFonts w:ascii="Arial" w:cs="Arial" w:eastAsia="Arial" w:hAnsi="Arial"/>
          <w:sz w:val="16"/>
          <w:szCs w:val="16"/>
          <w:color w:val="auto"/>
        </w:rPr>
        <w:t>has served as chairman of our board of directors and our chief executive officer, and as chairman of our Investment Advisor’s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committees, since our initial public offering in June 2011. Additionally, Mr. Ross is the chief executive officer and a manager of our Investment Advisor. Mr. Ross is an interested director due to his positions with the Company and our Investment Advisor. Mr. Ross has more than 20 years of debt and equity capital investing experience with lower middle-market companies. Mr. Ross co-founded Fidus Capital, LLC, the predecessor firm to our Investment Advisor, in 2005. From February 2007 to June 2011, Mr. Ross served as a member of the investment committee of Fidus Mezzanine Capital GP, LLC, Fund I’s former general partner. From 2002 to 2005, Mr. Ross was a managing director and the head of the Chicago office for Allied Capital Corporation, a publicly-traded business development company, where he focused on making debt and equity investments in middle-market companies. Prior to joining Allied Capital Corporation, Mr. Ross co-founded Middle Market Capital, a merchant banking group of Wachovia Securities and its predecessor, First Union Securities, Inc., a retail brokerage and institutional capital markets and investment banking firm. Mr. Ross earned a bachelor of arts from Southern Methodist University and a master of business administration from the University of Notre Dame’s Mendoza College of Business. Mr. Ross is the brother of John J. Ross, II, a manager of our Investment Advisor and a member of its investment committees.</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Thomas C. Lauer </w:t>
      </w:r>
      <w:r>
        <w:rPr>
          <w:rFonts w:ascii="Arial" w:cs="Arial" w:eastAsia="Arial" w:hAnsi="Arial"/>
          <w:sz w:val="17"/>
          <w:szCs w:val="17"/>
          <w:color w:val="auto"/>
        </w:rPr>
        <w:t>has served as our director and as a member of our Investment Advisor’s investment committees since our initial public offering in</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Additionally, Mr. Lauer is a manager of our Investment Advisor. Mr. Lauer is an interested director due to his position with the Investment Advisor. Mr. Lauer has more than 17 years of experience investing debt and equity capital in lower middle-market companies. Mr. Lauer was a managing partner of Fidus Partners, LLC, an investment banking firm, from 2008 to June 2011. From 2004 to 2008, Mr. Lauer was a managing director of Allied Capital Corporation, a publicly-traded business development company, and member of that firm’s Management Committee from 2006 to 2008, Private Finance Investment Committee from 2005 to 2008, and Senior Debt Fund Investment Committee from 2007 to 2008. Prior to joining Allied Capital Corporation, Mr. Lauer worked with the Global Sponsor Finance Group of GE Capital, the financial services unit of General Electric, the Leveraged Capital Group at Wachovia Securities and its predecessor, First Union Securities, Inc., a retail brokerage and institutional capital markets and investment banking firm, and the Platform Components Division of Intel Corporation. Mr. Lauer earned a bachelor of business administration from the University of Norte Dame and master of business administration from the University of Notre Dame’s Mendoza College of Business.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Qualifications of Directors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 considering whether our directors have the experience, qualifications, attributes and skills, taken as a whole, to enable our board of directors to satisfy its oversight responsibilities effectively in light of our operational and organizational structure, the nominating and corporate governance committee and the board of directors focused primarily on the information discussed in each of the director’s individual biographies set forth above and on the following particular attributes: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Directors</w:t>
      </w:r>
    </w:p>
    <w:p>
      <w:pPr>
        <w:spacing w:after="0" w:line="131" w:lineRule="exact"/>
        <w:rPr>
          <w:sz w:val="20"/>
          <w:szCs w:val="20"/>
          <w:color w:val="auto"/>
        </w:rPr>
      </w:pPr>
    </w:p>
    <w:p>
      <w:pPr>
        <w:ind w:left="440" w:right="20" w:hanging="324"/>
        <w:spacing w:after="0" w:line="312"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Mr. Ross</w:t>
      </w:r>
      <w:r>
        <w:rPr>
          <w:rFonts w:ascii="Arial" w:cs="Arial" w:eastAsia="Arial" w:hAnsi="Arial"/>
          <w:sz w:val="16"/>
          <w:szCs w:val="16"/>
          <w:color w:val="auto"/>
        </w:rPr>
        <w:t>: The Nominating Committee and the Board of Directors considered his familiarity with the Fidus investment platform, his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with investing debt and equity capital in middle-market companies, and his broad experience with the day-to-day management and operation of other investment funds, which provides our Board of Directors with valuable investment and management experience, insight and perspective.</w:t>
      </w:r>
    </w:p>
    <w:p>
      <w:pPr>
        <w:spacing w:after="0" w:line="52" w:lineRule="exact"/>
        <w:rPr>
          <w:rFonts w:ascii="Arial" w:cs="Arial" w:eastAsia="Arial" w:hAnsi="Arial"/>
          <w:sz w:val="16"/>
          <w:szCs w:val="16"/>
          <w:color w:val="auto"/>
        </w:rPr>
      </w:pPr>
    </w:p>
    <w:p>
      <w:pPr>
        <w:ind w:left="440" w:right="220" w:hanging="324"/>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Mr. Lauer</w:t>
      </w:r>
      <w:r>
        <w:rPr>
          <w:rFonts w:ascii="Arial" w:cs="Arial" w:eastAsia="Arial" w:hAnsi="Arial"/>
          <w:sz w:val="18"/>
          <w:szCs w:val="18"/>
          <w:color w:val="auto"/>
        </w:rPr>
        <w:t>: The Nominating Committee and the Board of Directors considered his experience with investing debt and equity capital in middle-market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which provides our Board of Directors with valuable investment knowledge, experience and insight.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w:t>
      </w:r>
    </w:p>
    <w:p>
      <w:pPr>
        <w:spacing w:after="0" w:line="131" w:lineRule="exact"/>
        <w:rPr>
          <w:sz w:val="20"/>
          <w:szCs w:val="20"/>
          <w:color w:val="auto"/>
        </w:rPr>
      </w:pPr>
    </w:p>
    <w:p>
      <w:pPr>
        <w:ind w:left="440" w:right="640" w:hanging="324"/>
        <w:spacing w:after="0" w:line="308"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Mr. Anstiss</w:t>
      </w:r>
      <w:r>
        <w:rPr>
          <w:rFonts w:ascii="Arial" w:cs="Arial" w:eastAsia="Arial" w:hAnsi="Arial"/>
          <w:sz w:val="17"/>
          <w:szCs w:val="17"/>
          <w:color w:val="auto"/>
        </w:rPr>
        <w:t>: The Nominating Committee and the Board of Directors considered his extensive experience in the accounting industry. In addition,</w:t>
      </w:r>
      <w:r>
        <w:rPr>
          <w:rFonts w:ascii="Arial" w:cs="Arial" w:eastAsia="Arial" w:hAnsi="Arial"/>
          <w:sz w:val="17"/>
          <w:szCs w:val="17"/>
          <w:i w:val="1"/>
          <w:iCs w:val="1"/>
          <w:color w:val="auto"/>
        </w:rPr>
        <w:t xml:space="preserve"> </w:t>
      </w:r>
      <w:r>
        <w:rPr>
          <w:rFonts w:ascii="Arial" w:cs="Arial" w:eastAsia="Arial" w:hAnsi="Arial"/>
          <w:sz w:val="17"/>
          <w:szCs w:val="17"/>
          <w:color w:val="auto"/>
        </w:rPr>
        <w:t>Mr. Anstiss’ accounting background was instrumental in his appointment to the chairmanship of our Audit Committee.</w:t>
      </w:r>
    </w:p>
    <w:p>
      <w:pPr>
        <w:spacing w:after="0" w:line="51" w:lineRule="exact"/>
        <w:rPr>
          <w:rFonts w:ascii="Arial" w:cs="Arial" w:eastAsia="Arial" w:hAnsi="Arial"/>
          <w:sz w:val="17"/>
          <w:szCs w:val="17"/>
          <w:color w:val="auto"/>
        </w:rPr>
      </w:pPr>
    </w:p>
    <w:p>
      <w:pPr>
        <w:ind w:left="440" w:right="180" w:hanging="324"/>
        <w:spacing w:after="0" w:line="277"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Mr. Hyman</w:t>
      </w:r>
      <w:r>
        <w:rPr>
          <w:rFonts w:ascii="Arial" w:cs="Arial" w:eastAsia="Arial" w:hAnsi="Arial"/>
          <w:sz w:val="18"/>
          <w:szCs w:val="18"/>
          <w:color w:val="auto"/>
        </w:rPr>
        <w:t>: The Nominating Committee and the Board of Directors considered his extensive experience in the investment analysis,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industries.</w:t>
      </w:r>
    </w:p>
    <w:p>
      <w:pPr>
        <w:spacing w:after="0" w:line="75"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Mr. Mazzarino</w:t>
      </w:r>
      <w:r>
        <w:rPr>
          <w:rFonts w:ascii="Arial" w:cs="Arial" w:eastAsia="Arial" w:hAnsi="Arial"/>
          <w:sz w:val="18"/>
          <w:szCs w:val="18"/>
          <w:color w:val="auto"/>
        </w:rPr>
        <w:t>: The Nominating Committee and the Board of Directors considered his extensive experience in the investing and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as well as merger and acquisition and corporate strategy expertise.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Shelby E. Sherard </w:t>
      </w:r>
      <w:r>
        <w:rPr>
          <w:rFonts w:ascii="Arial" w:cs="Arial" w:eastAsia="Arial" w:hAnsi="Arial"/>
          <w:sz w:val="17"/>
          <w:szCs w:val="17"/>
          <w:color w:val="auto"/>
        </w:rPr>
        <w:t>has served as our chief financial officer and secretary since joining the Company on June 2, 2014 and chief compliance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11, 2014. Ms. Sherard has more than 20 years of finance experience most recently as a financial officer at Prologis, Inc., a leading owner, operator and developer of industrial real estate, first serving as Chief Financial Officer, Americas, and then overseeing the U.S. tax department. Previously, she served as the Finance Director for Chicago Union Station Development Company, LLC, a real estate development company. From 2005 through 2006, Ms. Sherard served as Executive Vice President and Chief Financial Officer of Grubb &amp; Ellis Company, a publicly-traded real estate services company. From 2002 through 2005, Ms. Sherard was the Chief Financial Officer and Senior Vice President of SiteStuff, Inc., a procurement solutions provider for the commercial real estate industry. Previously, Ms. Sherard held positions at Morgan Stanley, LaSalle Partners Inc. and Hewitt Associates, Inc. Ms. Sherard is a CPA and earned a bachelor’s degree from Northwestern University, a master of business administration from the University of Pennsylvania’s Wharton School and a master’s degree in tax from the University of Illinois.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of the Board of Directors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board of directors has established an audit and compensation committee, or audit committee, and a nominating and corporate governance committee. We do not have a separate compensation committee because our executive officers do not receive any direct compensation from us. During 2014, our board of directors held 11 meetings.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encourage, but do not require, the directors to attend our annual meeting of stockholders. In 2014, all of our current directors attended at least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90.0% of the aggregate number of meetings of the board of directors and of the respective committees on which they served. All of our directors attended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Annual Meeting of Shareholders on June 4,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monitors and performs an oversight role with respect to our business and affairs. Among other things, our board of directors approves the appointment of our investment advisor, administrator and officers, reviews and monitors the services and activities performed by our investment advisor, administrator and officers and approves the engagement, and reviews the performance of, our independent registered public accounting firm.</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our bylaws, our board of directors may designate a chairman to preside over the meetings of the board of directors and meetings of our stockholders and to perform such other duties as may be assigned to him by the board of directors. We do not have a fixed policy as to whether the chairman of our board of directors should be an independent director and believes that board of directors’ flexibility to select its chairman and reorganize its leadership structure from time to time is in the best interests of the Company and our stockholders.</w:t>
      </w:r>
    </w:p>
    <w:p>
      <w:pPr>
        <w:spacing w:after="0" w:line="18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Presently, Mr. Ross serves as the chairman of our board of directors. Mr. Ross is an interested director because he is the chief executive officer of the Company, serves on our Investment Advisor’s investment committees and is a manager of our Investment Advisor. We believe that Mr. Ross’s history with the Company, familiarity with the Fidus investment platform and extensive experience in the management of private equity and debt investments qualifies him to serve as chairman of our board of directors. Moreover, our board of directors believes that it is in the best interests of our stockholders for Mr. Ross to lead our board of directors because of his broad experience with the day-to-day management and operation of other investment funds and his significant background in the financial services industry, as described above.</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board of directors does not have a lead independent director. However, Mr. Anstiss, the chairman of the audit committee, is an independent director and acts as a liaison between the independent directors and management between meetings of our board of directors and is involved in the preparation of agendas for board and committee meetings. Our board of directors believes that its leadership structure is appropriate in light of the Company’s characteristics and circumstances because the structure allocates areas of responsibility among the individual directors and the committees in a manner that encourages effective oversight. The members of our board of directors also believe that its small size creates a highly efficient governance structure that provides ample opportunity for direct communication and interaction between both the members of management and our investment advisor and our 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board of directors performs its risk oversight function primarily through (a) its two standing committees, which report to the entire board of directors and are comprised solely of independent directors and (b) monitoring by our Chief Compliance Officer in accordance with its compliance policies and procedures.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below in more detail under “Audit Committee” and “Nominating and Corporate Governance Committee,” the audit committee and the nominating and corporate governance committee assist the board of directors in fulfilling its risk oversight responsibilities. The audit committee’s risk oversight responsibilities include overseeing our accounting and financial reporting processes, our systems of internal controls regarding finance and accounting and audits of our financial statements and discussing with management our major financial risk exposures and the steps management has taken to monitor and control such exposures, including our risk assessment and risk management policies. The nominating and corporate governance committee’s risk oversight responsibilities include selecting, researching and nominating directors for election by our stockholders, developing and recommending to our board of directors a set of corporate governance principles and overseeing the evaluation of our board of directors and its committees. Both the audit committee and the nominating and corporate governance committee consist solely of independent directors.</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board of directors also performs its risk oversight responsibilities with the assistance of the Chief Compliance Officer. Our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(a) the operation of the compliance policies and procedures of the Company and certain of its service providers since the last report; (b) any material changes to such policies and procedures since the last report; (c) any recommendations for material changes to such policies and procedures as a result of the Chief Compliance Officer’s annual review;</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(d)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periodically, but in no event less than once each year.</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our asset coverage must equal at least 200.0% immediately after each time we incurs indebtedness and we generally have to invest at least 70.0% of our total assets in “qualifying assets.” In addition, we intend to elect to be treated as a RIC under Subchapter M of the Code. As a RIC we must, among other things, meet certain income source and asset diversification requirements.</w:t>
      </w:r>
    </w:p>
    <w:p>
      <w:pPr>
        <w:spacing w:after="0" w:line="15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believe that the board of directors’ existing role in risk oversight is appropriate. However, we re-examine the manners in which the board of directors administers its oversight function on an ongoing basis to ensure that it continues to meet our needs.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Compensation Committee</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The members of the audit committee are Messrs. Anstiss, Hyman and Mazzarino, each of whom is not an interested person and is otherwise independent for purposes of the 1940 Act and Nasdaq’s corporate governance regulations. Since September 2011, Mr. Anstiss has served as chairman of the audit committee. Our board of directors has adopted a charter for the audit committee, which is available on our website at </w:t>
      </w:r>
      <w:r>
        <w:rPr>
          <w:rFonts w:ascii="Arial" w:cs="Arial" w:eastAsia="Arial" w:hAnsi="Arial"/>
          <w:sz w:val="18"/>
          <w:szCs w:val="18"/>
          <w:i w:val="1"/>
          <w:iCs w:val="1"/>
          <w:color w:val="auto"/>
        </w:rPr>
        <w:t>http://investor.fdus.com/governance.cfm</w:t>
      </w:r>
      <w:r>
        <w:rPr>
          <w:rFonts w:ascii="Arial" w:cs="Arial" w:eastAsia="Arial" w:hAnsi="Arial"/>
          <w:sz w:val="18"/>
          <w:szCs w:val="18"/>
          <w:color w:val="auto"/>
        </w:rPr>
        <w: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audit committee is responsible for approving our independent accountants and recommending them to the board of directors (including a majority of the independent directors) for approval and submission to the board of directors for ratification, reviewing with our independent accountants the plans and results of the audit engagement, approving professional services provided by our accountants, reviewing the independence of our independent accountants and reviewing the adequacy of our internal accounting controls.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audit committee is also responsible for aiding the board of directors in determining the fair value of debt and equity securities that are not publicly traded or for which current market values are not readily available. The audit committee also currently receives input from independent valuation firms that have been engaged at the direction of the board of directors to value certain portfolio investments. In addition, the audit committee is responsible for discussing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Because the Audit Committee is charged with approving our related-party transactions, the board of directors has determined not to create a separate compensation committee and instead has charged the Audit Committee with overseeing amounts payable to our advisor pursuant to the Advisory Agreement and the Administration Agreement, and making a recommendation to the board of directors with respect to the board’s approval (including the approval of a majority of the directors who are not “interested persons” of the Company within the meaning of Section 2(a)(19) of the 1940 Act, as amended) of the renewal of the Advisory Agreement and the Administration Agreement.</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of directors has determined that Mr. Anstiss is an “audit committee financial expert” within the meaning of the rules of the SEC. Mr. Anstiss acquired his financial expertise from his education and experience as a public accountant, his experience actively supervising financial officers of public companies and in his supervisory role at a public accounting firm and from his experience overseeing and assessing the performance of public accountants with respect to the preparation, auditing and evaluation of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members of the nominating and corporate governance committee are Messrs. Anstiss, Hyman and Mazzarino, each of whom is not an interested person and is otherwise independent for purposes of the 1940 Act and Nasdaq’s corporate governance regulations. Mr. Hyman currently serves as chairman of the nominating and corporate governance committee. Our board of directors has adopted a charter for the nominating and corporate governance committee, which is available on our website at </w:t>
      </w:r>
      <w:r>
        <w:rPr>
          <w:rFonts w:ascii="Arial" w:cs="Arial" w:eastAsia="Arial" w:hAnsi="Arial"/>
          <w:sz w:val="18"/>
          <w:szCs w:val="18"/>
          <w:i w:val="1"/>
          <w:iCs w:val="1"/>
          <w:color w:val="auto"/>
        </w:rPr>
        <w:t>http://investor.fdus.com/governance.cfm.</w:t>
      </w:r>
    </w:p>
    <w:p>
      <w:pPr>
        <w:spacing w:after="0" w:line="18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its committees.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nominating and corporate governance committee identifies potential nominees based on suggestions from members of the nominating and corporate governance committee, other members of the board of directors, other executive officers and by other means, and evaluates such persons as a committee. The nominating and corporate governance committee will also consider nominees to the board of directors recommended by a stockholder, if such stockholder complies with the advance notice provisions of our bylaws. From time to time, the board of directors may determine that it requires a director with a particular expertise or qualification and will actively recruit such a candidate.</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considering which persons to nominate as directors for election by stockholders, the board of directors and its nominating and corporate governance committee consider the experience, qualifications, attributes and skills of candidates, in light of the Company’s then existing business and structure. Additionally, the committee generally will hire an outside firm to perform a background check on potential nominees. On an annual basis, the nominating and corporate governance committee evaluates the qualifications and diversity of the board of directors who are available for reelection in light of the characteristics of independence, age, skills, experience, availability of service to the Company and tenure of its members, and the board of directors’ anticipated needs. The nominating and corporate governance committee has adopted a policy that it will seek to enhance the perspectives and experiences of the members of the board of directors through diversity in gender, ethnic background, geographic origin and professional experience. The nominating and corporate governance committee recommends to the board of directors for its approval the slate of directors to be nominated for election at the annual meeting of our stockholders. The board of directors and its nominating and corporate governance committee periodically review board composition and the policies with respect thereto and as part of this review, the nominating and corporate governance committee evaluates the effectiveness of its policies, including the provisions with respect to diversity.</w:t>
      </w:r>
    </w:p>
    <w:p>
      <w:pPr>
        <w:spacing w:after="0" w:line="18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considering possible candidates for nomination as a director, the nominating and corporate governance committee takes into account, in addition to such other factors as it deems relevant, the desirability of selecting directors who:</w:t>
      </w:r>
    </w:p>
    <w:p>
      <w:pPr>
        <w:spacing w:after="0" w:line="7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strength of character;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mature judgment;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industry knowledge or experience;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an ability to work collegially with the other members of the board of directors.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nominating and corporate governance committee also considers all applicable legal and regulatory requirements that govern the composition of the board of directors.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nominees properly submitted to the Company (or which the nominating and corporate governance committee otherwise elects to consider) will be evaluated and considered by the members of the nominating and corporate governance committee using the same criteria as nominees identified by the nominating and corporate governance committee itself.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Between Stockholders and the Board of Directors</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Stockholders with questions about us are encouraged to contact Shelby E. Sherard at Fidus Investment Corporation, 1603 Orrington Avenue, Suite 1005, Evanston, Illinois 60201. However, if stockholders feel their questions have not been addressed, they may communicate with our board of directors by sending their communications to: Fidus Investment Corporation, board of directors, c/o Shelby E. Sherard at the address listed above. In addition, stockholders may communicate with the board of directors by clicking “Contact the Board” on the Investor Relations section of our website at the following URL: </w:t>
      </w:r>
      <w:r>
        <w:rPr>
          <w:rFonts w:ascii="Arial" w:cs="Arial" w:eastAsia="Arial" w:hAnsi="Arial"/>
          <w:sz w:val="16"/>
          <w:szCs w:val="16"/>
          <w:i w:val="1"/>
          <w:iCs w:val="1"/>
          <w:color w:val="auto"/>
        </w:rPr>
        <w:t>http://investor.fdus.com/contactBoard.com</w:t>
      </w:r>
      <w:r>
        <w:rPr>
          <w:rFonts w:ascii="Arial" w:cs="Arial" w:eastAsia="Arial" w:hAnsi="Arial"/>
          <w:sz w:val="16"/>
          <w:szCs w:val="16"/>
          <w:color w:val="auto"/>
        </w:rPr>
        <w:t>. Communications are distributed to the board of directors as appropriate, depending on the facts and circumstances outlined in the communication. In that regard, the board of directors has requested that certain items that are unrelated to the duties and responsibilities of the board of directors should be excluded, such as: product complaints, product inquiries, new product suggestions, resumes and other forms of job inquiries, surveys and business solicitations or advertisements. In addition, material that is unduly hostile, threatening, illegal or similarly unsuitable will be excluded, with the provision that any communication that is filtered out must be available to any non-management director upon request.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We have adopted a code of ethics (which we refer to as our Code of Business Conduct) which all officers, directors and employees of the Company and our investment advisor are expected to observe. Our Code of Business Conduct can be accessed via the Company’s website at </w:t>
      </w:r>
      <w:r>
        <w:rPr>
          <w:rFonts w:ascii="Arial" w:cs="Arial" w:eastAsia="Arial" w:hAnsi="Arial"/>
          <w:sz w:val="17"/>
          <w:szCs w:val="17"/>
          <w:i w:val="1"/>
          <w:iCs w:val="1"/>
          <w:color w:val="auto"/>
        </w:rPr>
        <w:t>http://investor.fdus.com/governance.cfm</w:t>
      </w:r>
      <w:r>
        <w:rPr>
          <w:rFonts w:ascii="Arial" w:cs="Arial" w:eastAsia="Arial" w:hAnsi="Arial"/>
          <w:sz w:val="17"/>
          <w:szCs w:val="17"/>
          <w:color w:val="auto"/>
        </w:rPr>
        <w:t>. We intend to disclose any amendments to or waivers of required provisions of the Code of Business Conduct on our</w:t>
      </w:r>
      <w:r>
        <w:rPr>
          <w:rFonts w:ascii="Arial" w:cs="Arial" w:eastAsia="Arial" w:hAnsi="Arial"/>
          <w:sz w:val="17"/>
          <w:szCs w:val="17"/>
          <w:i w:val="1"/>
          <w:iCs w:val="1"/>
          <w:color w:val="auto"/>
        </w:rPr>
        <w:t xml:space="preserve"> </w:t>
      </w:r>
      <w:r>
        <w:rPr>
          <w:rFonts w:ascii="Arial" w:cs="Arial" w:eastAsia="Arial" w:hAnsi="Arial"/>
          <w:sz w:val="17"/>
          <w:szCs w:val="17"/>
          <w:color w:val="auto"/>
        </w:rPr>
        <w:t>website. We will provide any person, without charge, upon request, a copy of our Code of Business Conduct. To receive a copy, please provide a written request to: Fidus Investment Corporation, Attn: Chief Compliance Officer, 1603 Orrington Avenue, Suite 1005, Evanston, Illinois 60201.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table shows information regarding the compensation received by our directors, none of whom is an employee of the Company, for the year ended December 31, 2014. No compensation is paid by us to interested directors. No information has been provided with respect to our executive officers who are not directors since our executive officers do not receive any direct compensation from us.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14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Paid</w:t>
            </w:r>
          </w:p>
        </w:tc>
        <w:tc>
          <w:tcPr>
            <w:tcW w:w="42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3060" w:type="dxa"/>
            <w:vAlign w:val="bottom"/>
            <w:gridSpan w:val="2"/>
          </w:tcPr>
          <w:p>
            <w:pPr>
              <w:jc w:val="center"/>
              <w:ind w:left="2334"/>
              <w:spacing w:after="0"/>
              <w:rPr>
                <w:sz w:val="20"/>
                <w:szCs w:val="20"/>
                <w:color w:val="auto"/>
              </w:rPr>
            </w:pPr>
            <w:r>
              <w:rPr>
                <w:rFonts w:ascii="Arial" w:cs="Arial" w:eastAsia="Arial" w:hAnsi="Arial"/>
                <w:sz w:val="14"/>
                <w:szCs w:val="14"/>
                <w:b w:val="1"/>
                <w:bCs w:val="1"/>
                <w:color w:val="auto"/>
                <w:w w:val="91"/>
              </w:rPr>
              <w:t>in Cash</w:t>
            </w:r>
            <w:r>
              <w:rPr>
                <w:rFonts w:ascii="Arial" w:cs="Arial" w:eastAsia="Arial" w:hAnsi="Arial"/>
                <w:sz w:val="12"/>
                <w:szCs w:val="12"/>
                <w:b w:val="1"/>
                <w:bCs w:val="1"/>
                <w:color w:val="auto"/>
                <w:w w:val="91"/>
              </w:rPr>
              <w:t>(1)</w:t>
            </w:r>
          </w:p>
        </w:tc>
        <w:tc>
          <w:tcPr>
            <w:tcW w:w="4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2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Raymond L. Anstiss, Jr.</w:t>
            </w:r>
          </w:p>
        </w:tc>
        <w:tc>
          <w:tcPr>
            <w:tcW w:w="3060" w:type="dxa"/>
            <w:vAlign w:val="bottom"/>
            <w:gridSpan w:val="2"/>
          </w:tcPr>
          <w:p>
            <w:pPr>
              <w:jc w:val="center"/>
              <w:ind w:left="2314"/>
              <w:spacing w:after="0"/>
              <w:rPr>
                <w:sz w:val="20"/>
                <w:szCs w:val="20"/>
                <w:color w:val="auto"/>
              </w:rPr>
            </w:pPr>
            <w:r>
              <w:rPr>
                <w:rFonts w:ascii="Arial" w:cs="Arial" w:eastAsia="Arial" w:hAnsi="Arial"/>
                <w:sz w:val="18"/>
                <w:szCs w:val="18"/>
                <w:color w:val="auto"/>
                <w:w w:val="88"/>
              </w:rPr>
              <w:t>$ 88,000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Charles D. Hyman</w:t>
            </w:r>
          </w:p>
        </w:tc>
        <w:tc>
          <w:tcPr>
            <w:tcW w:w="3060" w:type="dxa"/>
            <w:vAlign w:val="bottom"/>
            <w:gridSpan w:val="2"/>
            <w:shd w:val="clear" w:color="auto" w:fill="CCEEFF"/>
          </w:tcPr>
          <w:p>
            <w:pPr>
              <w:jc w:val="center"/>
              <w:ind w:left="2314"/>
              <w:spacing w:after="0"/>
              <w:rPr>
                <w:sz w:val="20"/>
                <w:szCs w:val="20"/>
                <w:color w:val="auto"/>
              </w:rPr>
            </w:pPr>
            <w:r>
              <w:rPr>
                <w:rFonts w:ascii="Arial" w:cs="Arial" w:eastAsia="Arial" w:hAnsi="Arial"/>
                <w:sz w:val="18"/>
                <w:szCs w:val="18"/>
                <w:color w:val="auto"/>
                <w:w w:val="88"/>
              </w:rPr>
              <w:t>$ 83,000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John A. Mazzarino</w:t>
            </w:r>
          </w:p>
        </w:tc>
        <w:tc>
          <w:tcPr>
            <w:tcW w:w="3060" w:type="dxa"/>
            <w:vAlign w:val="bottom"/>
            <w:gridSpan w:val="2"/>
          </w:tcPr>
          <w:p>
            <w:pPr>
              <w:jc w:val="center"/>
              <w:ind w:left="2314"/>
              <w:spacing w:after="0"/>
              <w:rPr>
                <w:sz w:val="20"/>
                <w:szCs w:val="20"/>
                <w:color w:val="auto"/>
              </w:rPr>
            </w:pPr>
            <w:r>
              <w:rPr>
                <w:rFonts w:ascii="Arial" w:cs="Arial" w:eastAsia="Arial" w:hAnsi="Arial"/>
                <w:sz w:val="18"/>
                <w:szCs w:val="18"/>
                <w:color w:val="auto"/>
                <w:w w:val="88"/>
              </w:rPr>
              <w:t>$ 78,000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2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Edward H. Ross</w:t>
            </w:r>
          </w:p>
        </w:tc>
        <w:tc>
          <w:tcPr>
            <w:tcW w:w="244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8"/>
              </w:rPr>
              <w:t>None</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Thomas C. Lauer</w:t>
            </w:r>
          </w:p>
        </w:tc>
        <w:tc>
          <w:tcPr>
            <w:tcW w:w="244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None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 discussion of the independent directors’ compensation, see below.</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independent directors receive an annual fee of $50,000. They receive $5,000 plus reimbursement of reasonable and authorized business expenses incurred in connection with attending each quarterly meeting and the annual meeting. In addition, the chairperson of the audit committee receives an additional annual fee of $10,000 and the chairperson of the nominating and corporate governance committee receives an additional annual fee of $5,000 for his or her additional services in these capacities. They also receive $1,500 per each additional Audit Committee meeting to review quarterly investment valuations.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None of our executive officers receive direct compensation from us. The compensation of our chief financial officer and chief compliance officer, is paid by our investment advisor. Compensation paid to our chief financial officer and chief compliance officer is set by our investment advisor and subject to reimbursement by us of an allocable portion of such compensation for services rendered to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Committee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 Advisor has formed investment committees to evaluate and approve all of our investments and those made by the Funds. The investment committee process is intended to bring the diverse experience and perspectives of the committees’ members to the analysis and consideration of each investment. The investment committees also serve to provide investment consistency and adherence to our Investment Advisor’s core investment philosophy and policies. The investment committees meet regularly to consider our investments, direct our strategic initiatives and supervise the actions taken by our Investment Advisor on our behalf. The investment committees determine appropriate investment sizing and suggest ongoing monitoring requirements. In addition, the investment committee reviews and determines whether to make prospective investments identified by our Investment Advisor and monitors the performance of our investment portfolio.</w:t>
      </w:r>
    </w:p>
    <w:p>
      <w:pPr>
        <w:spacing w:after="0" w:line="18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members of the investment committee that evaluates and approves all of our investments are Edward H. Ross, Thomas C. Lauer, John H. Grigg, John J. Ross, II, Paul E. Tierney, Jr., W. Andrew Worth and Robert G. Lesley, Jr. The members of the investment committee that evaluates and approves all of the Funds’ investments are Edward H. Ross, Thomas C. Lauer, John H. Grigg, John J. Ross, II, Paul E. Tierney, Jr. and W. Andrew Worth. Our Investment Advisor intends to add Mr. Lesley to the Funds’ investment committee subsequent to the SBA’s approval of Mr. Lesley acting in that capacity.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members of the investment committees is as follows: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John J. Ross, II </w:t>
      </w:r>
      <w:r>
        <w:rPr>
          <w:rFonts w:ascii="Arial" w:cs="Arial" w:eastAsia="Arial" w:hAnsi="Arial"/>
          <w:sz w:val="16"/>
          <w:szCs w:val="16"/>
          <w:color w:val="auto"/>
        </w:rPr>
        <w:t>has served as a member of our Investment Advisor’s investment committees since our initial public offering in June 2011. Additionally,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Mr. Ross has served as a manager of our Investment Advisor since June 2011. Mr. Ross has over 16 years of experience advising clients on mergers and acquisitions. From February 2007 to June 2011, Mr. Ross served as a member of the investment committee of Fidus Mezzanine Capital GP, LLC, the Fund’s former general partner. In 2004, Mr. Ross co-founded Fidus Partners, LLC, an investment banking firm. Prior to co-founding Fidus Partners, LLC, Mr. Ross served as a managing director at Wachovia Securities and its predecessors, First Union Securities, Inc. and Bowles Hollowell Conner &amp; Co, from 1999 to 2002. Mr. Ross earned a bachelor of science from Southern Methodist University and a master of business administration from the Harvard Business School. Mr. Ross is the brother of Edward H. Ross, our chairman of the board and chief executive officer, and chairman of the investment committee.</w:t>
      </w:r>
    </w:p>
    <w:p>
      <w:pPr>
        <w:spacing w:after="0" w:line="167" w:lineRule="exact"/>
        <w:rPr>
          <w:sz w:val="20"/>
          <w:szCs w:val="20"/>
          <w:color w:val="auto"/>
        </w:rPr>
      </w:pPr>
    </w:p>
    <w:p>
      <w:pPr>
        <w:jc w:val="center"/>
        <w:ind w:right="280"/>
        <w:spacing w:after="0"/>
        <w:rPr>
          <w:sz w:val="20"/>
          <w:szCs w:val="20"/>
          <w:color w:val="auto"/>
        </w:rPr>
      </w:pPr>
      <w:r>
        <w:rPr>
          <w:rFonts w:ascii="Arial" w:cs="Arial" w:eastAsia="Arial" w:hAnsi="Arial"/>
          <w:sz w:val="17"/>
          <w:szCs w:val="17"/>
          <w:i w:val="1"/>
          <w:iCs w:val="1"/>
          <w:color w:val="auto"/>
        </w:rPr>
        <w:t xml:space="preserve">Paul E. Tierney, Jr. </w:t>
      </w:r>
      <w:r>
        <w:rPr>
          <w:rFonts w:ascii="Arial" w:cs="Arial" w:eastAsia="Arial" w:hAnsi="Arial"/>
          <w:sz w:val="17"/>
          <w:szCs w:val="17"/>
          <w:color w:val="auto"/>
        </w:rPr>
        <w:t>has served as a member of our Investment Advisor’s investment committees since our initial public offering in June 2011.</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Mr. Tierney has over 35 years of debt and equity investing experience in a variety of industries. From February 2007 to June 2011, Mr. Tierney served as a member of the investment committee of Fidus Mezzanine Capital GP, LLC, the Fund’s former general partner. Mr. Tierney currently serves as a partner of Development Capital, LLC, a diversified private investment company that he joined in 1999. He has also served as a general partner of Aperture Venture Partners, a firm that primarily manages two venture capital funds that focus on investing in early-stage healthcare and healthy living businesses since 2002. In 1999, Mr. Tierney was a founding principal of Darwin Capital Partners, L.P. From 1996 through 1999, Mr. Tierney was a managing member of the general partner of Corporate Value Partners, L.P. In 1978, Mr. Tierney co-founded Gollust, Tierney and Oliver, the general partner of Coniston Partners and other investment entities. Mr. Tierney serves on the boards of directors of Nina McLemore, Inc., Altea Therapeutics, Prosperity Voskhod Fund and The Protective Group, Inc. He was previously a director of a number of public companies, including United Airlines, Inc. and Liz Claiborne, Inc. Mr. Tierney also serves on the Advisory Board of the U.S. Committee for Refugees and was chairman of the Foreign Policy School (SIPA) of Columbia University. He is chairman of TechnoServe, Inc., a not-for-profit economic development company serving Africa and Latin America. He is also an adjunct professor at Columbia Business School. Mr. Tierney earned a bachelor of arts from the University of Notre Dame and a master of business administration as a Baker Scholar from the Harvard Business School.</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John H. Grigg </w:t>
      </w:r>
      <w:r>
        <w:rPr>
          <w:rFonts w:ascii="Arial" w:cs="Arial" w:eastAsia="Arial" w:hAnsi="Arial"/>
          <w:sz w:val="16"/>
          <w:szCs w:val="16"/>
          <w:color w:val="auto"/>
        </w:rPr>
        <w:t>has served as a member of our Investment Advisor’s investment committees since our initial public offering in June 2011 and as a senior</w:t>
      </w:r>
      <w:r>
        <w:rPr>
          <w:rFonts w:ascii="Arial" w:cs="Arial" w:eastAsia="Arial" w:hAnsi="Arial"/>
          <w:sz w:val="16"/>
          <w:szCs w:val="16"/>
          <w:i w:val="1"/>
          <w:iCs w:val="1"/>
          <w:color w:val="auto"/>
        </w:rPr>
        <w:t xml:space="preserve"> </w:t>
      </w:r>
      <w:r>
        <w:rPr>
          <w:rFonts w:ascii="Arial" w:cs="Arial" w:eastAsia="Arial" w:hAnsi="Arial"/>
          <w:sz w:val="16"/>
          <w:szCs w:val="16"/>
          <w:color w:val="auto"/>
        </w:rPr>
        <w:t>origination professional of our Investment Advisor since June 2011. Mr. Grigg has over 21 years of experience advising clients on mergers and acquisitions. From February 2007 to June 2011, Mr. Grigg served as a member of the investment committee of Fidus Mezzanine Capital GP, LLC, the Fund’s former general partner. In 2004, Mr. Grigg co-founded Fidus Partners, LLC, an investment banking firm. Prior to co-founding Fidus Partners, LLC, Mr. Grigg served as managing director and partner at First Union Securities, Inc. and its predecessor, Bowles Hollowell Conner &amp; Co., from 1989 to 2000. Prior to joining Bowles Hollowell Conner &amp; Co., Mr. Grigg worked in the investment banking group of Merrill Lynch &amp; Co. Mr. Grigg earned a bachelor of arts from the University of North Carolina and a master of business administration from the University of Virginia’s Darden School of Business.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W. Andrew Worth </w:t>
      </w:r>
      <w:r>
        <w:rPr>
          <w:rFonts w:ascii="Arial" w:cs="Arial" w:eastAsia="Arial" w:hAnsi="Arial"/>
          <w:sz w:val="18"/>
          <w:szCs w:val="18"/>
          <w:color w:val="auto"/>
        </w:rPr>
        <w:t>has served as a member of our Investment Advisor’s investment committees since our initial public offering in June 2011.</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Mr. Worth has served as a manager of our Investment Advisor since June 2011. Mr. Worth has over 13 years of experience investing in debt and equity securities of lower middle-market companies. In 2008, Mr. Worth joined Fidus Capital, LLC, the predecessor firm to our investment advisor. Prior to joining Fidus Capital, LLC in 2008, Mr. Worth served as a principal with Allied Capital Corporation from 2002 to 2008, where he was responsible for all aspects of the investment process including origination, execution and portfolio management. From 1996 to 2002, Mr. Worth was an associate in Credit Suisse First Boston’s Global Industrials and Services investment banking practice and an analyst in the Leveraged Finance Group of First Union Securities, Inc. Mr. Worth earned a bachelor of arts from the University of North Carolina at Chapel Hill and a master of business administration from the University of Chicago Graduate School of Business.</w:t>
      </w:r>
    </w:p>
    <w:p>
      <w:pPr>
        <w:spacing w:after="0" w:line="192"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i w:val="1"/>
          <w:iCs w:val="1"/>
          <w:color w:val="auto"/>
        </w:rPr>
        <w:t xml:space="preserve">Robert G. Lesley, Jr. </w:t>
      </w:r>
      <w:r>
        <w:rPr>
          <w:rFonts w:ascii="Arial" w:cs="Arial" w:eastAsia="Arial" w:hAnsi="Arial"/>
          <w:sz w:val="17"/>
          <w:szCs w:val="17"/>
          <w:color w:val="auto"/>
        </w:rPr>
        <w:t>has served as a member of the investment committee that evaluates and approves our investments since January 2015.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Fidus Investment Advisors, LLC in 2013, Mr. Lesley was a partner at Chapter IV Investors, a middle-market hybrid investment firm with approximately a $270 million fund. Chapter IV’s flexible investment charter allowed for investment in both the private (control and minority equity) and public markets. From 2003 to 2007, Mr. Lesley was a vice president with Blue Point Capital Partners, a private equity firm focused on lower middle-market companies. From 2000 to 2003, Robert was an associate in the Mergers &amp; Acquisitions Group of Wachovia Securities and its predecessor, First Union Securities, Inc. Mr. Lesley earned a bachelor of arts in economics from the University of North Carolina at Chapel Hill and a masters of business administration from the Kellogg Graduate School of Management at Northwestern University.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Origination Professionals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individuals are the senior origination professionals of our Investment Advisor. Brief summaries of the backgrounds of these individuals, who are not also members of the investment committees, are provided below:</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Edward P. Imbrogno </w:t>
      </w:r>
      <w:r>
        <w:rPr>
          <w:rFonts w:ascii="Arial" w:cs="Arial" w:eastAsia="Arial" w:hAnsi="Arial"/>
          <w:sz w:val="18"/>
          <w:szCs w:val="18"/>
          <w:color w:val="auto"/>
        </w:rPr>
        <w:t>has served as a senior origination professional of our investment advisor since June 2011. Mr. Imbrogno has over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advising clients on mergers and acquisitions. In 2006, Mr. Imbrogno joined Fidus Capital, LLC, the predecessor firm to our investment advisor, as a senior investment professional. In 2004, Mr. Imbrogno co-founded Fidus Partners, LLC, an investment banking firm. Prior to co-founding Fidus Partners, LLC, Mr. Imbrogno served as a managing director and partner at Wachovia Securities and its predecessors, First Union Securities, Inc. and Bowles Hollowell Conner &amp; Co, from 1985 to 2004. Mr. Imbrogno also served as the head of Wachovia Securities’ private equity group coverage effort from 1998 to 2002. Mr. Imbrogno earned a bachelor of arts from Davidson College and a master of business administration from the University of Virginia’s Darden School of Business.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J. Stephen Dockery </w:t>
      </w:r>
      <w:r>
        <w:rPr>
          <w:rFonts w:ascii="Arial" w:cs="Arial" w:eastAsia="Arial" w:hAnsi="Arial"/>
          <w:sz w:val="18"/>
          <w:szCs w:val="18"/>
          <w:color w:val="auto"/>
        </w:rPr>
        <w:t>has served as a senior origination professional of our investment advisor since June 2011. Mr. Dockery has over 21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advising clients on mergers and acquisitions and corporate finance transactions. In 2006, Mr. Dockery joined Fidus Capital, LLC, the predecessor firm to our investment advisor, as a senior investment professional and joined Fidus Partners, LLC, an investment banking firm. Prior to joining Fidus Capital and Fidus Partners, Mr. Dockery served in various capacities at Wachovia Securities and its predecessors, First Union Securities, Inc. and Bowles Hollowell Conner &amp; Co., including managing director and officer from 1997 to 2006. Prior to joining Bowles Hollowell Conner &amp; Co., Mr. Dockery worked as a corporate attorney for Robinson Bradshaw &amp; Hinson, P.A. Mr. Dockery earned a bachelor of arts from Davidson College and a juris doctor from Yale Law School.</w:t>
      </w:r>
    </w:p>
    <w:p>
      <w:pPr>
        <w:spacing w:after="0" w:line="18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Michael J. Miller </w:t>
      </w:r>
      <w:r>
        <w:rPr>
          <w:rFonts w:ascii="Arial" w:cs="Arial" w:eastAsia="Arial" w:hAnsi="Arial"/>
          <w:sz w:val="17"/>
          <w:szCs w:val="17"/>
          <w:color w:val="auto"/>
        </w:rPr>
        <w:t>has served as a senior origination professional of our investment advisor since June 2011. Mr. Miller has over 21 years of leveraged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and corporate lending and origination experience. In 2010, Mr. Miller joined Fidus Capital, LLC, the predecessor firm to our investment advisor, as a senior investment professional and joined Fidus Partners, LLC, an investment banking firm. Prior to joining Fidus Capital and Fidus Partners, Mr. Miller served in various capacities, including managing director and head of business development, at Allied Capital Corporation from 2005 until 2010. Prior to joining Allied Capital Corporation, Mr. Miller spent more than 16 years with JPMorgan Chase and its predecessors where he worked in their middle-market leveraged finance, asset based and corporate lending groups. Mr. Miller earned his bachelor of science in industrial and labor relations from Cornell University and his master of business administration from The Stern School at New York University.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Management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only invest in an opportunity with the approval of five of the seven members of the investment committee responsible for advising the Company, and the Funds will only invest in an opportunity with the approval of four of the six members of the investment committee responsible for advising the Funds. Generally, an investment opportunity will receive the unanimous approval of the respective investment committee. Follow-on investments in existing portfolio companies require the relevant investment committee’s approval in addition to what was obtained when the initial investment in the company was made. In addition, temporary investments, such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those in cash equivalents, U.S. government securities and other high quality debt investments that mature in one year or less, may require approval by the relevant investment committee. The day-to-day management of investments approved by the investment committee will be overseen by the members of the relevant investment committee. Biographical information with respect to the members of the investment committees is set out under “—Investment Committee.”</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Each of our advisor’s investment committee members has ownership and financial interests in, and may receive compensation and/or profit distributions from, our investment advisor. Each of the members of the investment committees will receive compensation and/or profit distributions from our investment advisor. None of the members of the investment committees receive any direct compensation from us. The following table shows the dollar range of our common stock beneficially owned by each member of our investment advisor’s investment committees as of April 13, 2015:</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Managers of our Investment Advisor</w:t>
            </w:r>
          </w:p>
        </w:tc>
        <w:tc>
          <w:tcPr>
            <w:tcW w:w="5820" w:type="dxa"/>
            <w:vAlign w:val="bottom"/>
            <w:gridSpan w:val="2"/>
          </w:tcPr>
          <w:p>
            <w:pPr>
              <w:ind w:left="3560"/>
              <w:spacing w:after="0"/>
              <w:rPr>
                <w:sz w:val="20"/>
                <w:szCs w:val="20"/>
                <w:color w:val="auto"/>
              </w:rPr>
            </w:pPr>
            <w:r>
              <w:rPr>
                <w:rFonts w:ascii="Arial" w:cs="Arial" w:eastAsia="Arial" w:hAnsi="Arial"/>
                <w:sz w:val="14"/>
                <w:szCs w:val="14"/>
                <w:b w:val="1"/>
                <w:bCs w:val="1"/>
                <w:color w:val="auto"/>
              </w:rPr>
              <w:t>Dollar Range of Equity Securities</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5820" w:type="dxa"/>
            <w:vAlign w:val="bottom"/>
            <w:gridSpan w:val="2"/>
          </w:tcPr>
          <w:p>
            <w:pPr>
              <w:ind w:left="3560"/>
              <w:spacing w:after="0"/>
              <w:rPr>
                <w:sz w:val="20"/>
                <w:szCs w:val="20"/>
                <w:color w:val="auto"/>
              </w:rPr>
            </w:pPr>
            <w:r>
              <w:rPr>
                <w:rFonts w:ascii="Arial" w:cs="Arial" w:eastAsia="Arial" w:hAnsi="Arial"/>
                <w:sz w:val="14"/>
                <w:szCs w:val="14"/>
                <w:b w:val="1"/>
                <w:bCs w:val="1"/>
                <w:color w:val="auto"/>
                <w:w w:val="94"/>
              </w:rPr>
              <w:t>in Fidus Investment Corporation (1)</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H. Ross</w:t>
            </w:r>
          </w:p>
        </w:tc>
        <w:tc>
          <w:tcPr>
            <w:tcW w:w="35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John J. Ross, II</w:t>
            </w:r>
          </w:p>
        </w:tc>
        <w:tc>
          <w:tcPr>
            <w:tcW w:w="5820" w:type="dxa"/>
            <w:vAlign w:val="bottom"/>
            <w:gridSpan w:val="2"/>
          </w:tcPr>
          <w:p>
            <w:pPr>
              <w:ind w:left="356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Thomas C. Lauer</w:t>
            </w:r>
          </w:p>
        </w:tc>
        <w:tc>
          <w:tcPr>
            <w:tcW w:w="582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Paul E. Tierney, Jr.</w:t>
            </w:r>
          </w:p>
        </w:tc>
        <w:tc>
          <w:tcPr>
            <w:tcW w:w="5820" w:type="dxa"/>
            <w:vAlign w:val="bottom"/>
            <w:gridSpan w:val="2"/>
          </w:tcPr>
          <w:p>
            <w:pPr>
              <w:ind w:left="356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John H. Grigg</w:t>
            </w:r>
          </w:p>
        </w:tc>
        <w:tc>
          <w:tcPr>
            <w:tcW w:w="582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$100,001-$500,000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W. Andrew Worth</w:t>
            </w:r>
          </w:p>
        </w:tc>
        <w:tc>
          <w:tcPr>
            <w:tcW w:w="5820" w:type="dxa"/>
            <w:vAlign w:val="bottom"/>
            <w:gridSpan w:val="2"/>
          </w:tcPr>
          <w:p>
            <w:pPr>
              <w:ind w:left="3560"/>
              <w:spacing w:after="0"/>
              <w:rPr>
                <w:sz w:val="20"/>
                <w:szCs w:val="20"/>
                <w:color w:val="auto"/>
              </w:rPr>
            </w:pPr>
            <w:r>
              <w:rPr>
                <w:rFonts w:ascii="Arial" w:cs="Arial" w:eastAsia="Arial" w:hAnsi="Arial"/>
                <w:sz w:val="18"/>
                <w:szCs w:val="18"/>
                <w:color w:val="auto"/>
              </w:rPr>
              <w:t>$500,001-$1,000,000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Robert G. Lesley, Jr.</w:t>
            </w:r>
          </w:p>
        </w:tc>
        <w:tc>
          <w:tcPr>
            <w:tcW w:w="582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rPr>
              <w:t>$50,001-$100,000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180" w:lineRule="exact"/>
        <w:rPr>
          <w:rFonts w:ascii="Arial" w:cs="Arial" w:eastAsia="Arial" w:hAnsi="Arial"/>
          <w:sz w:val="16"/>
          <w:szCs w:val="16"/>
          <w:color w:val="auto"/>
        </w:rPr>
      </w:pPr>
    </w:p>
    <w:p>
      <w:pPr>
        <w:ind w:left="5560"/>
        <w:spacing w:after="0"/>
        <w:rPr>
          <w:rFonts w:ascii="Arial" w:cs="Arial" w:eastAsia="Arial" w:hAnsi="Arial"/>
          <w:sz w:val="16"/>
          <w:szCs w:val="16"/>
          <w:color w:val="auto"/>
        </w:rPr>
      </w:pPr>
      <w:r>
        <w:rPr>
          <w:rFonts w:ascii="Arial" w:cs="Arial" w:eastAsia="Arial" w:hAnsi="Arial"/>
          <w:sz w:val="18"/>
          <w:szCs w:val="18"/>
          <w:color w:val="auto"/>
        </w:rPr>
        <w:t>-79-</w:t>
      </w:r>
    </w:p>
    <w:p>
      <w:pPr>
        <w:sectPr>
          <w:pgSz w:w="11900" w:h="16838" w:orient="portrait"/>
          <w:cols w:equalWidth="0" w:num="1">
            <w:col w:w="11320"/>
          </w:cols>
          <w:pgMar w:left="24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investment advisor is located at 1603 Orrington Avenue, Suite 1005, Evanston, Illinois 60201.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pacing w:after="0" w:line="9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assists us in determining what securities we purchase, retain or sell;</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executes, closes, services and monitors the investments we make.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Investment Advisory Agreement, we pay our investment advisor a fee for investment advisory and management services consisting of two components — a base management fee and an incentive fee.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Management Fee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incentive fee consists of two parts. The first part is calculated and payable quarterly in arrears based on our pre-incentive fee net investment income for the immediately preceding calendar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and any interest expense and dividends paid on any outstanding preferred stock, but excluding the incentive fee and any organizing and offering costs). Pre-incentive fee net investment income includes, in the case of investments with a deferred interest feature (such as market discount, debt instruments with payment-in-kind interest, preferred stock with payment-in-kind dividends and zero-coupon securities), accrued income that we have not yet received in cash. Our investment advisor is not under any obligation to reimburse us for any part of the incentive fee it receives that was based on accrued interest that we never actually receive.</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for a quarter where we incur a loss. For example, if we receive pre-incentive fee net investment income in excess of the hurdle rate (as defined below) for a quarter, we will pay the applicable incentive fee even if we have incurred a loss in that quarter due to realized and unrealized capital losses.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Pre-incentive fee net investment income, expressed as a rate of return on the value of our net assets (defined as total assets less indebtedness and before taking into account any incentive fees payable during the period) at the end of the immediately preceding calendar quarter, is compared to a fixed “hurdle rate” of 2.0% per quarter. If market interest rates rise,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 Our pre-incentive fee net investment income used to calculate this part of the incentive fee is also included in the amount of our total assets (other than cash and cash equivalents but including assets purchased with borrowed amounts) used to calculate the 1.75% base management fee.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pay our investment advisor an incentive fee with respect to our pre-incentive fee net investment income earned in each calendar quarter as follows:</w:t>
      </w:r>
    </w:p>
    <w:p>
      <w:pPr>
        <w:spacing w:after="0" w:line="154"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incentive fee in any calendar quarter in which the pre-incentive fee net investment income does not exceed the hurdle rate of 2.0%;</w:t>
      </w:r>
    </w:p>
    <w:p>
      <w:pPr>
        <w:spacing w:after="0" w:line="142" w:lineRule="exact"/>
        <w:rPr>
          <w:rFonts w:ascii="Arial" w:cs="Arial" w:eastAsia="Arial" w:hAnsi="Arial"/>
          <w:sz w:val="17"/>
          <w:szCs w:val="17"/>
          <w:color w:val="auto"/>
        </w:rPr>
      </w:pPr>
    </w:p>
    <w:p>
      <w:pPr>
        <w:ind w:left="900" w:hanging="325"/>
        <w:spacing w:after="0" w:line="30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100.0%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2.5% in any calendar quarter.</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These calculations are appropriately prorated for any period of less than three months and adjusted for any share issuances or repurchases during the current quarter.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quarterly income-related portion of the incentive fee: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Quarterly Incentive Fee Based on Net Investment Income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160020</wp:posOffset>
            </wp:positionV>
            <wp:extent cx="2555875" cy="685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558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21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our net capital gains as of the end of the fiscal year. In determining the capital gains incentive fee to be paid to our investment advisor, we calculate the cumulative aggregate realized capital gains and cumulative aggregate realized capital losses since our inception, and the aggregate unrealized capital depreciation as of the date of the calculation, as applicable, with respect to each of the investments in our portfolio. At the end of the applicable year, the amount of capital gains that serves as the basis for our calculation of the capital gains incentive fee equals the cumulative aggregate realized capital gains less cumulative aggregate realized capital losses, less aggregate unrealized capital depreciation, with respect to our portfolio of investments. If this number is positive at the end of such year, then the capital gains incentive fee for such year equals 20.0% of such amount, less the aggregate amount of any capital gains incentive fees paid in respect of our portfolio in all prior years. We accrue, but do not pay, a capital gains incentive fee in connection with any unrealized capital appreciation, as appropriate.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460" w:right="4900"/>
        <w:spacing w:after="0" w:line="375" w:lineRule="auto"/>
        <w:rPr>
          <w:sz w:val="20"/>
          <w:szCs w:val="20"/>
          <w:color w:val="auto"/>
        </w:rPr>
      </w:pPr>
      <w:r>
        <w:rPr>
          <w:rFonts w:ascii="Arial" w:cs="Arial" w:eastAsia="Arial" w:hAnsi="Arial"/>
          <w:sz w:val="18"/>
          <w:szCs w:val="18"/>
          <w:color w:val="auto"/>
        </w:rPr>
        <w:t xml:space="preserve">Other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 Pre-incentive fee net investment income</w:t>
      </w:r>
    </w:p>
    <w:p>
      <w:pPr>
        <w:spacing w:after="0" w:line="1" w:lineRule="exact"/>
        <w:rPr>
          <w:sz w:val="20"/>
          <w:szCs w:val="20"/>
          <w:color w:val="auto"/>
        </w:rPr>
      </w:pPr>
    </w:p>
    <w:p>
      <w:pPr>
        <w:ind w:left="460" w:right="1800"/>
        <w:spacing w:after="0" w:line="402" w:lineRule="auto"/>
        <w:rPr>
          <w:sz w:val="20"/>
          <w:szCs w:val="20"/>
          <w:color w:val="auto"/>
        </w:rPr>
      </w:pPr>
      <w:r>
        <w:rPr>
          <w:rFonts w:ascii="Arial" w:cs="Arial" w:eastAsia="Arial" w:hAnsi="Arial"/>
          <w:sz w:val="18"/>
          <w:szCs w:val="18"/>
          <w:color w:val="auto"/>
        </w:rPr>
        <w:t>(investment income – (management fee + other expenses)) = 0.6125% Pre-incentive fee net investment income does not exceed hurdle rate, therefore there is no income-related incentive fee.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Other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 (management fee + other expenses)) = 2.2625%</w:t>
      </w:r>
    </w:p>
    <w:p>
      <w:pPr>
        <w:spacing w:after="0" w:line="252" w:lineRule="exact"/>
        <w:rPr>
          <w:sz w:val="20"/>
          <w:szCs w:val="20"/>
          <w:color w:val="auto"/>
        </w:rPr>
      </w:pPr>
    </w:p>
    <w:p>
      <w:pPr>
        <w:ind w:left="460"/>
        <w:spacing w:after="0"/>
        <w:tabs>
          <w:tab w:leader="none" w:pos="22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xml:space="preserve">= 100.0% × pre-incentive fee net investment income (subject to “catch-up”) </w:t>
      </w:r>
      <w:r>
        <w:rPr>
          <w:rFonts w:ascii="Arial" w:cs="Arial" w:eastAsia="Arial" w:hAnsi="Arial"/>
          <w:sz w:val="13"/>
          <w:szCs w:val="13"/>
          <w:color w:val="auto"/>
        </w:rPr>
        <w:t>(4)</w:t>
      </w:r>
    </w:p>
    <w:p>
      <w:pPr>
        <w:spacing w:after="0" w:line="23" w:lineRule="exact"/>
        <w:rPr>
          <w:sz w:val="20"/>
          <w:szCs w:val="20"/>
          <w:color w:val="auto"/>
        </w:rPr>
      </w:pPr>
    </w:p>
    <w:p>
      <w:pPr>
        <w:ind w:left="2420" w:hanging="157"/>
        <w:spacing w:after="0"/>
        <w:tabs>
          <w:tab w:leader="none" w:pos="2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100.0% × (2.2625% – 2.0%)</w:t>
      </w:r>
    </w:p>
    <w:p>
      <w:pPr>
        <w:spacing w:after="0" w:line="9" w:lineRule="exact"/>
        <w:rPr>
          <w:rFonts w:ascii="Arial" w:cs="Arial" w:eastAsia="Arial" w:hAnsi="Arial"/>
          <w:sz w:val="18"/>
          <w:szCs w:val="18"/>
          <w:color w:val="auto"/>
        </w:rPr>
      </w:pPr>
    </w:p>
    <w:p>
      <w:pPr>
        <w:ind w:left="2420" w:hanging="157"/>
        <w:spacing w:after="0"/>
        <w:tabs>
          <w:tab w:leader="none" w:pos="2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0.2625%</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0.2625%.</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Other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 (management fee + other expenses)) = 2.8625%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Incentive fee = 100.0% × pre-incentive fee net investment income (subject to “catch-up”) </w:t>
      </w:r>
      <w:r>
        <w:rPr>
          <w:rFonts w:ascii="Arial" w:cs="Arial" w:eastAsia="Arial" w:hAnsi="Arial"/>
          <w:sz w:val="15"/>
          <w:szCs w:val="15"/>
          <w:color w:val="auto"/>
        </w:rPr>
        <w:t>(4)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100.0% × “catch-up” + (20.0% × (pre-incentive fee net investment income – 2.5%))</w:t>
      </w:r>
    </w:p>
    <w:p>
      <w:pPr>
        <w:sectPr>
          <w:pgSz w:w="11900" w:h="16838" w:orient="portrait"/>
          <w:cols w:equalWidth="0" w:num="1">
            <w:col w:w="10860"/>
          </w:cols>
          <w:pgMar w:left="240" w:top="459" w:right="79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“Catch-up”</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2.5% – 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0.5%</w:t>
      </w:r>
    </w:p>
    <w:p>
      <w:pPr>
        <w:spacing w:after="0" w:line="143" w:lineRule="exact"/>
        <w:rPr>
          <w:sz w:val="20"/>
          <w:szCs w:val="20"/>
          <w:color w:val="auto"/>
        </w:rPr>
      </w:pPr>
    </w:p>
    <w:p>
      <w:pPr>
        <w:sectPr>
          <w:pgSz w:w="11900" w:h="16838" w:orient="portrait"/>
          <w:cols w:equalWidth="0" w:num="2">
            <w:col w:w="1540" w:space="720"/>
            <w:col w:w="8600"/>
          </w:cols>
          <w:pgMar w:left="240" w:top="459" w:right="799" w:bottom="1440" w:gutter="0" w:footer="0" w:header="0"/>
          <w:type w:val="continuous"/>
        </w:sectPr>
      </w:pPr>
    </w:p>
    <w:p>
      <w:pPr>
        <w:ind w:left="556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860"/>
          </w:cols>
          <w:pgMar w:left="240" w:top="459" w:right="79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22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(100.0% × 0.5%) + (20.0% × (2.8625% – 2.5%))</w:t>
      </w:r>
    </w:p>
    <w:p>
      <w:pPr>
        <w:spacing w:after="0" w:line="23" w:lineRule="exact"/>
        <w:rPr>
          <w:sz w:val="20"/>
          <w:szCs w:val="20"/>
          <w:color w:val="auto"/>
        </w:rPr>
      </w:pPr>
    </w:p>
    <w:p>
      <w:pPr>
        <w:ind w:left="2420" w:hanging="157"/>
        <w:spacing w:after="0"/>
        <w:tabs>
          <w:tab w:leader="none" w:pos="2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0.5% + (20.0% × 0.3625%)</w:t>
      </w:r>
    </w:p>
    <w:p>
      <w:pPr>
        <w:spacing w:after="0" w:line="9" w:lineRule="exact"/>
        <w:rPr>
          <w:rFonts w:ascii="Arial" w:cs="Arial" w:eastAsia="Arial" w:hAnsi="Arial"/>
          <w:sz w:val="18"/>
          <w:szCs w:val="18"/>
          <w:color w:val="auto"/>
        </w:rPr>
      </w:pPr>
    </w:p>
    <w:p>
      <w:pPr>
        <w:ind w:left="2420" w:hanging="157"/>
        <w:spacing w:after="0"/>
        <w:tabs>
          <w:tab w:leader="none" w:pos="2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0.5% + 0.0725%</w:t>
      </w:r>
    </w:p>
    <w:p>
      <w:pPr>
        <w:spacing w:after="0" w:line="9" w:lineRule="exact"/>
        <w:rPr>
          <w:rFonts w:ascii="Arial" w:cs="Arial" w:eastAsia="Arial" w:hAnsi="Arial"/>
          <w:sz w:val="18"/>
          <w:szCs w:val="18"/>
          <w:color w:val="auto"/>
        </w:rPr>
      </w:pPr>
    </w:p>
    <w:p>
      <w:pPr>
        <w:ind w:left="2420" w:hanging="157"/>
        <w:spacing w:after="0"/>
        <w:tabs>
          <w:tab w:leader="none" w:pos="2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0.575%</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0.575%.</w:t>
      </w:r>
    </w:p>
    <w:p>
      <w:pPr>
        <w:spacing w:after="0" w:line="19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1.75% annualized base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r>
        <w:rPr>
          <w:rFonts w:ascii="Arial" w:cs="Arial" w:eastAsia="Arial" w:hAnsi="Arial"/>
          <w:sz w:val="15"/>
          <w:szCs w:val="15"/>
          <w:b w:val="1"/>
          <w:bCs w:val="1"/>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1 </w:t>
      </w:r>
      <w:r>
        <w:rPr>
          <w:rFonts w:ascii="Arial" w:cs="Arial" w:eastAsia="Arial" w:hAnsi="Arial"/>
          <w:sz w:val="17"/>
          <w:szCs w:val="17"/>
          <w:color w:val="auto"/>
        </w:rPr>
        <w:t>: $5.0 million investment made in Company A (“Investment A”), and $7.5 million investment made in Company B (“Investment B”)</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and fair market value (“FMV”) of Investment B determined to be $8.0 million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$6.25 million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Investment B sold for $7.75 million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Capital gains incentive fee of $1.5 million — ($7.5 million realized capital gains on sale of Investment A multiplied by 20.0%)</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Year 3 </w:t>
      </w:r>
      <w:r>
        <w:rPr>
          <w:rFonts w:ascii="Arial" w:cs="Arial" w:eastAsia="Arial" w:hAnsi="Arial"/>
          <w:sz w:val="17"/>
          <w:szCs w:val="17"/>
          <w:color w:val="auto"/>
        </w:rPr>
        <w:t>: None — $1.25 million (20.0% multiplied by ($7.5 million cumulative capital gains less $1.25 million cumulative capital depreciation))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$1.5 million (previous capital gains fee paid in Year 2)</w:t>
      </w:r>
    </w:p>
    <w:p>
      <w:pPr>
        <w:spacing w:after="0" w:line="103" w:lineRule="exact"/>
        <w:rPr>
          <w:sz w:val="20"/>
          <w:szCs w:val="20"/>
          <w:color w:val="auto"/>
        </w:rPr>
      </w:pPr>
    </w:p>
    <w:p>
      <w:pPr>
        <w:ind w:left="460" w:right="200" w:firstLine="438"/>
        <w:spacing w:after="0" w:line="277" w:lineRule="auto"/>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Capital gains incentive fee of $50,000 — $1.55 million ($7.75 million cumulative realized capital gains multiplied by 20.0%) less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(capital gains incentive fee taken in Year 2)</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right="440" w:firstLine="438"/>
        <w:spacing w:after="0" w:line="277" w:lineRule="auto"/>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$4.0 million investment made in Company A (“Investment A”), $7.5 million investment made in Company B (“Investment B”) and</w:t>
      </w:r>
      <w:r>
        <w:rPr>
          <w:rFonts w:ascii="Arial" w:cs="Arial" w:eastAsia="Arial" w:hAnsi="Arial"/>
          <w:sz w:val="18"/>
          <w:szCs w:val="18"/>
          <w:i w:val="1"/>
          <w:iCs w:val="1"/>
          <w:color w:val="auto"/>
        </w:rPr>
        <w:t xml:space="preserve"> </w:t>
      </w:r>
      <w:r>
        <w:rPr>
          <w:rFonts w:ascii="Arial" w:cs="Arial" w:eastAsia="Arial" w:hAnsi="Arial"/>
          <w:sz w:val="18"/>
          <w:szCs w:val="18"/>
          <w:color w:val="auto"/>
        </w:rPr>
        <w:t>$6.25 million investment made in Company C (“Investment C”)</w:t>
      </w:r>
    </w:p>
    <w:p>
      <w:pPr>
        <w:spacing w:after="0" w:line="62" w:lineRule="exact"/>
        <w:rPr>
          <w:sz w:val="20"/>
          <w:szCs w:val="20"/>
          <w:color w:val="auto"/>
        </w:rPr>
      </w:pPr>
    </w:p>
    <w:p>
      <w:pPr>
        <w:ind w:left="460" w:right="180" w:firstLine="438"/>
        <w:spacing w:after="0" w:line="277"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FMV of Investment B determined to be $6.25 million and FMV of Investment C determined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$6.25 million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$6.75 million and Investment C sold for $7.5 million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FMV of Investment B determined to be $8.75 million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Investment B sold for $5.0 million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117"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$1.45 million capital gains incentive fee — 20.0% multiplied by $7.25 million ($8.5 million realized capital gains on Investment A less</w:t>
      </w:r>
      <w:r>
        <w:rPr>
          <w:rFonts w:ascii="Arial" w:cs="Arial" w:eastAsia="Arial" w:hAnsi="Arial"/>
          <w:sz w:val="18"/>
          <w:szCs w:val="18"/>
          <w:i w:val="1"/>
          <w:iCs w:val="1"/>
          <w:color w:val="auto"/>
        </w:rPr>
        <w:t xml:space="preserve"> </w:t>
      </w:r>
      <w:r>
        <w:rPr>
          <w:rFonts w:ascii="Arial" w:cs="Arial" w:eastAsia="Arial" w:hAnsi="Arial"/>
          <w:sz w:val="18"/>
          <w:szCs w:val="18"/>
          <w:color w:val="auto"/>
        </w:rPr>
        <w:t>$1.25 million unrealized capital depreciation on Investment B)</w:t>
      </w:r>
    </w:p>
    <w:p>
      <w:pPr>
        <w:spacing w:after="0" w:line="62" w:lineRule="exact"/>
        <w:rPr>
          <w:sz w:val="20"/>
          <w:szCs w:val="20"/>
          <w:color w:val="auto"/>
        </w:rPr>
      </w:pPr>
    </w:p>
    <w:p>
      <w:pPr>
        <w:ind w:left="460" w:right="100" w:firstLine="438"/>
        <w:spacing w:after="0" w:line="277" w:lineRule="auto"/>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$0.35 million capital gains incentive fee</w:t>
      </w:r>
      <w:r>
        <w:rPr>
          <w:rFonts w:ascii="Arial" w:cs="Arial" w:eastAsia="Arial" w:hAnsi="Arial"/>
          <w:sz w:val="18"/>
          <w:szCs w:val="18"/>
          <w:i w:val="1"/>
          <w:iCs w:val="1"/>
          <w:color w:val="auto"/>
        </w:rPr>
        <w:t xml:space="preserve"> </w:t>
      </w:r>
      <w:r>
        <w:rPr>
          <w:rFonts w:ascii="Arial" w:cs="Arial" w:eastAsia="Arial" w:hAnsi="Arial"/>
          <w:sz w:val="15"/>
          <w:szCs w:val="15"/>
          <w:color w:val="auto"/>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 $1.8 million (20.0% multiplied by $9.0 million ($9.75 million cumulative realized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gains less $0.75 million unrealized capital depreciation)) less $1.45 million capital gains incentive fee received in Year 2</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40" w:firstLine="415"/>
        <w:spacing w:after="0" w:line="277" w:lineRule="auto"/>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None — $1.45 million (20.0% multiplied by $7.25 million (cumulative realized capital gains of $9.75 million less realized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of $2.5 million)) is less than $1.8 million cumulative capital gains incentive fee paid in Year 2 and Year 3 </w:t>
      </w:r>
      <w:r>
        <w:rPr>
          <w:rFonts w:ascii="Arial" w:cs="Arial" w:eastAsia="Arial" w:hAnsi="Arial"/>
          <w:sz w:val="15"/>
          <w:szCs w:val="15"/>
          <w:color w:val="auto"/>
        </w:rPr>
        <w:t>(2)</w:t>
      </w:r>
    </w:p>
    <w:p>
      <w:pPr>
        <w:spacing w:after="0" w:line="197" w:lineRule="exact"/>
        <w:rPr>
          <w:sz w:val="20"/>
          <w:szCs w:val="20"/>
          <w:color w:val="auto"/>
        </w:rPr>
      </w:pPr>
    </w:p>
    <w:p>
      <w:pPr>
        <w:ind w:left="460" w:hanging="452"/>
        <w:spacing w:after="0" w:line="25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w:t>
      </w:r>
    </w:p>
    <w:p>
      <w:pPr>
        <w:spacing w:after="0" w:line="1" w:lineRule="exact"/>
        <w:rPr>
          <w:sz w:val="20"/>
          <w:szCs w:val="20"/>
          <w:color w:val="auto"/>
        </w:rPr>
      </w:pPr>
    </w:p>
    <w:p>
      <w:pPr>
        <w:ind w:left="460" w:right="4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illustrated in Year 3 of Alternative 2 above, if we were to be wound up on a date other than our fiscal year end of any year, we may have paid aggregate capital gains incentive fees that are more than the amount of such fees that would be payable if we had been wound up on our fiscal year end of such year.</w:t>
      </w:r>
    </w:p>
    <w:p>
      <w:pPr>
        <w:spacing w:after="0" w:line="1" w:lineRule="exact"/>
        <w:rPr>
          <w:rFonts w:ascii="Arial" w:cs="Arial" w:eastAsia="Arial" w:hAnsi="Arial"/>
          <w:sz w:val="18"/>
          <w:szCs w:val="18"/>
          <w:color w:val="auto"/>
        </w:rPr>
      </w:pPr>
    </w:p>
    <w:p>
      <w:pPr>
        <w:ind w:left="460" w:right="60" w:hanging="452"/>
        <w:spacing w:after="0" w:line="323"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2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At an in-person meeting of our board of directors on June 4, 2014, our board of directors, including a majority of the Independent Directors, voted to approve the continuation of the Investment Advisory Agreement to June 20, 2015.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15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87" w:lineRule="exact"/>
        <w:rPr>
          <w:sz w:val="20"/>
          <w:szCs w:val="20"/>
          <w:color w:val="auto"/>
        </w:rPr>
      </w:pPr>
    </w:p>
    <w:p>
      <w:pPr>
        <w:ind w:left="900" w:right="6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nature, extent and quality of the advisory and other services (including administrative services provided under the Administrative Agreement as discussed below) provided to us by our investment advisor;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fee structure of comparative externally managed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investment advisor’s pro forma profitability with respect to managing us and providing administrative services under the Administrative Agreement;</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limited potential for our investment advisor and its affiliates to derive additional “fall-out” benefits as a result of our relationship with our investment advisor;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various other matters.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See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At an in-person meeting of our board of directors on June 4, 2014, our board of directors, including a majority of the Independent Directors, voted to approve the continuation of the Administration Agreement to June 20, 2015.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456"/>
        <w:spacing w:after="0" w:line="342" w:lineRule="auto"/>
        <w:rPr>
          <w:sz w:val="20"/>
          <w:szCs w:val="20"/>
          <w:color w:val="auto"/>
        </w:rPr>
      </w:pPr>
      <w:r>
        <w:rPr>
          <w:rFonts w:ascii="Arial" w:cs="Arial" w:eastAsia="Arial" w:hAnsi="Arial"/>
          <w:sz w:val="16"/>
          <w:szCs w:val="16"/>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20"/>
          </w:cols>
          <w:pgMar w:left="24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acquired Fund I through the merger of Fund I with our wholly-owned subsidiary, and, as a result, we acquired 100.0% of the limited partnership interests in Fund I. In addition, we have acquired Fidus Mezzanine Capital GP, LLC, the Fund’s general partner, through a merger of Fidus Mezzanine Capital GP, LLC with and into our wholly-owned subsidiary and, as a result, we acquired 100.0% of the general partnership interests in Fund I. Fidus Mezzanine Capital GP, LLC’s partnership interest in Fund I was converted into shares of our common stock on the same terms as the partnership interests held by the limited partners. The former members of Fidus Mezzanine Capital GP, LLC each received a pro rata portion of these shares of our common stock in exchange for their interest in Fidus Mezzanine Capital GP, LLC. All of the former members of Fidus Mezzanine Capital GP, LLC and some of the former limited partners of Fund I are members, officers, investment committee members and investment professionals of our investment advisor and, therefore, received a financial benefit from the formation transactions. Moreover, some of the former members of Fidus Mezzanine Capital GP, LLC and some of the former limited partners of Fund I are officers, directors and former five percent beneficial owners of the Company and Fund I, including Mr. E. Ross, who is the chief executive officer of the Company and chairman of the board of directors of the Company and Fund I, Mr. Lauer who is a director of the Company and Fund I. In connection with these formation transactions, we issued and exchanged 3,702,778 shares of our common stock at $15.00 per share for 100.0% of the limited partnership interests in Fund I and 353,743 shares of our common stock at $15.00 per share for 100.0% of the equity interests of Fidus Mezzanine Capital GP, LLC.</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Advisory Agreement</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Under the Investment Advisory Agreement with our investment advisor, we pay our investment advisor a management fee and incentive fee that consists of an income incentive fee and a capital gains incentive fee. The incentive fee is computed and paid on income that we may not have yet received in cash. This fee structure may create an incentive for our investment advisor to invest in certain types of securities that may have a high degree of risk. Additionally, we rely on investment professionals from our investment advisor to assist our board of directors with the valuation of our portfolio investments. Our investment advisor’s management fee and incentive fee are based on the value of our investments and there may be a conflict of interest when personnel of our investment advisor are involved in the valuation process for our portfolio investments. The base management fee under the Investment Advisory Agreement for the years ended December 31, 2014, 2013 and 2012 totaled $5.9 million, $5.3 million and $4.2 million, respectively. The income incentive fee expense for the years ended December 31, 2014, 2013 and 2012 totaled $5.6 million, $5.2 million and $4.1 million, respectively. For the year ended December 31, 2014, we reversed previously accrued capital gain incentive fees totaling $0.7 million. The capital gains incentive fee accrual for the years ended December 31, 2013 and 2012 totaled $1.6 million and $0.7 million, respectively.</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Mr. E. Ross is the chairman of the board of directors of the Company and the Funds, as well as the chairman of our investment advisor’s investment committees and the chief executive officer of our investment advisor. The board of managers of our investment advisor, the manager of Fidus Investment GP, LLC, the general partner of the Funds, currently controls the Funds. The following people are members of the board of managers of our investment advisor: Messrs. E. Ross, Lauer, J. Ross and Andrew W. Worth. Officers and members of the board of managers of our investment advisor receive a benefit from the fees paid to our investment advisor pursuant to the Investment Advisory Agreement. Our board of directors, including a majority of the Independent Directors has approved the Investment Advisory Agreement, including the fees paid pursuant to such agreement.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portfolio companies that have accepted our offer to provide such assistance.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 Under the administration agreement, administrative expenses for services provided for the years ended December 31, 2014, 2013 and 2012 totaled $1.8 million, $1.2 million and $0.9 million,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investment advisor may in the future manage investment vehicles with similar or overlapping investment strategies and has put in place a conflict-resolution policy that addresses the co-investment restrictions set forth under the 1940 Act and the allocation of investment opportunities. The 1940 Act generally prohibits us from making certain negotiated co-investments with affiliates unless we first obtain an order from the SEC permitting us to do so. On March 27, 2012, the SEC granted us an order for exemptive relief to allow us to take certain actions that would otherwise be prohibited by the 1940 Act, as applicable to BDCs. In particular, this relief permitted Fidus Investment Corporation and Fidus Mezzanine Capital, L.P. to operate effectively as one company by specifically allowing them to engage in certain transactions with each other and invest in securities in which the other is or proposes to be an investor. On June 2, 2014, we received an amended exemptive order that extended the previous granted relief to apply to Fidus Mezzanine Capital II, L.P. and any future subsidiary of Fidus Investment Corporation.</w:t>
      </w:r>
    </w:p>
    <w:p>
      <w:pPr>
        <w:spacing w:after="0" w:line="17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Where co-investments can be made, or where an investment opportunity becomes available to one investment vehicle managed by our investment advisor, then an equitable allocation must be made with respect to the investment. Our investment advisor will seek to ensure the equitable allocation of investment opportunities when we invest alongside other accounts managed by our investment advisor. When we invest alongside such other accounts as permitted, such investments will be made consistent with our investment advisor’s allocation policy. The allocation policy provides that allocations among us and other accounts will be based on certain factors determined by our investment advisor, including but not limited to: (1) the targeted asset mix and diversification requirements and other investment policies and restrictions for the entity, including those imposed by the entities organizational documents, policies, applicable laws, rules, regulations or interpretations; (2) the risk and return profile for the entity; (3) the suitability/priority of a particular investment for the entity; (4) if applicable, the target position size of the investment for the entity; and (5) the level of available cash for investment with respect to the particular entity.</w:t>
      </w:r>
    </w:p>
    <w:p>
      <w:pPr>
        <w:spacing w:after="0" w:line="19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certain members of our investment advisor and its investment committees are also members of Fidus Partners, LLC, a merchant banking firm. Fidus Partners, LLC may in the future serve as an advisor to our portfolio companies and we may invest in companies that Fidus Partners, LLC is advising. Fidus Partners, LLC may receive fees in connection with these advisory services, subject to regulatory restrictions imposed by the 1940 Act.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13, 2015 by each of our executive officers and independent directors and all of our directors and executive officers as a group. As of April 13, 2015, we are not aware of any 5.0% beneficial owners of our common stock, nor are we aware of any person who controls us, “control” being defined as the beneficial ownership of more than 25.0% of our common stock.</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There is no common stock subject to options or warrants that are currently exercisable or exercisable within 60 days of April 13, 2015. Percentage of beneficial ownership is based on 16,113,152 shares of common stock outstanding as of April 13, 2015. The business address of each person below is 1603 Orrington Avenue, Suite 1005, Evanston, Illinois 60201.</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Dollar Range of Equity</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7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w:t>
            </w:r>
          </w:p>
        </w:tc>
        <w:tc>
          <w:tcPr>
            <w:tcW w:w="4980" w:type="dxa"/>
            <w:vAlign w:val="bottom"/>
            <w:vMerge w:val="restart"/>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Beneficially</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vMerge w:val="continue"/>
          </w:tcPr>
          <w:p>
            <w:pPr>
              <w:spacing w:after="0"/>
              <w:rPr>
                <w:sz w:val="14"/>
                <w:szCs w:val="14"/>
                <w:color w:val="auto"/>
              </w:rPr>
            </w:pPr>
          </w:p>
        </w:tc>
        <w:tc>
          <w:tcPr>
            <w:tcW w:w="498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Owned </w:t>
            </w:r>
            <w:r>
              <w:rPr>
                <w:rFonts w:ascii="Arial" w:cs="Arial" w:eastAsia="Arial" w:hAnsi="Arial"/>
                <w:sz w:val="12"/>
                <w:szCs w:val="12"/>
                <w:b w:val="1"/>
                <w:bCs w:val="1"/>
                <w:color w:val="auto"/>
                <w:w w:val="94"/>
              </w:rPr>
              <w:t>(1)</w:t>
            </w:r>
          </w:p>
        </w:tc>
        <w:tc>
          <w:tcPr>
            <w:tcW w:w="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Class</w:t>
            </w:r>
          </w:p>
        </w:tc>
        <w:tc>
          <w:tcPr>
            <w:tcW w:w="74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(2)(3)</w:t>
            </w:r>
          </w:p>
        </w:tc>
        <w:tc>
          <w:tcPr>
            <w:tcW w:w="0" w:type="dxa"/>
            <w:vAlign w:val="bottom"/>
          </w:tcPr>
          <w:p>
            <w:pPr>
              <w:spacing w:after="0"/>
              <w:rPr>
                <w:sz w:val="1"/>
                <w:szCs w:val="1"/>
                <w:color w:val="auto"/>
              </w:rPr>
            </w:pPr>
          </w:p>
        </w:tc>
      </w:tr>
      <w:tr>
        <w:trPr>
          <w:trHeight w:val="196"/>
        </w:trPr>
        <w:tc>
          <w:tcPr>
            <w:tcW w:w="6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Edward H. Ross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167,954</w:t>
            </w:r>
          </w:p>
        </w:tc>
        <w:tc>
          <w:tcPr>
            <w:tcW w:w="1420" w:type="dxa"/>
            <w:vAlign w:val="bottom"/>
            <w:gridSpan w:val="2"/>
          </w:tcPr>
          <w:p>
            <w:pPr>
              <w:jc w:val="center"/>
              <w:ind w:left="650"/>
              <w:spacing w:after="0"/>
              <w:rPr>
                <w:sz w:val="20"/>
                <w:szCs w:val="20"/>
                <w:color w:val="auto"/>
              </w:rPr>
            </w:pPr>
            <w:r>
              <w:rPr>
                <w:rFonts w:ascii="Arial" w:cs="Arial" w:eastAsia="Arial" w:hAnsi="Arial"/>
                <w:sz w:val="18"/>
                <w:szCs w:val="18"/>
                <w:color w:val="auto"/>
                <w:w w:val="87"/>
              </w:rPr>
              <w:t>1.0%</w:t>
            </w:r>
          </w:p>
        </w:tc>
        <w:tc>
          <w:tcPr>
            <w:tcW w:w="7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C. Lauer</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70,500</w:t>
            </w:r>
          </w:p>
        </w:tc>
        <w:tc>
          <w:tcPr>
            <w:tcW w:w="142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Raymond L. Anstiss, Jr. </w:t>
            </w:r>
            <w:r>
              <w:rPr>
                <w:rFonts w:ascii="Arial" w:cs="Arial" w:eastAsia="Arial" w:hAnsi="Arial"/>
                <w:sz w:val="15"/>
                <w:szCs w:val="15"/>
                <w:color w:val="auto"/>
              </w:rPr>
              <w:t>(4)</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12,256</w:t>
            </w:r>
          </w:p>
        </w:tc>
        <w:tc>
          <w:tcPr>
            <w:tcW w:w="142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Charles D. Hyman</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21,700</w:t>
            </w:r>
          </w:p>
        </w:tc>
        <w:tc>
          <w:tcPr>
            <w:tcW w:w="142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Mazzarino</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10,262</w:t>
            </w:r>
          </w:p>
        </w:tc>
        <w:tc>
          <w:tcPr>
            <w:tcW w:w="142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Shelby E. Sherard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2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282,672</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1.8</w:t>
            </w:r>
          </w:p>
        </w:tc>
        <w:tc>
          <w:tcPr>
            <w:tcW w:w="74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less than 1.0%.</w:t>
      </w:r>
    </w:p>
    <w:p>
      <w:pPr>
        <w:spacing w:after="0" w:line="2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13d-3 of the Exchange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16a-1(a)(2) of the Exchange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dollar range of equity securities beneficially owned by our directors is based on a stock price of $16.20 per share as of April 13, 2015.</w:t>
      </w:r>
    </w:p>
    <w:p>
      <w:pPr>
        <w:spacing w:after="0" w:line="20" w:lineRule="exact"/>
        <w:rPr>
          <w:rFonts w:ascii="Arial" w:cs="Arial" w:eastAsia="Arial" w:hAnsi="Arial"/>
          <w:sz w:val="17"/>
          <w:szCs w:val="17"/>
          <w:color w:val="auto"/>
        </w:rPr>
      </w:pPr>
    </w:p>
    <w:p>
      <w:pPr>
        <w:ind w:left="460" w:right="44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5,246 shares held by Anstiss &amp; Co., P.C. 401(k) Profit Sharing Trust, 2,000 shares held by Mr. Anstiss’s son and 2,000 shares held by Mr. Anstiss’s daughter. Mr. Anstiss has discretionary voting and investment power over the 5,246 shares held by Anstiss &amp; Co., P.C. 401(k) Profit Sharing Trust, the 2,000 shares held by his son and the 2,000 shares held by his daughter.</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June 4, 2014, our stockholders approved our ability to sell or otherwise issue shares of our common stock at a discount from net asset value per share for a period of one year ending on the earlier of June 4, 2015 or the date of our 2015 Annual Meeting of Stockholders. In order to sell shares pursuant to this authorization a majority of our directors who have no financial interest in the sale or issuance and a majority of our independent directors must (a) find that the sale or issuance is in our best interests and in the best interests of our stockholders, and (b) in consultation with any underwriter or underwriters of the offering, make a good faith determination as of a time either immediately prior to the first solicitation by us or on our behalf of firm commitments to purchase such shares, or immediately prior to the issuance of such shares, that the price at which such shares are to be sold or otherwise issued is not less than a price which closely approximates the market value of such shares, less any distributing commission or discount. It should be noted that the maximum number of shares issuable below net asset value pursuant to this authority that could result in such dilution is limited to 25% of the Company’s then outstanding common stock immediately prior to each such sale. Any offering of common stock below net asset value per share will be designed to raise capital for investment in accordance with our investment objective.</w:t>
      </w:r>
    </w:p>
    <w:p>
      <w:pPr>
        <w:spacing w:after="0" w:line="17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making a determination that an offering below net asset value per share is in our and our stockholders’ best interests, our board of directors would consider a variety of factors including:</w:t>
      </w:r>
    </w:p>
    <w:p>
      <w:pPr>
        <w:spacing w:after="0" w:line="76" w:lineRule="exact"/>
        <w:rPr>
          <w:sz w:val="20"/>
          <w:szCs w:val="20"/>
          <w:color w:val="auto"/>
        </w:rPr>
      </w:pPr>
    </w:p>
    <w:p>
      <w:pPr>
        <w:ind w:left="9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that an offering below net asset value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net asset value per share;</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Sales or other issuances by us of our common stock at a discount from net asset value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three headings and accompanying tables will explain and provide hypothetical examples on the impact of an offering at a price less than net asset value per share on three different set of investors:</w:t>
      </w:r>
    </w:p>
    <w:p>
      <w:pPr>
        <w:spacing w:after="0" w:line="7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existing stockholders who purchase a relative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Stockholders Who Do Not Participate in the Offering</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existing stockholders who do not participate in an offering below net asset value per share or who do not buy additional shares in the secondary market at the same or lower price we obtain in the offering (after expenses and commissions) face the greatest potential risks. These stockholders will experience an immediate decrease (often called dilution) in the net asset value of the shares they hold and their net asset value per share. These stockholders will also experience a disproportionately greater decrease in their participation in our earnings and assets and their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w:t>
      </w:r>
    </w:p>
    <w:p>
      <w:pPr>
        <w:spacing w:after="0" w:line="166"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following table illustrates the level of net asset value dilution that 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$15,000,000 in total assets and $5,000,000 in total liabilities. The current net asset value and net asset value per share are thus $10,000,000 and $10.00.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 (3) an offering of 200,000 shares (20.0% of the outstanding shares) at $8.00 per share after offering expenses and commissions (a 20.0% discount from net asset value). The acronym “NAV” stands for “net asset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1</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5.0% Offering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10.0% Offering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20.0% Offering</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at 5.0% Discount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at 10.0% Discount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at 20.0% Discount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Following</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Following</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Following</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9.47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8.42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1,100,000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1,200,000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9.91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99,762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99,091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w w:val="96"/>
              </w:rPr>
              <w:t>Total Investment by Stockholder A (Assumed to Be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$10.00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 to Stockholder A (Total NAV Less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9.98</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Investment per Share Held by Stockholder A</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w w:val="94"/>
              </w:rPr>
              <w:t>(Assumed to be $10.00 per Share on Shares Held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Prior to Sale)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Dilution per Share Held by Stockholder A (NAV per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Less Investment per Share)</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w w:val="99"/>
              </w:rPr>
              <w:t>Percentage Dilution to Stockholder A (Dilution per</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Share Divided by Investment per Share)</w:t>
            </w:r>
          </w:p>
        </w:tc>
        <w:tc>
          <w:tcPr>
            <w:tcW w:w="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365"/>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Stockholders Who Do Participate in the Offering</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our shares immediately prior to the offering. The level of net asset value dilution will decrease as the number of shares such stockholders purchase increases. Existing stockholders who buy more than such percentage will experience net asset value dilution but will, in contrast to existing stockholders who purchase less than their proportionate share of the offering, experience an increase (often called accretion) in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 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increases and decreases in net asset value per share. This decrease could be more pronounced as the size of the offering and the level of discounts increases.</w:t>
      </w:r>
    </w:p>
    <w:p>
      <w:pPr>
        <w:spacing w:after="0" w:line="169"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following table illustrates the level of dilution and accretion in the hypothetical 20.0% discount offering from the prior table (Example 3) for a stockholder that acquires shares equal to (1) 50.0% of its proportionate share of the offering (i.e., 1,000 shares, which is 0.5% of an offering of</w:t>
      </w:r>
    </w:p>
    <w:p>
      <w:pPr>
        <w:ind w:right="160"/>
        <w:spacing w:after="0" w:line="295" w:lineRule="auto"/>
        <w:rPr>
          <w:sz w:val="20"/>
          <w:szCs w:val="20"/>
          <w:color w:val="auto"/>
        </w:rPr>
      </w:pPr>
      <w:r>
        <w:rPr>
          <w:rFonts w:ascii="Arial" w:cs="Arial" w:eastAsia="Arial" w:hAnsi="Arial"/>
          <w:sz w:val="16"/>
          <w:szCs w:val="16"/>
          <w:color w:val="auto"/>
        </w:rPr>
        <w:t>200,000 shares) rather than its 1.0% proportionate share and (2) 150% of such percentage (i.e. 3,000 shares, which is 1.5% of an offering of 200,000 shares rather than its 1.0% proportionate share).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50.0% Participation</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150.0% Participation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w w:val="98"/>
              </w:rPr>
              <w:t>Following</w:t>
            </w: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0"/>
                <w:szCs w:val="10"/>
                <w:color w:val="auto"/>
              </w:rPr>
            </w:pPr>
          </w:p>
        </w:tc>
        <w:tc>
          <w:tcPr>
            <w:tcW w:w="12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w w:val="98"/>
              </w:rPr>
              <w:t>Following</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8.42</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8.42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Decrease/Increase to NAV</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1,000,000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1,200,000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1,200,000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9.67</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9.67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11,000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13,000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0.92%</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106,333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125,667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w w:val="97"/>
              </w:rPr>
              <w:t>Total Investment by Stockholder A (Assumed to Be $10.00 per Share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on Shares Held Prior to Sale)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108,421</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125,263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Dilution/Accretion to Stockholder A (Total NAV Less Total</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(2,088)</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w w:val="98"/>
              </w:rPr>
              <w:t>Investment per Share Held by Stockholder A (Assumed to be $10.00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per Share on Shares Held Prior to Sale)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9.86</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9.64</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Dilution/Accretion per Share Held by Stockholder A (NAV per Share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Investment per Share)</w:t>
            </w: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rPr>
              <w:t>Percentage Dilution / Accretion to Stockholder A (Dilution/Accretion</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per Share Divided by Investment per Share)</w:t>
            </w:r>
          </w:p>
        </w:tc>
        <w:tc>
          <w:tcPr>
            <w:tcW w:w="8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New Investors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Investors who are not currently stockholders and who participate in an offering below net asset value but whose investment per share is greater than the resulting net asset value per share due to selling compensation and expenses paid by the issuer will experience an immediate decrease, albeit small, in the net asset value of their shares and their net asset value per share compared to the price they pay for their shares. Investors who are not currently stockholders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table illustrates the level of dilution or accretion for new investors that would be experienced by a new investor in the same hypothetical 5.0%, 10.0% and 20.0% discounted offerings as described in the first table above. The illustration is for a new investor who purchases the same percentage (1.0%) of the shares in the offering as Stockholder A in the prior examples held immediately prior to the offering.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Example 1</w:t>
            </w:r>
          </w:p>
        </w:tc>
        <w:tc>
          <w:tcPr>
            <w:tcW w:w="100" w:type="dxa"/>
            <w:vAlign w:val="bottom"/>
          </w:tcPr>
          <w:p>
            <w:pPr>
              <w:spacing w:after="0"/>
              <w:rPr>
                <w:sz w:val="14"/>
                <w:szCs w:val="14"/>
                <w:color w:val="auto"/>
              </w:rPr>
            </w:pPr>
          </w:p>
        </w:tc>
        <w:tc>
          <w:tcPr>
            <w:tcW w:w="21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Example 2</w:t>
            </w:r>
          </w:p>
        </w:tc>
        <w:tc>
          <w:tcPr>
            <w:tcW w:w="100" w:type="dxa"/>
            <w:vAlign w:val="bottom"/>
          </w:tcPr>
          <w:p>
            <w:pPr>
              <w:spacing w:after="0"/>
              <w:rPr>
                <w:sz w:val="14"/>
                <w:szCs w:val="14"/>
                <w:color w:val="auto"/>
              </w:rPr>
            </w:pPr>
          </w:p>
        </w:tc>
        <w:tc>
          <w:tcPr>
            <w:tcW w:w="19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5.0% Offering</w:t>
            </w:r>
          </w:p>
        </w:tc>
        <w:tc>
          <w:tcPr>
            <w:tcW w:w="100" w:type="dxa"/>
            <w:vAlign w:val="bottom"/>
          </w:tcPr>
          <w:p>
            <w:pPr>
              <w:spacing w:after="0"/>
              <w:rPr>
                <w:sz w:val="12"/>
                <w:szCs w:val="12"/>
                <w:color w:val="auto"/>
              </w:rPr>
            </w:pPr>
          </w:p>
        </w:tc>
        <w:tc>
          <w:tcPr>
            <w:tcW w:w="21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10.0% Offering</w:t>
            </w:r>
          </w:p>
        </w:tc>
        <w:tc>
          <w:tcPr>
            <w:tcW w:w="100" w:type="dxa"/>
            <w:vAlign w:val="bottom"/>
          </w:tcPr>
          <w:p>
            <w:pPr>
              <w:spacing w:after="0"/>
              <w:rPr>
                <w:sz w:val="12"/>
                <w:szCs w:val="12"/>
                <w:color w:val="auto"/>
              </w:rPr>
            </w:pPr>
          </w:p>
        </w:tc>
        <w:tc>
          <w:tcPr>
            <w:tcW w:w="19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20.0% Offering</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Prior to</w:t>
            </w:r>
          </w:p>
        </w:tc>
        <w:tc>
          <w:tcPr>
            <w:tcW w:w="100" w:type="dxa"/>
            <w:vAlign w:val="bottom"/>
          </w:tcPr>
          <w:p>
            <w:pPr>
              <w:spacing w:after="0"/>
              <w:rPr>
                <w:sz w:val="14"/>
                <w:szCs w:val="14"/>
                <w:color w:val="auto"/>
              </w:rPr>
            </w:pPr>
          </w:p>
        </w:tc>
        <w:tc>
          <w:tcPr>
            <w:tcW w:w="21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at 5.0% Discount</w:t>
            </w:r>
          </w:p>
        </w:tc>
        <w:tc>
          <w:tcPr>
            <w:tcW w:w="100" w:type="dxa"/>
            <w:vAlign w:val="bottom"/>
          </w:tcPr>
          <w:p>
            <w:pPr>
              <w:spacing w:after="0"/>
              <w:rPr>
                <w:sz w:val="14"/>
                <w:szCs w:val="14"/>
                <w:color w:val="auto"/>
              </w:rPr>
            </w:pPr>
          </w:p>
        </w:tc>
        <w:tc>
          <w:tcPr>
            <w:tcW w:w="21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at 10.0% Discount</w:t>
            </w:r>
          </w:p>
        </w:tc>
        <w:tc>
          <w:tcPr>
            <w:tcW w:w="100" w:type="dxa"/>
            <w:vAlign w:val="bottom"/>
          </w:tcPr>
          <w:p>
            <w:pPr>
              <w:spacing w:after="0"/>
              <w:rPr>
                <w:sz w:val="14"/>
                <w:szCs w:val="14"/>
                <w:color w:val="auto"/>
              </w:rPr>
            </w:pPr>
          </w:p>
        </w:tc>
        <w:tc>
          <w:tcPr>
            <w:tcW w:w="19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at 20.0% Discount</w:t>
            </w:r>
          </w:p>
        </w:tc>
        <w:tc>
          <w:tcPr>
            <w:tcW w:w="0" w:type="dxa"/>
            <w:vAlign w:val="bottom"/>
          </w:tcPr>
          <w:p>
            <w:pPr>
              <w:spacing w:after="0"/>
              <w:rPr>
                <w:sz w:val="1"/>
                <w:szCs w:val="1"/>
                <w:color w:val="auto"/>
              </w:rPr>
            </w:pPr>
          </w:p>
        </w:tc>
      </w:tr>
      <w:tr>
        <w:trPr>
          <w:trHeight w:val="106"/>
        </w:trPr>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Following</w:t>
            </w: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Following</w:t>
            </w: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Following</w:t>
            </w: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Sale</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Below NAV</w:t>
            </w: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9.47</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8.42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Decrease/Increase to NAV</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1,050,000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1,100,000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1,200,000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NAV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9.98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9.91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New Investor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Shares Held by Investor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Investor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Investor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4,988</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9,909</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19,333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Total Investment by Investor A (At Price 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Public)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5,000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9,474</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16,842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 / Accretion to Investor A (Total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NAV Less Total Investment)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435</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Investor 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9.98</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9.91</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Investment per Share Held by Investor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9.47</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8.42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Dilution / Accretion per Share Held by Investor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 (NAV per Share Less Investment per Share)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0.44</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Percentage Dilution / Accretion to Investor 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(Dilution per Share Divided by 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No action is required on the part of a registered stockholder to have their cash distribution reinvested in shares of our common stock. A registered stockholder may elect to receive an entire distribution in cash by notifying American Stock Transfer &amp; Trust,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plan may be terminated by us upon notice in writing mailed to each participant at least 30 days prior to any record date for the payment of any distribution by us. All correspondence concerning the plan should be directed to the plan administrator by mail at Post Office Box 922, Wall Street Station, New York, New York 10269-0560, or by the Plan Administrator’s Interactive Voice Response System at 1-877-573-4005.</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you withdraw or the plan is terminated, you will receive the number of whole shares in your account under the plan and a cash payment for any fraction of a share in your account.</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 U.S. stockholders (as defined below) whose functional currency is not the U.S. dollar, persons who mark-to-market our shares and persons who hold our shares as part of a “straddle,” “hedge” or “conversion” transaction. This summary assumes that investors hold shares of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6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For purposes of our discussion, a “U.S. stockholder” means a beneficial owner of shares of our common stock that is for U.S. federal income tax purposes:</w:t>
      </w:r>
    </w:p>
    <w:p>
      <w:pPr>
        <w:spacing w:after="0" w:line="7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administration of such trust and one or more U.S. persons have the authority to control all substantial decisions of the trust or (2) it has a valid election in place to be treated as a U.S. person.</w:t>
      </w:r>
    </w:p>
    <w:p>
      <w:pPr>
        <w:spacing w:after="0" w:line="1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purposes of our discussion, a “Non-U.S. stockholder” means a beneficial owner of shares of our common stock that is neither a U.S. stockholder nor a partnership (including an entity treated as a partnership for U.S. federal income tax purposes).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or member of the partnership will generally depend upon the status of the partner and the activities of the partnership. Each partner in a partnership that is considering acquiring shares of our common stock should consult his, her or its tax advisors with respect to the purchase, ownership and disposition of shares of our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We have elected to be treated as a RIC under Subchapter M of the Code. As a RIC, we generally will not be subject to corporate-level U.S. federal income taxes on any income that we distribute to our stockholders. To maintain our status as a RIC, we must, among other things, meet certain source-of-income and asset diversification requirements (as described below). In addition, in order to maintain our status as a RIC, we must distribute to our stockholders, for each taxable year, at least 90.0%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w:t>
      </w:r>
    </w:p>
    <w:p>
      <w:pPr>
        <w:spacing w:after="0" w:line="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4.0%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corporate-level U.S. federal income tax on our undistributed taxable income and could be subject to U.S. federal excise, state, local and foreign taxes.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We will be subject to U.S. federal income tax at the regular corporate rates on any income or capital gain not distributed (or deemed distributed) to our stockholders.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be subject to a 4.0% nondeductible U.S. federal excise tax on certain undistributed income unless we distribute in a timely manner an amount at least equal to the sum of (1) 98.0% of our investment company taxable income for each calendar year, (2) 98.2% of our capital gain net income for the one-year period ending October 31 in that calendar year (or, if we so elect, for that calendar year) and (3) any income recognized, but not distributed, in the preceding calendar year and on which we paid no U.S. federal income tax.</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maintain our status as a RIC for U.S. federal income tax purposes, we must, among other things:</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meet the Annual Distribution Requirement;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qualify to be treated as a BDC or be registered as a management investment company under the 1940 Act at all times during each taxable year;</w:t>
      </w:r>
    </w:p>
    <w:p>
      <w:pPr>
        <w:spacing w:after="0" w:line="153"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derive in each taxable year at least 90.0%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30"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least 50.0% of the value of our assets consists of cash, cash equivalents, U.S. Government securities, securities of other RICs, and other securities if such other securities of any one issuer do not represent more than 5.0% of the value of our assets or more than 10.0% of the outstanding voting securities of the issuer (which for these purposes includes the equity securities of a “qualified publicly traded partnership”); and</w:t>
      </w:r>
    </w:p>
    <w:p>
      <w:pPr>
        <w:spacing w:after="0" w:line="92" w:lineRule="exact"/>
        <w:rPr>
          <w:rFonts w:ascii="Arial" w:cs="Arial" w:eastAsia="Arial" w:hAnsi="Arial"/>
          <w:sz w:val="18"/>
          <w:szCs w:val="18"/>
          <w:color w:val="auto"/>
        </w:rPr>
      </w:pPr>
    </w:p>
    <w:p>
      <w:pPr>
        <w:ind w:left="1480" w:right="20" w:hanging="446"/>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more than 25.0% of the value of our assets is invested in the securities, other than U.S. Government securities or securities of other RICs, (i) of one issuer (ii) of two or more issuers that are controlled, as determined under applicable tax rules, by us and that are engaged in the same or similar or related trades or businesses or (iii) of one or more “qualified publicly traded partnerships,” or the Diversification Tests.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and other taxes, and therefore we can expect to achieve a reduced after-tax yield on such investments.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a corresponding payment in cash. For example, if we hold debt obligations that are treated under applicable tax rules as having original issue discount or debt instruments with payment-in-kind interest, we must include in income each year a portion of the original issue discount that accrues over the life of the obligation and payment-in-kind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original issue discount or other income required to be included in taxable income prior to our receipt of cash.</w:t>
      </w:r>
    </w:p>
    <w:p>
      <w:pPr>
        <w:spacing w:after="0" w:line="18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Because any original issue discount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to satisfy the Annual Distribution Requirement and to avoid corporate-level U.S. federal income tax and the 4.0%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corporate-level U.S. federal income tax and the 4.0% U.S. federal excise tax may be limited by (1) the illiquid nature of our portfolio and (2) other requirements relating to our status as a RIC, including the Diversification Tests. If we dispose of assets in order to meet the Annual Distribution Requirement or to avoid corporate-level U.S. federal income tax or the 4.0% U.S. federal excise tax, we may make such dispositions at times that, from an investment standpoint, are not advantageous.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If we fail to satisfy the Annual Distribution Requirement or otherwise fail to qualify as a RIC in any taxable year, we will be subject to tax in that year on all of our taxable income, regardless of whether we make any distributions to our stockholders. In that case, all of such income will be subject to corporate-level U.S. federal income tax, reducing the amount available to be distributed to our stockholders. See “— Failure To Qualify as a RIC” below.</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a RIC, we are not allowed to carry forward or carry back a net operating loss for purposes of computing our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 term capital loss arising on the first day of the following year. However, future transactions we engage in may cause our ability to use any capital loss carryforwards, and unrealized losses once realized, to be limited under Section 382 of the Code.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w:t>
      </w:r>
    </w:p>
    <w:p>
      <w:pPr>
        <w:spacing w:after="0" w:line="35"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disallow, suspend or otherwise limit the allowance of certain losses or deductions, (ii) convert lower taxed long-term capital gain and qualified dividend</w:t>
      </w:r>
    </w:p>
    <w:p>
      <w:pPr>
        <w:spacing w:after="0" w:line="32"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9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Subchapter M of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qualification as a RIC. We intend to monitor our investments in equity securities of entities that are treated as partnerships for U.S. federal income tax purposes to prevent our disqualification as a RIC.</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may invest in preferred securities or other securities the U.S. federal income tax treatment of which may not be clear or may be subject to recharacterization by the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Subchapter M of the Code.</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make distributions that are payable in cash or shares of our stock at the election of each stockholder. Under certain applicable provisions of Subchapter M of the Code and the Treasury regulations, distributions payable in cash or in shares of stock at the election of stockholders may be treated as taxable dividends to the extent of the distributing corporation’s current and accumulated earnings and profits. The Internal Revenue Service has issued private letter rulings indicating that such treatment will apply under circumstances in which the total amount of cash distributed is limited to as little as 20.0% of the total distribution.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RIC Tax Treatment</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taxes or to dispose of certain assets).</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we were unable to obtain tax treatment as a RIC, we would be subject to tax on all of our taxable income at regular corporate rates. We would not be able to deduct distributions to stockholders, nor would distributions be compulsory. Distributions would generally be taxable to our stockholders as dividend income to the extent of our current and accumulated earnings and profits (in the case of noncorporate U.S. stockholders, at a maximum federal income tax rate applicable to qualified dividend income of 20.0%). Subject to certain limitations under Subchapter M of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we fail to meet the RIC requirements for more than two consecutive years and then seek to re-qualify as a RIC, we would be subject to corporate-level taxation on any built-in gain recognized during the succeeding 10-year period unless we made a special election to recognize all such built-in gain upon our re-qualification as a RIC and pay the corporate-level tax on such built-in gain.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consequences of an investment in shares of our common stock by taxable U.S. stockholders. Prospective investors should consult their own tax advisors before making an investment in our common stock.</w:t>
      </w:r>
    </w:p>
    <w:p>
      <w:pPr>
        <w:spacing w:after="0" w:line="18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is generally our net long-term capital gain in excess of net short-term capital loss) properly designated by us as “capital gain dividends” will be taxable to a U.S. stockholder as long-term capital gain (at a maximum rate of 20.0%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stockholder’s common stock and, after the adjusted basis is reduced to zero, will constitute capital gain to such U.S. stockholder.</w:t>
      </w:r>
    </w:p>
    <w:p>
      <w:pPr>
        <w:spacing w:after="0" w:line="17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w:t>
      </w:r>
    </w:p>
    <w:p>
      <w:pPr>
        <w:spacing w:after="0" w:line="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U.S.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9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could be subject to the alternative minimum tax, or the AMT, but any items that are treated differently for AMT purposes must be apportioned between us and our stockholders and this may affect U.S. stockholders’ AMT liabilities. Although regulations explaining the precise method of apportionment have not yet been issued, such items will generally be apportioned in the same proportion that distributions paid to each stockholder bear to our taxable income (determined without regard to the dividends paid deduction), unless a different method for a particular item is warranted under the circumstances.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w:t>
      </w:r>
    </w:p>
    <w:p>
      <w:pPr>
        <w:spacing w:after="0" w:line="19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30 days before or after the disposition. The ability to otherwise deduct capital loss may be subject to other limitations under the Code.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In general, noncorporate U.S. stockholders, including individuals, trusts and estates, are subject to U.S. federal income tax (at a maximum rate of 20.0%)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35.0%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back such losses for three years or carry forward such losses for five years.</w:t>
      </w:r>
    </w:p>
    <w:p>
      <w:pPr>
        <w:spacing w:after="0" w:line="17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Certain U.S. stockholders who are individuals, estates or trusts generally will be subject to a 3.8% Medicare tax on, among other things, dividends on, and capital gain from the sale or other disposition of shares, of our common stock.</w:t>
      </w:r>
    </w:p>
    <w:p>
      <w:pPr>
        <w:spacing w:after="0" w:line="17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“publicly offered” RIC is a RIC whose shares are either (i) continuously offered pursuant to a public offering, (ii) regularly traded on an established securities market or (iii) held by at least 500 persons at all times during the taxable year. If we are not a publicly offered RIC for any period, a noncorporate stockholder’s pro rata portion of our affected expenses, including our management fees, will be treated as an additional distribution to the stockholder and will be deductible by such stockholder only to the extent permitted under the limitations described below. For noncorporate stockholders, including individuals, trusts, and estates, significant limitations generally apply to the deductibility of certain expenses of a nonpublicly offered RIC, including advisory fees. In particular, these expenses, referred to as miscellaneous itemized deductions, are deductible only to individuals to the extent they exceed 2.0% of such a stockholder’s adjusted gross income, and are not deductible for AMT purposes. Because we anticipate that shares of our common stock will continue to be regularly traded on an established securities market, we believe that we will continue to qualify as a publicly offered RIC.</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20.0% maximum rate). Distributions paid by us generally will not be eligible for the dividends-received deduction or the preferential tax rate applicable to qualifying dividends. Distributions may also be subject to additional state, local and foreign taxes depending on a U.S. stockholder’s particular situation.</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be required to withhold U.S. federal income tax, or backup withholding (at a rate of 28.0%),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his or her social security number. Backup withholding tax is not an additional tax, and any amount withheld may be refunded or credited against the U.S. stockholder’s U.S. federal income tax liability, provided that proper information is timely provided to the IRS.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taxable years beginning after June 30, 2014, if certain disclosure requirements related to U.S. accounts or ownership are not satisfied, a U.S. federal withholding tax at a 30.0% rate will be imposed on dividends received by U.S. stockholders that own their stock through foreign accounts or foreign intermediaries. In addition, for taxable years beginning after December 31, 2016, if certain disclosure requirements related to U.S. accounts or ownership are not satisfied, a U.S. federal withholding tax at a 30.0% rate will be imposed on proceeds of sale in respect of our stock received by U.S. stockholders that own their stock through foreign accounts or foreign intermediaries. We will not pay any additional amounts in respect of any amounts withheld.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Under applicable Treasury regulations, if a stockholder recognizes a loss with respect to shares of our stock of $2 million or more for an individual, S corporation, trust, or a partnership with at least one noncorporate partner or $10 million or more for a stockholder that is either a corporation or a partnership with only corporate partners in any single taxable year (or a greater loss over a combination of years), the stockholder must file with the IRS a disclosure statement on IRS Form 8886 (or successor form).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Distributions of our “investment company taxable income” to Non-U.S. stockholders that are not “effectively connected” with a U.S. trade or business carried on by the Non-U.S. stockholder, generally will be subject to withholding of U.S. federal income tax at a rate of 30.0% (or lower rate provided by an applicable treaty) to the extent of our current and accumulated earnings and profits, unless an applicable exception applies.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Under a provision that applied to taxable years beginning before January 1, 2015, properly reported dividends received by a Non-U.S. stockholder generally were exempt from U.S. federal withholding tax when they (a) were paid in respect of our “qualified net interest income” (generally, our U.S. source interest income, other than certain contingent interest and interest from obligations of a corporation or partnership in which we are at least a 10.0% stockholder, reduced by expenses that are allocable to such income), or (b) were paid in connection with our “qualified short-term capital gains” (generally, the excess of our net short-term capital gain over our long-term capital loss for such taxable year). Although this provision has been subject to previous extensions, we cannot be certain whether this exception will apply for any taxable years beginning after December 31, 2014. If this exception is extended, and depending on the circumstances, we may report all, some or none of our potentially eligible dividends as such qualified net interest income or as qualified short-term capital gains, or treat such dividends, in whole or in part, as ineligible for this exemption from withholding. In order to qualify for this exemption from withholding if extended, a Non-U.S. stockholder must comply with applicable certification requirements relating to its non-U.S. status (including, in general, furnishing an IRS Form W-8BEN or an acceptable substitute or successor form). In the case of shares held through an intermediary, the intermediary could withhold tax even if we properly report the payment as qualified net interest income or qualified short-term capital gain. Non-U.S. stockholders should contact their intermediaries with respect to the application of these rules to their accounts.</w:t>
      </w:r>
    </w:p>
    <w:p>
      <w:pPr>
        <w:spacing w:after="0" w:line="180"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Actual or deemed distributions of our net capital gain to a Non-U.S. stockholder, and gain realized by a Non-U.S. stockholder upon the sale of our common stock, that are not effectively connected with a U.S. trade or business carried on by the Non-U.S. stockholder, will generally not be subject to</w:t>
      </w:r>
    </w:p>
    <w:p>
      <w:pPr>
        <w:spacing w:after="0" w:line="270" w:lineRule="auto"/>
        <w:rPr>
          <w:sz w:val="20"/>
          <w:szCs w:val="20"/>
          <w:color w:val="auto"/>
        </w:rPr>
      </w:pPr>
      <w:r>
        <w:rPr>
          <w:rFonts w:ascii="Arial" w:cs="Arial" w:eastAsia="Arial" w:hAnsi="Arial"/>
          <w:sz w:val="17"/>
          <w:szCs w:val="17"/>
          <w:color w:val="auto"/>
        </w:rPr>
        <w:t>U.S. federal withholding tax and generally will not be subject to U.S. federal income tax unless the Non-U.S. stockholder is a nonresident alien individual and is physically present in the United States for more than 182 days during the taxable year and meets certain other requirements. However, withholding of U.S. federal income tax at a rate of 30.0% on the capital gain of nonresident alien individuals who are physically present in the United States for more than the 182 day period only applies in exceptional cases because any individual present in the United States for more than 182 days during the taxable year is generally treated as a resident for U.S. income tax purposes; in that case, he or she would be subject to U.S. income tax on his or her worldwide income at the graduated rates applicable to U.S. citizens, rather than the 30.0% U.S. federal withholding tax.</w:t>
      </w:r>
    </w:p>
    <w:p>
      <w:pPr>
        <w:spacing w:after="0" w:line="17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U.S. federal income tax return even if the Non-U.S. stockholder would not otherwise be required to obtain a U.S. taxpayer identification number or file a U.S. federal income tax return. Accordingly, investment in the shares may not be appropriate for a Non-U.S. stockholder.</w:t>
      </w:r>
    </w:p>
    <w:p>
      <w:pPr>
        <w:spacing w:after="0" w:line="17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30.0% imposed by the Code (or lower rate provided by an applicable treaty). In the case of a non-corporate Non-U.S. stockholder, we may be required to withhold U.S. federal income tax from distributions that are otherwise exempt from withholding tax (or taxable at a reduced rate) unless the Non-U.S. stockholder certifies his or her foreign status under penalties of perjury or otherwise establishes an exemption.</w:t>
      </w:r>
    </w:p>
    <w:p>
      <w:pPr>
        <w:spacing w:after="0" w:line="16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our shares.</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Non-U.S. stockholder who is a nonresident alien individual may be subject to information reporting and backup withholding of U.S. federal income tax on dividends unless the Non-U.S. stockholder provides us or the dividend paying agent with an IRS Form W-8BEN (or an acceptable substitute form) or otherwise meets documentary evidence requirements for establishing that it is a Non-U.S. stockholder or otherwise establishes an exemption from backup withholding.</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taxable years beginning after June 30, 2014, if certain disclosure requirements related to U.S. accounts or ownership are not satisfied, a U.S. federal withholding tax at a 30.0% rate will be imposed on dividends received by certain Non-U.S. stockholders. In addition, for taxable years beginning after December 31, 2016, if certain disclosure requirements related to U.S. accounts or ownership are not satisfied, a U.S. federal withholding tax at a 30.0% rate will be imposed on proceeds of sale in respect of shares of our stock received by certain Non-U.S. stockholders. If payment of withholding taxes is required, Non-U.S. stockholders that are otherwise eligible for an exemption from, or reduction of, U.S. federal withholding taxes with respect to such dividends and proceeds will be required to seek a refund from the IRS to obtain the benefit of such exemption or reduction. We will not pay any additional amounts in respect of any amounts withheld.</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Legislative or Other Actions Affecting Tax Considerations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adversely affect the tax consequences of an investment in our stock.</w:t>
      </w:r>
    </w:p>
    <w:p>
      <w:pPr>
        <w:spacing w:after="0" w:line="173"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discussion set forth herein does not constitute tax advice, and potential investors should consult their own tax advisors concerning the tax considerations relevant to their particular situation.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par value $0.001 per share, of which 16,113,152 were outstanding as of April 13, 2015.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debentures issued by the Funds to the SBA have a maturity of ten years and bear interest semi-annually at fixed rates. As of December 31, 2014, the Funds had $173.5 million of SBA debentures. With $112.5 million of regulatory capital as of December 31, 2014, the Funds have the current capacity to issue up to a total of $51.5 million of SBA debentures.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June 16, 2015, we entered into a $30.0 million senior secured revolving credit agreement (the “Credit Facility”) with certain lenders party thereto and ING Capital LLC, as administrative agent. The Credit Facility, which matures on June 16, 2018, had an initial commitment of $30.0 million and an accordion feature that allows for an increase in the total commitments up to $75.0 million, subject to certain customary conditions and the satisfaction of specified financial covenants.</w:t>
      </w:r>
    </w:p>
    <w:p>
      <w:pPr>
        <w:spacing w:after="0" w:line="18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On December 19, 2014, we amended the Credit Facility to (i) increase the commitment from $30.0 million to $50.0 million until certain financial conditions are met and (ii) allow FIC to buy-back up to $10.0 million of our common stock subject to the satisfaction of specified financial covenants and conditions. The Credit Facility continues to have an accordion feature which allows for an increase in the total commitment up to $75.0 million.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Borrowings under the Credit Facility bear interest, subject to our election, on a per annum basis equal to (i) the alternate base rate plus 2.5% or (ii) the applicable LIBOR rate plus 3.5%. The alternate base rate is equal to the greater of (i) prime rate, (ii) the federal funds rate plus 0.5% or (iii) the three-month LIBOR rate plus 1.0%. We pay a commitment fee ranging from 0.5% to 1.0% per annum on undrawn amounts.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Borrowings under the Credit Facility are subject to, among other things, a minimum borrowing/collateral base. The Credit Facility is secured primarily by our assets, excluding the assets of our wholly-owned SBIC subsidiaries. We have made customary representations and warranties and are required to comply with various covenants, reporting requirements and other customary requirements for similar credit facilities.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outstanding classes of securities: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 Amount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 Amount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 Amount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Held by</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2"/>
              </w:rPr>
              <w:t>(a) Title of Class</w:t>
            </w:r>
          </w:p>
        </w:tc>
        <w:tc>
          <w:tcPr>
            <w:tcW w:w="3780" w:type="dxa"/>
            <w:vAlign w:val="bottom"/>
            <w:vMerge w:val="restart"/>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us or for Our</w:t>
            </w:r>
          </w:p>
        </w:tc>
        <w:tc>
          <w:tcPr>
            <w:tcW w:w="660" w:type="dxa"/>
            <w:vAlign w:val="bottom"/>
          </w:tcPr>
          <w:p>
            <w:pPr>
              <w:spacing w:after="0"/>
              <w:rPr>
                <w:sz w:val="12"/>
                <w:szCs w:val="12"/>
                <w:color w:val="auto"/>
              </w:rPr>
            </w:pPr>
          </w:p>
        </w:tc>
        <w:tc>
          <w:tcPr>
            <w:tcW w:w="14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Exclusive of Amounts</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Authorized</w:t>
            </w:r>
          </w:p>
        </w:tc>
        <w:tc>
          <w:tcPr>
            <w:tcW w:w="8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Account</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Shown Under (c)</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100,000,000</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1880" w:type="dxa"/>
            <w:vAlign w:val="bottom"/>
            <w:gridSpan w:val="2"/>
          </w:tcPr>
          <w:p>
            <w:pPr>
              <w:spacing w:after="0"/>
              <w:rPr>
                <w:sz w:val="20"/>
                <w:szCs w:val="20"/>
                <w:color w:val="auto"/>
              </w:rPr>
            </w:pPr>
            <w:r>
              <w:rPr>
                <w:rFonts w:ascii="Arial" w:cs="Arial" w:eastAsia="Arial" w:hAnsi="Arial"/>
                <w:sz w:val="18"/>
                <w:szCs w:val="18"/>
                <w:color w:val="auto"/>
              </w:rPr>
              <w:t xml:space="preserve">$225.0 million </w:t>
            </w:r>
            <w:r>
              <w:rPr>
                <w:rFonts w:ascii="Arial" w:cs="Arial" w:eastAsia="Arial" w:hAnsi="Arial"/>
                <w:sz w:val="15"/>
                <w:szCs w:val="15"/>
                <w:color w:val="auto"/>
              </w:rPr>
              <w:t>(1)</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173.5 million</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$ 50.0 million </w:t>
            </w:r>
            <w:r>
              <w:rPr>
                <w:rFonts w:ascii="Arial" w:cs="Arial" w:eastAsia="Arial" w:hAnsi="Arial"/>
                <w:sz w:val="15"/>
                <w:szCs w:val="15"/>
                <w:color w:val="auto"/>
              </w:rPr>
              <w:t>(2)</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 million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8"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8"/>
          <w:szCs w:val="18"/>
          <w:color w:val="auto"/>
        </w:rPr>
        <w:t>Based on $112.5 million of regulatory capital as of December 31, 2014. For more information regarding our limitations as to SBA debenture issuances, see “Regulation — Small Business Administration Regulations.”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53"/>
        </w:numPr>
        <w:rPr>
          <w:rFonts w:ascii="Arial" w:cs="Arial" w:eastAsia="Arial" w:hAnsi="Arial"/>
          <w:sz w:val="15"/>
          <w:szCs w:val="15"/>
          <w:color w:val="auto"/>
        </w:rPr>
      </w:pPr>
      <w:r>
        <w:rPr>
          <w:rFonts w:ascii="Arial" w:cs="Arial" w:eastAsia="Arial" w:hAnsi="Arial"/>
          <w:sz w:val="18"/>
          <w:szCs w:val="18"/>
          <w:color w:val="auto"/>
        </w:rPr>
        <w:t>Commitment increased from $30.0 million to $50.0 million on December 19, 2014.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420" w:firstLine="8"/>
        <w:spacing w:after="0" w:line="290"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78"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We have entered into indemnification agreements with our directors. The indemnification agreements provide our directors the maximum indemnification permitted under Maryland law and the 1940 Act.</w:t>
      </w:r>
    </w:p>
    <w:p>
      <w:pPr>
        <w:spacing w:after="0" w:line="170"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We have purchased directors’ and officers’ insurance policies covering our directors and officers and us for any acts and omissions committed, attempted or allegedly committed by any director or officer during the policy period. The policy is subject to customary exclusions.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Maryland General Corporation Law and Our Charter and Bylaws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expire in 2015, 2016 and 2017,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12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w:t>
      </w:r>
    </w:p>
    <w:p>
      <w:pPr>
        <w:spacing w:after="0" w:line="2" w:lineRule="exact"/>
        <w:rPr>
          <w:sz w:val="20"/>
          <w:szCs w:val="20"/>
          <w:color w:val="auto"/>
        </w:rPr>
      </w:pPr>
    </w:p>
    <w:p>
      <w:pPr>
        <w:ind w:right="40" w:firstLine="8"/>
        <w:spacing w:after="0" w:line="255"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the bylaws.</w:t>
      </w:r>
    </w:p>
    <w:p>
      <w:pPr>
        <w:spacing w:after="0" w:line="19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the chairman of our board of directors, our President and our board of directors.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12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continuing directors or the successor continuing directors then in office.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charter and bylaws provide that the board of directors has the exclusive power to make, alter, amend or repeal any provision of our bylaws.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99"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77"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who beneficially owns 10.0% or more of the voting power of the corporation’s outstanding voting stock;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80.0%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distributions, qualifications and terms or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w:t>
      </w:r>
    </w:p>
    <w:p>
      <w:pPr>
        <w:spacing w:after="0" w:line="17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distributions will be paid on shares of such series, as well as whether such distributions are participating or non-participating;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limitations on our ability to pay distributions on, or acquire or redeem, other securities while shares of such series are outstanding;</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issue debt securities in one or more series in the future which, if publicly offered, will be under an indenture to be entered into between us and a trustee. The specific terms of each series of debt securities we publicly offer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The description below is a summary with respect to future debt securities we may issue.</w:t>
      </w:r>
    </w:p>
    <w:p>
      <w:pPr>
        <w:spacing w:after="0" w:line="17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the trustee and is subject to and governed by the Trust Indenture Act of 1939, as amended. The trustee has two main roles. First, the trustee can enforce rights of investors against us if we default. There are some limitations on the extent to which the trustee acts on behalf of investors. Second, the trustee performs certain administrative duties for us.</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Because this section is a summary, it does not describe every aspect of the debt securities we may issue and the indenture. We urge you to read the indenture because it, and not this description, defines rights of a holder of debt securities.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we offer debt securities in the future, 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special U.S.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900" w:right="400" w:hanging="325"/>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our asset coverage, as defined in the 1940 Act, equals at least 200.0%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applicable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00"/>
          </w:cols>
          <w:pgMar w:left="24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indenture does not contain any provisions that give the holder of debt securities protection in the event we issue a large amount of debt or we are acquired by another entity.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refer you to the applicable prospectus supplement for information with respect to any deletions from, modifications of or additions to the Events of Default, as defined below, or our covenants that are described below, including any addition of a covenant or other provision providing event risk or similar protection.</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expect that we will usually issue debt securities in book entry only form represented by global securities and will specify the method of issuance in the applicable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applicable prospectus supplement will explain the terms and conditions of the conversion or exchange, including the conversion price or exchange ratio (or the calculation method), the conversion or exchange period (or how the period will be determined), whether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applicable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Unless otherwise specified in the applicable prospectus supplement, we will pay interest to the person listed in the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the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Investors will have rights if an Event of Default, as defined below, occurs with respect to the debt securities of their respective series and the Event of Default is not cured, as described later in this subsection.</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term “Event of Default” with respect to the relevant series of debt securities means any of the following (unless the applicable prospectus supplement or supplemental indenture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do not pay the principal of any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do not pay interest on any debt security of the series when due, and such default is not cured within 30 days.</w:t>
      </w:r>
    </w:p>
    <w:p>
      <w:pPr>
        <w:spacing w:after="0" w:line="130" w:lineRule="exact"/>
        <w:rPr>
          <w:rFonts w:ascii="Arial" w:cs="Arial" w:eastAsia="Arial" w:hAnsi="Arial"/>
          <w:sz w:val="18"/>
          <w:szCs w:val="18"/>
          <w:color w:val="auto"/>
        </w:rPr>
      </w:pPr>
    </w:p>
    <w:p>
      <w:pPr>
        <w:jc w:val="both"/>
        <w:ind w:left="900" w:right="20" w:hanging="325"/>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remain in breach of any other covenant with respect to the debt securities of the series for 60 days after we receive a written notice of default stating we are in breach. The notice must be sent by either the trustee or holders of at least 25.0% of the principal amount of debt securities of the issuer.</w:t>
      </w:r>
    </w:p>
    <w:p>
      <w:pPr>
        <w:spacing w:after="0" w:line="86" w:lineRule="exact"/>
        <w:rPr>
          <w:rFonts w:ascii="Arial" w:cs="Arial" w:eastAsia="Arial" w:hAnsi="Arial"/>
          <w:sz w:val="18"/>
          <w:szCs w:val="18"/>
          <w:color w:val="auto"/>
        </w:rPr>
      </w:pPr>
    </w:p>
    <w:p>
      <w:pPr>
        <w:ind w:left="900" w:right="420" w:hanging="325"/>
        <w:spacing w:after="0" w:line="34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file for bankruptcy or certain other events of bankruptcy, insolvency or reorganization occur and, in the case of certain orders or decrees entered against us under any bankruptcy law, such order or decree remains undischarged or unstayed for a period of 60 days.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the last business day of each of twenty-four consecutive calendar months, we have an asset coverage of less than 100.0%.</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Event of Default with respect to debt securities of the series described in the applicable prospectus supplement or supplemental indenture occurs.</w:t>
      </w:r>
    </w:p>
    <w:p>
      <w:pPr>
        <w:spacing w:after="0" w:line="17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 if an Event of Default Occurs</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Unless the applicable prospectus supplement specifies otherwise, if an Event of Default has occurred and has not been cured, the trustee or the holders of at least 25.0%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trustee is not required to take any action under the indenture at the request of any holders unless the holders offer the trustee protection reasonably satisfactory to it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Before a holder of debt securities is allowed to bypass the trustee and bring a lawsuit or other formal legal action or take other steps to enforce the holder’s rights or protect the holder’s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130" w:lineRule="exact"/>
        <w:rPr>
          <w:rFonts w:ascii="Arial" w:cs="Arial" w:eastAsia="Arial" w:hAnsi="Arial"/>
          <w:sz w:val="18"/>
          <w:szCs w:val="18"/>
          <w:color w:val="auto"/>
        </w:rPr>
      </w:pPr>
    </w:p>
    <w:p>
      <w:pPr>
        <w:jc w:val="both"/>
        <w:ind w:left="900" w:right="32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holders of at least 25.0%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However, the holder is entitled at any time to bring a lawsuit for the payment of money due on the holder’s debt securities on or after the due date.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debt securities, or else specifying any default.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32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line="27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notice of default or our default having to exist for a specified period of time were disregarded.</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the Holder’s Approval</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First, there are changes that we cannot make to the debt securities without approval from each affected holder. The following is a list of those types of changes:</w:t>
      </w:r>
    </w:p>
    <w:p>
      <w:pPr>
        <w:spacing w:after="0" w:line="76"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impair the holder’s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 and</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modify any other material aspect of the provisions of the indenture dealing with supplemental indentures, modification and waiver of past defaults, changes to the quorum or voting requirements or the waiver of certain covenants.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holders of a majority in principal amount of a series of debt securities issued under the indenture may waive our compliance with some of our covenants applicable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applicable law, we can make the deposit described below and be released from some of the restrictive covenants in the indenture under which the particular series was issued. This is called “covenant defeasance.” In that event, the holder of debt securities would lose the protection of those restrictive covenants but would gain the protection of having money and government securities set aside in trust to repay debt securities of the holders. In order to achieve covenant defeasance, the following conditions must be satisfied:</w:t>
      </w:r>
    </w:p>
    <w:p>
      <w:pPr>
        <w:spacing w:after="0" w:line="92" w:lineRule="exact"/>
        <w:rPr>
          <w:sz w:val="20"/>
          <w:szCs w:val="20"/>
          <w:color w:val="auto"/>
        </w:rPr>
      </w:pPr>
    </w:p>
    <w:p>
      <w:pPr>
        <w:ind w:left="900" w:right="28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due dates.</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holders to be taxed on the debt securities any differently than if we did not make the deposit and just repaid the debt securities ourselves at maturity.</w:t>
      </w:r>
    </w:p>
    <w:p>
      <w:pPr>
        <w:spacing w:after="0" w:line="86"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the indenture or any of our other material agreements or instruments.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debt securities shall have occurred and be continuing and no defaults or events of default related to bankruptcy, insolvency or reorganization shall occur during the next 90 days.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we accomplish covenant defeasance, a holder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a holder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the following conditions are satisfied in order for a holder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55"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IRS ruling that allows us to make the above deposit without causing a holder to be taxed on the debt securities any differently than if we did not make the deposit and just repaid the debt securities ourselves at maturity. Under current U.S. federal tax law, the deposit and our legal release from the debt securities would be treated as though we paid the holder, his or her respective share of the cash and notes or bonds at the time the cash and notes or bonds were deposited in trust in exchange for the holder’s debt securities and the holder would recognize gain or loss on the debt securities at the time of the deposit.</w:t>
      </w:r>
    </w:p>
    <w:p>
      <w:pPr>
        <w:spacing w:after="0" w:line="98"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51" w:lineRule="exact"/>
        <w:rPr>
          <w:rFonts w:ascii="Arial" w:cs="Arial" w:eastAsia="Arial" w:hAnsi="Arial"/>
          <w:sz w:val="17"/>
          <w:szCs w:val="17"/>
          <w:color w:val="auto"/>
        </w:rPr>
      </w:pPr>
    </w:p>
    <w:p>
      <w:pPr>
        <w:ind w:left="900" w:right="44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the indenture or any of our other material agreements or instruments.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debt securities shall have occurred and be continuing and no defaults or events of default related to bankruptcy, insolvency or reorganization shall occur during the next 90 days.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ever did accomplish full defeasance, as described above, a holder would have to rely solely on the trust deposit for repayment of the debt securities. A holder could not look to us for repayment in the unlikely event of any shortfall. Conversely, the trust deposit would most likely be protected from claims of our lenders and other creditors if we ever became bankrupt or insolvent.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The trustee may resign or be removed with respect to one or more series of indenture securities provided that a successor trustee is appointed to act with respect to those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 — Subordination and Senior Indebtedness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a holder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as defined below, has been made or duly provided for in money or money’s worth.</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2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Depository Trust Company, or DTC, will act as securities depositary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Standard &amp; Poor’s Ratings Services’ highest rating: AAA. The DTC Rules applicable to its participants are on file with the SEC. More information about DTC can be found at </w:t>
      </w:r>
      <w:r>
        <w:rPr>
          <w:rFonts w:ascii="Arial" w:cs="Arial" w:eastAsia="Arial" w:hAnsi="Arial"/>
          <w:sz w:val="16"/>
          <w:szCs w:val="16"/>
          <w:i w:val="1"/>
          <w:iCs w:val="1"/>
          <w:color w:val="auto"/>
        </w:rPr>
        <w:t>www.dtcc.com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www.dtc.org</w:t>
      </w:r>
      <w:r>
        <w:rPr>
          <w:rFonts w:ascii="Arial" w:cs="Arial" w:eastAsia="Arial" w:hAnsi="Arial"/>
          <w:sz w:val="16"/>
          <w:szCs w:val="16"/>
          <w:color w:val="auto"/>
        </w:rPr>
        <w: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affect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w:t>
      </w:r>
    </w:p>
    <w:p>
      <w:pPr>
        <w:spacing w:after="0" w:line="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distributions, if any, or payments upon our liquidation, dissolution or winding up or to exercise any voting rights.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Our stockholders voted to allow us to issue warrants at our 2012 Annual Meeting of Stockholders.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60"/>
          </w:cols>
          <w:pgMar w:left="240" w:top="459" w:right="3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and Fund I have elected to be treated as BDCs under the 1940 Act and we intend to elect to be treated as a RIC under the Code. The 1940 Act contains prohibitions and restrictions relating to transactions between BDCs and their affiliates (including any investment advisors),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invest up to 100.0%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3.0% of the voting stock of any registered investment company, invest more than 5.0% of the value of our total assets in the securities of one investment company or invest more than 10.0%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each may be changed without stockholder approval.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87" w:lineRule="exact"/>
        <w:rPr>
          <w:sz w:val="20"/>
          <w:szCs w:val="20"/>
          <w:color w:val="auto"/>
        </w:rPr>
      </w:pPr>
    </w:p>
    <w:p>
      <w:pPr>
        <w:ind w:left="900" w:right="16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spacing w:after="0" w:line="92" w:lineRule="exact"/>
        <w:rPr>
          <w:rFonts w:ascii="Arial" w:cs="Arial" w:eastAsia="Arial" w:hAnsi="Arial"/>
          <w:sz w:val="18"/>
          <w:szCs w:val="18"/>
          <w:color w:val="auto"/>
        </w:rPr>
      </w:pPr>
    </w:p>
    <w:p>
      <w:pPr>
        <w:ind w:left="1480" w:hanging="446"/>
        <w:spacing w:after="0"/>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U.S.;</w:t>
      </w:r>
    </w:p>
    <w:p>
      <w:pPr>
        <w:spacing w:after="0" w:line="130" w:lineRule="exact"/>
        <w:rPr>
          <w:rFonts w:ascii="Arial" w:cs="Arial" w:eastAsia="Arial" w:hAnsi="Arial"/>
          <w:sz w:val="18"/>
          <w:szCs w:val="18"/>
          <w:color w:val="auto"/>
        </w:rPr>
      </w:pPr>
    </w:p>
    <w:p>
      <w:pPr>
        <w:ind w:left="1480" w:right="40" w:hanging="446"/>
        <w:spacing w:after="0" w:line="277"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wholly-owned by the BDC)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130" w:lineRule="exact"/>
        <w:rPr>
          <w:rFonts w:ascii="Arial" w:cs="Arial" w:eastAsia="Arial" w:hAnsi="Arial"/>
          <w:sz w:val="18"/>
          <w:szCs w:val="18"/>
          <w:color w:val="auto"/>
        </w:rPr>
      </w:pPr>
    </w:p>
    <w:p>
      <w:pPr>
        <w:ind w:left="1920" w:right="460" w:hanging="318"/>
        <w:spacing w:after="0" w:line="277" w:lineRule="auto"/>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has any class of securities listed on a national securities exchange subject to a $250.0 million market capitalization maximum; or</w:t>
      </w:r>
    </w:p>
    <w:p>
      <w:pPr>
        <w:spacing w:after="0" w:line="75" w:lineRule="exact"/>
        <w:rPr>
          <w:rFonts w:ascii="Arial" w:cs="Arial" w:eastAsia="Arial" w:hAnsi="Arial"/>
          <w:sz w:val="18"/>
          <w:szCs w:val="18"/>
          <w:color w:val="auto"/>
        </w:rPr>
      </w:pPr>
    </w:p>
    <w:p>
      <w:pPr>
        <w:ind w:left="1920" w:hanging="318"/>
        <w:spacing w:after="0" w:line="264" w:lineRule="auto"/>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60.0% of the outstanding equity of the eligible portfolio company.</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that mature in one year or less from the date of investment.</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BDC must be organized and have its principal place of business in the U.S. and must be operated for the purpose of making investments in the types of securities described in (a), (b) or (c) above. However, in order to count portfolio securities as qualifying assets for the purpose of the 70.0% test,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acting as our administrator, has agreed to provide such managerial assistance on our behalf to portfolio companies that request this assistance.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(other than repurchase agreements fully collateralized by U.S. government securities), we would not satisfy the asset diversification requirements for qualification as a RIC for U.S. federal income tax purposes.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200.0% immediately after each such issuance (exclusive of the SBA debentures pursuant to our SEC exemptive relief). In addition, while any senior securities remain outstanding, we must make provisions to prohibit any distribution to our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stockholders or the repurchase of such securities or shares unless we meet the applicable asset coverage ratios at the time of the distribution or repurchase. We may also borrow amounts up to 5.0%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which may have a negative effect on our growth.”</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Public Reference Room in Washington, D.C. You may obtain information on the operation of the Public Reference Room by calling the SEC at (800) SEC-0300. You may also obtain copies of the joint code of ethics, after paying a duplicating fee, by electronic request at the following e-mail address: </w:t>
      </w:r>
      <w:r>
        <w:rPr>
          <w:rFonts w:ascii="Arial" w:cs="Arial" w:eastAsia="Arial" w:hAnsi="Arial"/>
          <w:sz w:val="16"/>
          <w:szCs w:val="16"/>
          <w:i w:val="1"/>
          <w:iCs w:val="1"/>
          <w:color w:val="auto"/>
        </w:rPr>
        <w:t>publicinfo@sec.gov</w:t>
      </w:r>
      <w:r>
        <w:rPr>
          <w:rFonts w:ascii="Arial" w:cs="Arial" w:eastAsia="Arial" w:hAnsi="Arial"/>
          <w:sz w:val="16"/>
          <w:szCs w:val="16"/>
          <w:color w:val="auto"/>
        </w:rPr>
        <w:t xml:space="preserve">, or by writing the SEC’s Public Reference Section, 100 F Street, N.E., Washington, D.C. 20549. The joint code of ethics is also available on our website at </w:t>
      </w:r>
      <w:r>
        <w:rPr>
          <w:rFonts w:ascii="Arial" w:cs="Arial" w:eastAsia="Arial" w:hAnsi="Arial"/>
          <w:sz w:val="16"/>
          <w:szCs w:val="16"/>
          <w:i w:val="1"/>
          <w:iCs w:val="1"/>
          <w:u w:val="single" w:color="auto"/>
          <w:color w:val="auto"/>
        </w:rPr>
        <w:t>www.fdus.com</w:t>
      </w:r>
      <w:r>
        <w:rPr>
          <w:rFonts w:ascii="Arial" w:cs="Arial" w:eastAsia="Arial" w:hAnsi="Arial"/>
          <w:sz w:val="16"/>
          <w:szCs w:val="16"/>
          <w:i w:val="1"/>
          <w:iCs w:val="1"/>
          <w:color w:val="auto"/>
        </w:rPr>
        <w:t>.</w:t>
      </w:r>
      <w:r>
        <w:rPr>
          <w:rFonts w:ascii="Arial" w:cs="Arial" w:eastAsia="Arial" w:hAnsi="Arial"/>
          <w:sz w:val="16"/>
          <w:szCs w:val="16"/>
          <w:color w:val="auto"/>
        </w:rPr>
        <w:t xml:space="preserve"> We have also adopted a code of business conduct that is applicable to all officers, directors and employees of Fidus and our investment advisor that is available on our website</w:t>
      </w:r>
      <w:r>
        <w:rPr>
          <w:rFonts w:ascii="Arial" w:cs="Arial" w:eastAsia="Arial" w:hAnsi="Arial"/>
          <w:sz w:val="16"/>
          <w:szCs w:val="16"/>
          <w:i w:val="1"/>
          <w:iCs w:val="1"/>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investment advisor’s policies and procedures for voting proxies for its investment advisory clients are intended to comply with Section 206 of, and Rule 206(4)-6 under, the Advisers Act.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8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 (a) anyone involved in the decision-making process disclose to our chief compliance officer any potential conflict that he or she is aware of and any contact that he or she has had with any interested party regarding a proxy vote; and (b) employees involved in the decision-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Fund I and our investment advisor have each adopted and implemented written policies and procedures reasonably designed to prevent violation of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Independent Directors and, in some cases, prior approval by the SEC. On March 27, 2012, the SEC granted us and Fund I exemptive relief allowing us to operate effectively as one company and to take certain actions, including engaging in certain transactions with our affiliates, and to be subject to modified consolidated asset coverage requirements for senior securities issued by a BDC, that would otherwise be prohibited by the 1940 Act. Effective September 30, 2014, our exemptive relief was amended to include Fund II. Therefore, any SBA debentures issued by Fund II are not subject to the 200.0% asset coverage requirement.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Funds are licensed by the SBA to operate as SBICs under Section 301(c) of the Small Business Investment Act of 1958. Fund I received its SBIC license on October 22, 2007 and Fund II received its SBIC license on May 28, 2013. We may issue SBA debentures to fund additional investments through the Funds.</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SBICs are designed to stimulate the flow of private equity capital to eligible small businesses. Under SBA regulations, SBICs can provide financing in the form of debt and/or equity securities and provide consulting and advisory services to “eligible” small businesses. The Funds have typically invested in senior subordinated debt, acquired warrants and/or made other equity investments in qualifying small businesses.</w:t>
      </w:r>
    </w:p>
    <w:p>
      <w:pPr>
        <w:spacing w:after="0" w:line="166"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Under current SBA regulations, eligible small businesses generally include businesses that (together with their affiliates) have a tangible net worth not exceeding $19.5 million and have average annual net income after U.S. federal income taxes not exceeding $6.5 million (average net income to be computed without benefit of any carryover loss) for the two most recent fiscal years. In addition, an SBIC must devote between 20.0% and 25.0% (depending upon when it was licensed, when it obtained leverage commitments, the amount of leverage drawn and when financings occur) of its investment activity to “smaller” concerns as defined by the SBA. A smaller concern generally includes businesses (including their affiliates) that have a tangible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smaller concern,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SBA prohibits an SBIC from providing funds to small businesses for certain purposes, such as relending and investment outside the U.S., to businesses engaged in a few prohibited industries, and to certain “passive” (non-operating) companies. In addition, under SBA regulations, without prior SBA approval, an SBIC may not invest more than 30.0% of its regulatory capital in any one portfolio company (assuming the SBIC intends to draw leverage equal to twice its regulatory capital).</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As of December 31, 2014, the maximum statutory limit on the dollar amount of outstanding SBA-guaranteed debentures that may be issued by two or more SBICs under common control was $225.0 million.</w:t>
      </w:r>
    </w:p>
    <w:p>
      <w:pPr>
        <w:spacing w:after="0" w:line="17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SBICs must invest idle funds that are not being used to make loans in investments permitted under SBA regulations in the following limited types of securities: (i) direct obligations of, or obligations guaranteed as to principal and interest by, the U.S. government, which mature within 15 months from the date of the investment; (ii) 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 (iv) a deposit account in a federally insured institution that is subject to a withdrawal restriction of one year or less; (v) a checking account in a federally insured institution; or (vi) a reasonable petty cash fund.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SBICs are periodically examined and audited by the SBA’s staff to determine their compliance with SBA regulations and are periodically required to file certain forms with the SBA.</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Neither the SBA nor the U.S. government or any of its agencies or officers has approved any ownership interest to be issued by us or any obligation that we or any of our subsidiaries may incur.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Sarbanes-Oxley Act of 2002, or the Sarbanes-Oxley Act, imposes a wide variety of regulatory requirements on publicly held companies and their insiders. Many of these requirements affect us. For example:</w:t>
      </w:r>
    </w:p>
    <w:p>
      <w:pPr>
        <w:spacing w:after="0" w:line="76" w:lineRule="exact"/>
        <w:rPr>
          <w:sz w:val="20"/>
          <w:szCs w:val="20"/>
          <w:color w:val="auto"/>
        </w:rPr>
      </w:pPr>
    </w:p>
    <w:p>
      <w:pPr>
        <w:ind w:left="1480" w:right="280" w:hanging="446"/>
        <w:spacing w:after="0" w:line="308" w:lineRule="auto"/>
        <w:tabs>
          <w:tab w:leader="none" w:pos="1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hanging="446"/>
        <w:spacing w:after="0" w:line="277"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pursuant to Item 307 under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480" w:hanging="446"/>
        <w:spacing w:after="0" w:line="308" w:lineRule="auto"/>
        <w:tabs>
          <w:tab w:leader="none" w:pos="14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pursuant to Rule 13a-15 under the Exchange Act, our management must prepare an annual report regarding its assessment of our internal control over financial reporting, which must be audited by our independent registered public accounting firm; and</w:t>
      </w:r>
    </w:p>
    <w:p>
      <w:pPr>
        <w:spacing w:after="0" w:line="51" w:lineRule="exact"/>
        <w:rPr>
          <w:rFonts w:ascii="Arial" w:cs="Arial" w:eastAsia="Arial" w:hAnsi="Arial"/>
          <w:sz w:val="17"/>
          <w:szCs w:val="17"/>
          <w:color w:val="auto"/>
        </w:rPr>
      </w:pPr>
    </w:p>
    <w:p>
      <w:pPr>
        <w:ind w:left="1480" w:right="60" w:hanging="446"/>
        <w:spacing w:after="0" w:line="259"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 Corporate Governance Regulations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NASDAQ Global Select Market has adopted corporate governance regulations with which listed companies must comply. We are in compliance with such corporate governance listing standards applicable to BDCs.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We may sell our securities through underwriters or dealers, directly to one or more purchasers or through agents or through a combination of any such methods of sale. Any underwriter or agent involved in the offer and sale of our securities will also be named in the applicable prospectus supplement.</w:t>
      </w:r>
    </w:p>
    <w:p>
      <w:pPr>
        <w:spacing w:after="0" w:line="12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distribution of our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securities less any underwriting commissions or discounts must equal or exceed the net asset value per share of our securities except that we may sell shares of our securities at a price below net asset value per share if a majority of the number of beneficial holders of our stock have approved such a sale or if the following conditions are met: (i) holders of a majority of our stock and a majority of our stock not held by affiliated persons have approved issuance at less than net asset value per share during the one year period prior to such sale; (ii) a majority of our directors who have no financial interest in the sale and a majority of such directors who are not interested persons of us have determined that such sale would be in our best interest and in the best interests of our stockholders; and (iii) a majority of our directors who have no financial interest in the sale and a majority of such directors who are not interested persons of us, in consultation with the underwriter or underwriters of the offering if it is to be underwritten, have determined in good faith, and as of a time immediately prior to the first solicitation by or on behalf of us of firm commitments to purchase such securities or immediately prior to the issuance of such securities, that the price at which such securities are to be sold is not less than a price which closely approximates the market value of those securities, less any distributing commission or discount.</w:t>
      </w:r>
    </w:p>
    <w:p>
      <w:pPr>
        <w:spacing w:after="0" w:line="18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June 4, 2014, our common stockholders voted to allow us to issue common stock at a price below net asset value per share for a period of one year ending on the earlier of June 4, 2015 or the date of our 2015 Annual Meeting of Stockholders. The maximum number of shares issuable below net asset value pursuant to the authority granted by our stockholders that could result in such dilution is limited to 25.0% of the Company’s then outstanding common stock immediately prior to each such sale. We do not intend to issue shares of our common stock below net asset value unless our board of directors determines that it would be in our stockholders’ best interests to do so.</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w:t>
      </w:r>
    </w:p>
    <w:p>
      <w:pPr>
        <w:spacing w:after="0" w:line="17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of our common stock sold pursuant to a prospectus supplement will be listed on the Nasdaq Global Select Market, or another exchange on which our common stock is traded.</w:t>
      </w:r>
    </w:p>
    <w:p>
      <w:pPr>
        <w:spacing w:after="0" w:line="17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our securities may be entitled to indemnification by us against certain liabilities, including liabilities under the Securities Act. Underwriters, dealers and agents may engage in transactions with, or perform services for, us in the ordinary course of business.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maximum commission or discount to be received by any member of the Financial Industry Regulatory Authority, Inc. will not be greater than 10.0% for the sale of any securities being registered.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80"/>
          </w:cols>
          <w:pgMar w:left="240" w:top="459"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securities are held by U.S. Bank National Association pursuant to a custody agreement. The principal business address of U.S. Bank National Association is Corporate Trust Services, One Federal Street, 3rd Floor, Boston, MA 02110, telephone: (617) 603-6538. American Stock Transfer &amp; Trust Company, LLC will serve as our transfer agent, distribution paying agent and registrar. The principal business address of American Stock Transfer &amp; Trust Company, LLC is 59 Maiden Lane, Plaza Level, New York, New York 10038, telephone: (800) 937-5449.</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legal matters will be passed upon for us by Morrison &amp; Foerster LLP. Morrison &amp; Foerster LLP also represents our investment advisor.</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the related senior securities table and the effectiveness of internal control over financial reporting appearing in this prospectus and registration statement have been audited by McGladrey LLP, an independent registered public accounting firm located at One South Wacker Drive, Suite 800, Chicago, Illinois 60606, as stated in their reports appearing elsewhere herein, and are included in reliance upon such reports and upon the authority of such firm as experts in accounting and auditing.</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supplement. The registration statement contains additional information about us and the securities being offered by this prospectus supplement.</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(202) 551-8090. We maintain a website at </w:t>
      </w:r>
      <w:r>
        <w:rPr>
          <w:rFonts w:ascii="Arial" w:cs="Arial" w:eastAsia="Arial" w:hAnsi="Arial"/>
          <w:sz w:val="17"/>
          <w:szCs w:val="17"/>
          <w:i w:val="1"/>
          <w:iCs w:val="1"/>
          <w:color w:val="auto"/>
        </w:rPr>
        <w:t>http://www.fdus.com</w:t>
      </w:r>
      <w:r>
        <w:rPr>
          <w:rFonts w:ascii="Arial" w:cs="Arial" w:eastAsia="Arial" w:hAnsi="Arial"/>
          <w:sz w:val="17"/>
          <w:szCs w:val="17"/>
          <w:color w:val="auto"/>
        </w:rPr>
        <w:t xml:space="preserve"> and intend to make all of our annual, quarterly and current reports, proxy statements and other publicly filed information available, free of charge, on or through our website. Information contained on our website is not incorporated into this prospectus supplement, and you should not consider information on our website to be part of this prospectus supplement. You may also obtain such information by contacting us in writing</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at 1603 Orrington Avenue, Suite 1005, Evanston, Illinois 60201, Attention: Investor Relations. The SEC maintains a website that contains reports, proxy and information statements and other information we file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NOTICE</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r>
      <w:tr>
        <w:trPr>
          <w:trHeight w:val="264"/>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Reports of Independent Registered Public Accounting Firm</w:t>
              </w:r>
            </w:hyperlink>
          </w:p>
        </w:tc>
        <w:tc>
          <w:tcPr>
            <w:tcW w:w="6740" w:type="dxa"/>
            <w:vAlign w:val="bottom"/>
            <w:gridSpan w:val="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43"/>
        </w:trPr>
        <w:tc>
          <w:tcPr>
            <w:tcW w:w="1094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3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Assets and Liabilities as of December 31, 2014 and 2013</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46">
              <w:r>
                <w:rPr>
                  <w:rFonts w:ascii="Arial" w:cs="Arial" w:eastAsia="Arial" w:hAnsi="Arial"/>
                  <w:sz w:val="18"/>
                  <w:szCs w:val="18"/>
                  <w:color w:val="0000EE"/>
                  <w:w w:val="86"/>
                </w:rPr>
                <w:t>Consolidated Statements of Operations for the Years Ended December 31, 2014, 2013 and 2012</w:t>
              </w:r>
            </w:hyperlink>
          </w:p>
        </w:tc>
        <w:tc>
          <w:tcPr>
            <w:tcW w:w="37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Consolidated Statements of Changes in Net Assets for the Years Ended December 31, 2014, 2013 and 2012</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440" w:type="dxa"/>
            <w:vAlign w:val="bottom"/>
          </w:tcPr>
          <w:p>
            <w:pPr>
              <w:spacing w:after="0"/>
              <w:rPr>
                <w:sz w:val="24"/>
                <w:szCs w:val="24"/>
                <w:color w:val="auto"/>
              </w:rPr>
            </w:pPr>
          </w:p>
        </w:tc>
        <w:tc>
          <w:tcPr>
            <w:tcW w:w="7540" w:type="dxa"/>
            <w:vAlign w:val="bottom"/>
            <w:tcBorders>
              <w:top w:val="single" w:sz="8" w:color="0000EE"/>
            </w:tcBorders>
            <w:gridSpan w:val="7"/>
          </w:tcPr>
          <w:p>
            <w:pPr>
              <w:spacing w:after="0"/>
              <w:rPr>
                <w:rFonts w:ascii="Arial" w:cs="Arial" w:eastAsia="Arial" w:hAnsi="Arial"/>
                <w:sz w:val="18"/>
                <w:szCs w:val="18"/>
                <w:color w:val="0000EE"/>
                <w:w w:val="96"/>
              </w:rPr>
            </w:pPr>
            <w:hyperlink w:anchor="page148">
              <w:r>
                <w:rPr>
                  <w:rFonts w:ascii="Arial" w:cs="Arial" w:eastAsia="Arial" w:hAnsi="Arial"/>
                  <w:sz w:val="18"/>
                  <w:szCs w:val="18"/>
                  <w:color w:val="0000EE"/>
                  <w:w w:val="96"/>
                </w:rPr>
                <w:t>Consolidated Statements of Cash Flows for the Years Ended December 31, 2014, 2013 and 2012</w:t>
              </w:r>
            </w:hyperlink>
          </w:p>
        </w:tc>
        <w:tc>
          <w:tcPr>
            <w:tcW w:w="29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440" w:type="dxa"/>
            <w:vAlign w:val="bottom"/>
          </w:tcPr>
          <w:p>
            <w:pPr>
              <w:spacing w:after="0"/>
              <w:rPr>
                <w:sz w:val="24"/>
                <w:szCs w:val="24"/>
                <w:color w:val="auto"/>
              </w:rPr>
            </w:pPr>
          </w:p>
        </w:tc>
        <w:tc>
          <w:tcPr>
            <w:tcW w:w="6780" w:type="dxa"/>
            <w:vAlign w:val="bottom"/>
            <w:tcBorders>
              <w:top w:val="single" w:sz="8" w:color="0000EE"/>
            </w:tcBorders>
            <w:gridSpan w:val="6"/>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Consolidated Schedules of Investments as of December 31, 2014 and 2013</w:t>
              </w:r>
            </w:hyperlink>
          </w:p>
        </w:tc>
        <w:tc>
          <w:tcPr>
            <w:tcW w:w="37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440" w:type="dxa"/>
            <w:vAlign w:val="bottom"/>
          </w:tcPr>
          <w:p>
            <w:pPr>
              <w:spacing w:after="0"/>
              <w:rPr>
                <w:sz w:val="24"/>
                <w:szCs w:val="24"/>
                <w:color w:val="auto"/>
              </w:rPr>
            </w:pPr>
          </w:p>
        </w:tc>
        <w:tc>
          <w:tcPr>
            <w:tcW w:w="5260" w:type="dxa"/>
            <w:vAlign w:val="bottom"/>
            <w:tcBorders>
              <w:top w:val="single" w:sz="8" w:color="0000EE"/>
            </w:tcBorders>
            <w:gridSpan w:val="3"/>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Notes to Consolidated Financial Statements</w:t>
              </w:r>
            </w:hyperlink>
          </w:p>
        </w:tc>
        <w:tc>
          <w:tcPr>
            <w:tcW w:w="52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F-16</w:t>
            </w:r>
          </w:p>
        </w:tc>
      </w:tr>
      <w:tr>
        <w:trPr>
          <w:trHeight w:val="383"/>
        </w:trPr>
        <w:tc>
          <w:tcPr>
            <w:tcW w:w="44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740" w:type="dxa"/>
            <w:vAlign w:val="bottom"/>
            <w:gridSpan w:val="6"/>
          </w:tcPr>
          <w:p>
            <w:pPr>
              <w:ind w:left="140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Fidus Investment Corporation and Subsidiaries</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audited the accompanying consolidated statements of statement of assets and liabilities, including the consolidated schedules of investments, of Fidus Investment Corporation and Subsidiaries (collectively, the “Company”) as of December 31, 2014 and 2013, and the related consolidated statements of operations, changes in net assets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Our procedures included confirmation of investments owned as of December 31, 2014 and 2013, by correspondence with the custodian, loan agent, or borrower. Our audits also included performing such other procedures where replies from the custodian, loan agent or borrower were not received. We believe that our audits provide a reasonable basis for our opinion.</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Fidus Investment Corporation and Subsidiaries as of December 31, 2014 and 2013, and the results of their operations and their cash flows for each of the three years in the period ended December 31, 2014 in conformity with U.S. generally accepted accounting principles.</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Fidus Investment Corporation and Subsidiaries’ internal control over financial reporting as of December 31, 2014,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 and our report dated March 5, 2015, expressed an unqualified opinion on the effectiveness of the Company’s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5, 2015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Fidus Investment Corporation and Subsidiaries</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We have audited Fidus Investment Corporation and Subsidiaries’ (collectively, the “Company”) internal control over financial reporting as of December 31, 2014,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6"/>
          <w:szCs w:val="16"/>
          <w:i w:val="1"/>
          <w:iCs w:val="1"/>
          <w:color w:val="auto"/>
        </w:rPr>
        <w:t>(a)</w:t>
      </w:r>
      <w:r>
        <w:rPr>
          <w:rFonts w:ascii="Arial" w:cs="Arial" w:eastAsia="Arial" w:hAnsi="Arial"/>
          <w:sz w:val="16"/>
          <w:szCs w:val="16"/>
          <w:color w:val="auto"/>
        </w:rPr>
        <w:t xml:space="preserve"> pertain to the maintenance of records that, in reasonable detail, accurately and fairly reflect the transactions and dispositions of the assets of the company; </w:t>
      </w:r>
      <w:r>
        <w:rPr>
          <w:rFonts w:ascii="Arial" w:cs="Arial" w:eastAsia="Arial" w:hAnsi="Arial"/>
          <w:sz w:val="16"/>
          <w:szCs w:val="16"/>
          <w:i w:val="1"/>
          <w:iCs w:val="1"/>
          <w:color w:val="auto"/>
        </w:rPr>
        <w:t>(b)</w:t>
      </w:r>
      <w:r>
        <w:rPr>
          <w:rFonts w:ascii="Arial" w:cs="Arial" w:eastAsia="Arial" w:hAnsi="Arial"/>
          <w:sz w:val="16"/>
          <w:szCs w:val="16"/>
          <w:color w:val="auto"/>
        </w:rPr>
        <w:t xml:space="preserve">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6"/>
          <w:szCs w:val="16"/>
          <w:i w:val="1"/>
          <w:iCs w:val="1"/>
          <w:color w:val="auto"/>
        </w:rPr>
        <w:t>(c)</w:t>
      </w:r>
      <w:r>
        <w:rPr>
          <w:rFonts w:ascii="Arial" w:cs="Arial" w:eastAsia="Arial" w:hAnsi="Arial"/>
          <w:sz w:val="16"/>
          <w:szCs w:val="16"/>
          <w:color w:val="auto"/>
        </w:rPr>
        <w:t xml:space="preserve">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In our opinion, Fidus Investment Corporation and Subsidiaries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statements of assets and liabilities, including the consolidated schedules of investments, of Fidus Investment Corporation and Subsidiaries as of December 31, 2014 and 2013, and the related consolidated statements of operations, changes in net assets and cash flows for each of the three years in the period ended December 31, 2014, and our report dated March 5, 2015 expressed an unqualified opinion.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5, 2015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 Investments (cost: $10,460 and $0,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Affiliate investments (cost: $81,979 and $88,983, respectively)</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86,200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Non-control/non-affiliate investments (cost: $298,899 and $226,231, respectively)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305,911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224,537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420"/>
              <w:spacing w:after="0"/>
              <w:rPr>
                <w:sz w:val="20"/>
                <w:szCs w:val="20"/>
                <w:color w:val="auto"/>
              </w:rPr>
            </w:pPr>
            <w:r>
              <w:rPr>
                <w:rFonts w:ascii="Arial" w:cs="Arial" w:eastAsia="Arial" w:hAnsi="Arial"/>
                <w:sz w:val="18"/>
                <w:szCs w:val="18"/>
                <w:color w:val="auto"/>
              </w:rPr>
              <w:t>Total investments, at fair value (cost: $391,338 and $315,214, respectively)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396,355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306,981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29,318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4,460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 of accumulated amortization of $2,784 and $2,102, respectively)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435,587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367,262</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173,500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5,395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192,324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156,137</w:t>
            </w:r>
          </w:p>
        </w:tc>
        <w:tc>
          <w:tcPr>
            <w:tcW w:w="0" w:type="dxa"/>
            <w:vAlign w:val="bottom"/>
          </w:tcPr>
          <w:p>
            <w:pPr>
              <w:spacing w:after="0"/>
              <w:rPr>
                <w:sz w:val="1"/>
                <w:szCs w:val="1"/>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Common stock, $0.001 par value (100,000,000 shares authorized, 16,051,037 and 13,755,232 shares issued and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outstanding at December 31, 2014 and 2013, respectively)</w:t>
            </w:r>
          </w:p>
        </w:tc>
        <w:tc>
          <w:tcPr>
            <w:tcW w:w="16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243,008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12,433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gain on investments, net of taxes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Accumulated net unrealized appreciation (depreciation) on investments</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3,805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243,263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211,125</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435,587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367,262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Years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 investments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Affiliate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Non-control/non-affiliate investments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Total interest income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40,297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37,650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Affiliate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Non-control/non-affiliate investments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Total dividend income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Control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Affiliate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Non-control/non-affiliate investments</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fee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Interest on idle funds and other income</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5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financing expenses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Base management fee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5,899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Administrative service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Net investment income before income taxes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23,664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19,542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23,281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19,296</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Realized gains on control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22,231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(losses) on affiliate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Net realized (losses) gains on non-control/non-affiliate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8,357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Income tax (provision) on realized gains on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(loss) gain on investments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19,485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27,203</w:t>
            </w:r>
          </w:p>
        </w:tc>
        <w:tc>
          <w:tcPr>
            <w:tcW w:w="5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Net investment income per share-basic and diluted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Net increase in net assets resulting from operations per share-basic and diluted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200"/>
              <w:spacing w:after="0"/>
              <w:rPr>
                <w:sz w:val="20"/>
                <w:szCs w:val="20"/>
                <w:color w:val="auto"/>
              </w:rPr>
            </w:pPr>
            <w:r>
              <w:rPr>
                <w:rFonts w:ascii="Arial" w:cs="Arial" w:eastAsia="Arial" w:hAnsi="Arial"/>
                <w:sz w:val="18"/>
                <w:szCs w:val="18"/>
                <w:color w:val="auto"/>
              </w:rPr>
              <w:t>Dividends paid per share</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of shares outstanding - basic and diluted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14,346,438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13,524,368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10,185,627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7"/>
              </w:rPr>
              <w:t>Common Stock</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8"/>
              </w:rPr>
              <w:t>Net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Undistributed</w:t>
            </w:r>
          </w:p>
        </w:tc>
        <w:tc>
          <w:tcPr>
            <w:tcW w:w="80" w:type="dxa"/>
            <w:vAlign w:val="bottom"/>
          </w:tcPr>
          <w:p>
            <w:pPr>
              <w:spacing w:after="0"/>
              <w:rPr>
                <w:sz w:val="11"/>
                <w:szCs w:val="11"/>
                <w:color w:val="auto"/>
              </w:rPr>
            </w:pPr>
          </w:p>
        </w:tc>
        <w:tc>
          <w:tcPr>
            <w:tcW w:w="9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4"/>
              </w:rPr>
              <w:t>Realized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0"/>
              </w:rPr>
              <w:t>Unrealized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Net</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 Gain on</w:t>
            </w:r>
          </w:p>
        </w:tc>
        <w:tc>
          <w:tcPr>
            <w:tcW w:w="180" w:type="dxa"/>
            <w:vAlign w:val="bottom"/>
          </w:tcPr>
          <w:p>
            <w:pPr>
              <w:spacing w:after="0"/>
              <w:rPr>
                <w:sz w:val="12"/>
                <w:szCs w:val="12"/>
                <w:color w:val="auto"/>
              </w:rPr>
            </w:pPr>
          </w:p>
        </w:tc>
        <w:tc>
          <w:tcPr>
            <w:tcW w:w="12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Paid in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Investments,</w:t>
            </w:r>
          </w:p>
        </w:tc>
        <w:tc>
          <w:tcPr>
            <w:tcW w:w="18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(Depreciation)</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net of taxes</w:t>
            </w:r>
          </w:p>
        </w:tc>
        <w:tc>
          <w:tcPr>
            <w:tcW w:w="18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on Investments</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2011</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9,427,021</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138,649</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w:t>
            </w: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1,884</w:t>
            </w:r>
          </w:p>
        </w:tc>
        <w:tc>
          <w:tcPr>
            <w:tcW w:w="3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$140,482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Public offering of common stock, net of expenses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2,472,500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37,949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15,687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w:t>
            </w: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Dividends declared and paid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54,326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(15,654)</w:t>
            </w:r>
          </w:p>
        </w:tc>
        <w:tc>
          <w:tcPr>
            <w:tcW w:w="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(14,754)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December 31, 2012</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8"/>
              </w:rPr>
              <w:t>11,953,847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177,498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3,633</w:t>
            </w: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183,091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Public offering of common stock, net of expenses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1,725,000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28,855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19,296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20,985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(13,078)</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76,385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(16,603)</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Deemed distribution of long term capital gains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tcPr>
          <w:p>
            <w:pPr>
              <w:spacing w:after="0" w:line="138" w:lineRule="exact"/>
              <w:rPr>
                <w:sz w:val="20"/>
                <w:szCs w:val="20"/>
                <w:color w:val="auto"/>
              </w:rPr>
            </w:pPr>
            <w:r>
              <w:rPr>
                <w:rFonts w:ascii="Arial" w:cs="Arial" w:eastAsia="Arial" w:hAnsi="Arial"/>
                <w:sz w:val="14"/>
                <w:szCs w:val="14"/>
                <w:color w:val="auto"/>
                <w:w w:val="96"/>
              </w:rPr>
              <w:t>Tax reclassification of stockholders’ equity in accordance with generally</w:t>
            </w: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tcPr>
          <w:p>
            <w:pPr>
              <w:ind w:left="200"/>
              <w:spacing w:after="0" w:line="159" w:lineRule="exact"/>
              <w:rPr>
                <w:sz w:val="20"/>
                <w:szCs w:val="20"/>
                <w:color w:val="auto"/>
              </w:rPr>
            </w:pPr>
            <w:r>
              <w:rPr>
                <w:rFonts w:ascii="Arial" w:cs="Arial" w:eastAsia="Arial" w:hAnsi="Arial"/>
                <w:sz w:val="14"/>
                <w:szCs w:val="14"/>
                <w:color w:val="auto"/>
              </w:rPr>
              <w:t>accepted accounting principles</w:t>
            </w:r>
          </w:p>
        </w:tc>
        <w:tc>
          <w:tcPr>
            <w:tcW w:w="10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(7,057)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73</w:t>
            </w:r>
          </w:p>
        </w:tc>
        <w:tc>
          <w:tcPr>
            <w:tcW w:w="8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6,984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December 31, 2013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13,755,232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206,123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3,221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(9,445)</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211,125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Public offerings of common stock, net of expenses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2,241,767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36,540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23,281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13,250</w:t>
            </w: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54,038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(14,435)</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(10,389)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(23,889)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Tax reclassification of stockholders’ equity in accordance with generally</w:t>
            </w: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accepted accounting principles</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85"/>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(590)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at December 31, 2014</w:t>
            </w: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20" w:type="dxa"/>
            <w:vAlign w:val="bottom"/>
            <w:gridSpan w:val="2"/>
            <w:vMerge w:val="continue"/>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16,051,037</w:t>
            </w:r>
          </w:p>
        </w:tc>
        <w:tc>
          <w:tcPr>
            <w:tcW w:w="40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16</w:t>
            </w:r>
          </w:p>
        </w:tc>
        <w:tc>
          <w:tcPr>
            <w:tcW w:w="38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243,008</w:t>
            </w:r>
          </w:p>
        </w:tc>
        <w:tc>
          <w:tcPr>
            <w:tcW w:w="2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12,433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(15,999)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3,805</w:t>
            </w:r>
          </w:p>
        </w:tc>
        <w:tc>
          <w:tcPr>
            <w:tcW w:w="38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243,263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19,485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27,203</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19,411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Adjustments to reconcile net increase in net assets resulting from operations to net cash (used in)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Realized loss (gain) on investments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Interest and dividend income paid-in-kind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(5,617)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original issue discount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Accretion of loan origination fees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(149,814)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(149,095)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Proceeds from sales and repayments of investments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62,643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loan origination fees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Amortization of deferred financing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Interest receivable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Accrued interest and fees payable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Due to affiliates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Taxes payable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other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Net cash (used in) operating activities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(71,270)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(49,533)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stock offerings, net of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36,542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received from SBA debentures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received from borrowings under credit facility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Dividends paid to stockholders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(23,889)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 on deemed distribution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1720"/>
              <w:spacing w:after="0"/>
              <w:rPr>
                <w:sz w:val="20"/>
                <w:szCs w:val="20"/>
                <w:color w:val="auto"/>
              </w:rPr>
            </w:pPr>
            <w:r>
              <w:rPr>
                <w:rFonts w:ascii="Arial" w:cs="Arial" w:eastAsia="Arial" w:hAnsi="Arial"/>
                <w:sz w:val="18"/>
                <w:szCs w:val="18"/>
                <w:b w:val="1"/>
                <w:bCs w:val="1"/>
                <w:color w:val="auto"/>
              </w:rPr>
              <w:t>Net cash provided by financing activities</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7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12,983</w:t>
            </w:r>
          </w:p>
        </w:tc>
        <w:tc>
          <w:tcPr>
            <w:tcW w:w="0" w:type="dxa"/>
            <w:vAlign w:val="bottom"/>
          </w:tcPr>
          <w:p>
            <w:pPr>
              <w:spacing w:after="0"/>
              <w:rPr>
                <w:sz w:val="1"/>
                <w:szCs w:val="1"/>
                <w:color w:val="auto"/>
              </w:rPr>
            </w:pPr>
          </w:p>
        </w:tc>
      </w:tr>
      <w:tr>
        <w:trPr>
          <w:trHeight w:val="323"/>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29,318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53,418</w:t>
            </w:r>
          </w:p>
        </w:tc>
        <w:tc>
          <w:tcPr>
            <w:tcW w:w="4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Cash payments for interest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6,670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6,503</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 for taxes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3"/>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Non-cash financing activities: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of common stock under dividend reinvestment plan</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9"/>
              </w:rPr>
              <w:t xml:space="preserve">Rate </w:t>
            </w:r>
            <w:r>
              <w:rPr>
                <w:rFonts w:ascii="Arial" w:cs="Arial" w:eastAsia="Arial" w:hAnsi="Arial"/>
                <w:sz w:val="22"/>
                <w:szCs w:val="22"/>
                <w:b w:val="1"/>
                <w:bCs w:val="1"/>
                <w:color w:val="auto"/>
                <w:w w:val="99"/>
                <w:vertAlign w:val="superscript"/>
              </w:rPr>
              <w:t>(4)</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1560" w:type="dxa"/>
            <w:vAlign w:val="bottom"/>
          </w:tcPr>
          <w:p>
            <w:pPr>
              <w:spacing w:after="0"/>
              <w:rPr>
                <w:sz w:val="12"/>
                <w:szCs w:val="12"/>
                <w:color w:val="auto"/>
              </w:rPr>
            </w:pPr>
          </w:p>
        </w:tc>
        <w:tc>
          <w:tcPr>
            <w:tcW w:w="2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Principal</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61"/>
        </w:trPr>
        <w:tc>
          <w:tcPr>
            <w:tcW w:w="3000" w:type="dxa"/>
            <w:vAlign w:val="bottom"/>
            <w:gridSpan w:val="2"/>
            <w:vMerge w:val="continue"/>
          </w:tcPr>
          <w:p>
            <w:pPr>
              <w:spacing w:after="0"/>
              <w:rPr>
                <w:sz w:val="14"/>
                <w:szCs w:val="14"/>
                <w:color w:val="auto"/>
              </w:rPr>
            </w:pPr>
          </w:p>
        </w:tc>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Industry</w:t>
            </w:r>
          </w:p>
        </w:tc>
        <w:tc>
          <w:tcPr>
            <w:tcW w:w="2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Cash/PIK</w:t>
            </w: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64"/>
        </w:trPr>
        <w:tc>
          <w:tcPr>
            <w:tcW w:w="30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Control Investments </w:t>
            </w:r>
            <w:r>
              <w:rPr>
                <w:rFonts w:ascii="Arial" w:cs="Arial" w:eastAsia="Arial" w:hAnsi="Arial"/>
                <w:sz w:val="22"/>
                <w:szCs w:val="22"/>
                <w:b w:val="1"/>
                <w:bCs w:val="1"/>
                <w:color w:val="auto"/>
                <w:vertAlign w:val="superscript"/>
              </w:rPr>
              <w:t>(5)</w:t>
            </w:r>
          </w:p>
        </w:tc>
        <w:tc>
          <w:tcPr>
            <w:tcW w:w="156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Paramount Building Solutions, LLC</w:t>
            </w:r>
          </w:p>
        </w:tc>
        <w:tc>
          <w:tcPr>
            <w:tcW w:w="1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Retail Cleaning</w:t>
            </w:r>
          </w:p>
        </w:tc>
        <w:tc>
          <w:tcPr>
            <w:tcW w:w="2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9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7.0%/3.0%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12/31/2017</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   1,118</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$ 1,118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1,067</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38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Subordinated Note</w:t>
            </w:r>
          </w:p>
        </w:tc>
        <w:tc>
          <w:tcPr>
            <w:tcW w:w="920" w:type="dxa"/>
            <w:vAlign w:val="bottom"/>
            <w:gridSpan w:val="2"/>
            <w:shd w:val="clear" w:color="auto" w:fill="CCEEFF"/>
          </w:tcPr>
          <w:p>
            <w:pPr>
              <w:jc w:val="right"/>
              <w:ind w:right="32"/>
              <w:spacing w:after="0" w:line="122" w:lineRule="exact"/>
              <w:rPr>
                <w:sz w:val="20"/>
                <w:szCs w:val="20"/>
                <w:color w:val="auto"/>
              </w:rPr>
            </w:pPr>
            <w:r>
              <w:rPr>
                <w:rFonts w:ascii="Arial" w:cs="Arial" w:eastAsia="Arial" w:hAnsi="Arial"/>
                <w:sz w:val="14"/>
                <w:szCs w:val="14"/>
                <w:color w:val="auto"/>
              </w:rPr>
              <w:t>7.0%/7.0%</w:t>
            </w:r>
          </w:p>
        </w:tc>
        <w:tc>
          <w:tcPr>
            <w:tcW w:w="8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w w:val="99"/>
              </w:rPr>
              <w:t>12/31/2017</w:t>
            </w:r>
          </w:p>
        </w:tc>
        <w:tc>
          <w:tcPr>
            <w:tcW w:w="780" w:type="dxa"/>
            <w:vAlign w:val="bottom"/>
            <w:shd w:val="clear" w:color="auto" w:fill="CCEEFF"/>
          </w:tcPr>
          <w:p>
            <w:pPr>
              <w:jc w:val="right"/>
              <w:ind w:right="92"/>
              <w:spacing w:after="0" w:line="122" w:lineRule="exact"/>
              <w:rPr>
                <w:sz w:val="20"/>
                <w:szCs w:val="20"/>
                <w:color w:val="auto"/>
              </w:rPr>
            </w:pPr>
            <w:r>
              <w:rPr>
                <w:rFonts w:ascii="Arial" w:cs="Arial" w:eastAsia="Arial" w:hAnsi="Arial"/>
                <w:sz w:val="14"/>
                <w:szCs w:val="14"/>
                <w:color w:val="auto"/>
              </w:rPr>
              <w:t>2,842</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2,842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2,687</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380" w:type="dxa"/>
            <w:vAlign w:val="bottom"/>
            <w:shd w:val="clear" w:color="auto" w:fill="CCEEFF"/>
          </w:tcPr>
          <w:p>
            <w:pPr>
              <w:ind w:left="100"/>
              <w:spacing w:after="0" w:line="162" w:lineRule="exact"/>
              <w:rPr>
                <w:sz w:val="20"/>
                <w:szCs w:val="20"/>
                <w:color w:val="auto"/>
              </w:rPr>
            </w:pPr>
            <w:r>
              <w:rPr>
                <w:rFonts w:ascii="Arial" w:cs="Arial" w:eastAsia="Arial" w:hAnsi="Arial"/>
                <w:sz w:val="12"/>
                <w:szCs w:val="12"/>
                <w:color w:val="auto"/>
              </w:rPr>
              <w:t xml:space="preserve">Warrant (1,086,035 units) </w:t>
            </w:r>
            <w:r>
              <w:rPr>
                <w:rFonts w:ascii="Arial" w:cs="Arial" w:eastAsia="Arial" w:hAnsi="Arial"/>
                <w:sz w:val="18"/>
                <w:szCs w:val="18"/>
                <w:color w:val="auto"/>
                <w:vertAlign w:val="superscript"/>
              </w:rPr>
              <w:t>(7)</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380" w:type="dxa"/>
            <w:vAlign w:val="bottom"/>
            <w:shd w:val="clear" w:color="auto" w:fill="CCEEFF"/>
          </w:tcPr>
          <w:p>
            <w:pPr>
              <w:ind w:left="100"/>
              <w:spacing w:after="0" w:line="162" w:lineRule="exact"/>
              <w:rPr>
                <w:sz w:val="20"/>
                <w:szCs w:val="20"/>
                <w:color w:val="auto"/>
              </w:rPr>
            </w:pPr>
            <w:r>
              <w:rPr>
                <w:rFonts w:ascii="Arial" w:cs="Arial" w:eastAsia="Arial" w:hAnsi="Arial"/>
                <w:sz w:val="12"/>
                <w:szCs w:val="12"/>
                <w:color w:val="auto"/>
              </w:rPr>
              <w:t xml:space="preserve">Preferred Equity (5,000,000 units) </w:t>
            </w:r>
            <w:r>
              <w:rPr>
                <w:rFonts w:ascii="Arial" w:cs="Arial" w:eastAsia="Arial" w:hAnsi="Arial"/>
                <w:sz w:val="18"/>
                <w:szCs w:val="18"/>
                <w:color w:val="auto"/>
                <w:vertAlign w:val="superscript"/>
              </w:rPr>
              <w:t>(7)</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380" w:type="dxa"/>
            <w:vAlign w:val="bottom"/>
            <w:shd w:val="clear" w:color="auto" w:fill="CCEEFF"/>
          </w:tcPr>
          <w:p>
            <w:pPr>
              <w:ind w:left="100"/>
              <w:spacing w:after="0" w:line="189" w:lineRule="exact"/>
              <w:rPr>
                <w:sz w:val="20"/>
                <w:szCs w:val="20"/>
                <w:color w:val="auto"/>
              </w:rPr>
            </w:pPr>
            <w:r>
              <w:rPr>
                <w:rFonts w:ascii="Arial" w:cs="Arial" w:eastAsia="Arial" w:hAnsi="Arial"/>
                <w:sz w:val="13"/>
                <w:szCs w:val="13"/>
                <w:color w:val="auto"/>
              </w:rPr>
              <w:t xml:space="preserve">Common Equity (107,143 units) </w:t>
            </w:r>
            <w:r>
              <w:rPr>
                <w:rFonts w:ascii="Arial" w:cs="Arial" w:eastAsia="Arial" w:hAnsi="Arial"/>
                <w:sz w:val="21"/>
                <w:szCs w:val="21"/>
                <w:color w:val="auto"/>
                <w:vertAlign w:val="superscript"/>
              </w:rPr>
              <w:t>(7)</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10,460</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4,244</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b w:val="1"/>
                <w:bCs w:val="1"/>
                <w:color w:val="auto"/>
              </w:rPr>
              <w:t>Total Control Investments</w:t>
            </w:r>
          </w:p>
        </w:tc>
        <w:tc>
          <w:tcPr>
            <w:tcW w:w="15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10,460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4,244</w:t>
            </w:r>
          </w:p>
        </w:tc>
        <w:tc>
          <w:tcPr>
            <w:tcW w:w="1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72"/>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Affiliate Investments </w:t>
            </w:r>
            <w:r>
              <w:rPr>
                <w:rFonts w:ascii="Arial" w:cs="Arial" w:eastAsia="Arial" w:hAnsi="Arial"/>
                <w:sz w:val="22"/>
                <w:szCs w:val="22"/>
                <w:b w:val="1"/>
                <w:bCs w:val="1"/>
                <w:color w:val="auto"/>
                <w:vertAlign w:val="superscript"/>
              </w:rPr>
              <w:t>(5)</w:t>
            </w:r>
          </w:p>
        </w:tc>
        <w:tc>
          <w:tcPr>
            <w:tcW w:w="1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Apex Microtechnology, Inc.</w:t>
            </w:r>
          </w:p>
        </w:tc>
        <w:tc>
          <w:tcPr>
            <w:tcW w:w="1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w:t>
            </w:r>
          </w:p>
        </w:tc>
        <w:tc>
          <w:tcPr>
            <w:tcW w:w="2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 (2,293 units)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Components Supplier</w:t>
            </w:r>
          </w:p>
        </w:tc>
        <w:tc>
          <w:tcPr>
            <w:tcW w:w="23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(11,690 shares)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w:t>
            </w:r>
          </w:p>
        </w:tc>
        <w:tc>
          <w:tcPr>
            <w:tcW w:w="1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1,389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1,556</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4"/>
                <w:szCs w:val="14"/>
                <w:i w:val="1"/>
                <w:iCs w:val="1"/>
                <w:color w:val="auto"/>
              </w:rPr>
              <w:t>FAR Research Inc.</w:t>
            </w:r>
          </w:p>
        </w:tc>
        <w:tc>
          <w:tcPr>
            <w:tcW w:w="1560" w:type="dxa"/>
            <w:vAlign w:val="bottom"/>
          </w:tcPr>
          <w:p>
            <w:pPr>
              <w:ind w:left="80"/>
              <w:spacing w:after="0"/>
              <w:rPr>
                <w:sz w:val="20"/>
                <w:szCs w:val="20"/>
                <w:color w:val="auto"/>
              </w:rPr>
            </w:pPr>
            <w:r>
              <w:rPr>
                <w:rFonts w:ascii="Arial" w:cs="Arial" w:eastAsia="Arial" w:hAnsi="Arial"/>
                <w:sz w:val="14"/>
                <w:szCs w:val="14"/>
                <w:color w:val="auto"/>
              </w:rPr>
              <w:t>Specialty Chemicals</w:t>
            </w:r>
          </w:p>
        </w:tc>
        <w:tc>
          <w:tcPr>
            <w:tcW w:w="2380" w:type="dxa"/>
            <w:vAlign w:val="bottom"/>
          </w:tcPr>
          <w:p>
            <w:pPr>
              <w:ind w:left="100"/>
              <w:spacing w:after="0" w:line="229" w:lineRule="exact"/>
              <w:rPr>
                <w:sz w:val="20"/>
                <w:szCs w:val="20"/>
                <w:color w:val="auto"/>
              </w:rPr>
            </w:pPr>
            <w:r>
              <w:rPr>
                <w:rFonts w:ascii="Arial" w:cs="Arial" w:eastAsia="Arial" w:hAnsi="Arial"/>
                <w:sz w:val="14"/>
                <w:szCs w:val="14"/>
                <w:color w:val="auto"/>
              </w:rPr>
              <w:t xml:space="preserve">Senior Secured Loan </w:t>
            </w:r>
            <w:r>
              <w:rPr>
                <w:rFonts w:ascii="Arial" w:cs="Arial" w:eastAsia="Arial" w:hAnsi="Arial"/>
                <w:sz w:val="22"/>
                <w:szCs w:val="22"/>
                <w:color w:val="auto"/>
                <w:vertAlign w:val="superscript"/>
              </w:rPr>
              <w:t>(10)</w:t>
            </w:r>
          </w:p>
        </w:tc>
        <w:tc>
          <w:tcPr>
            <w:tcW w:w="920" w:type="dxa"/>
            <w:vAlign w:val="bottom"/>
            <w:gridSpan w:val="2"/>
          </w:tcPr>
          <w:p>
            <w:pPr>
              <w:jc w:val="right"/>
              <w:ind w:right="32"/>
              <w:spacing w:after="0"/>
              <w:rPr>
                <w:sz w:val="20"/>
                <w:szCs w:val="20"/>
                <w:color w:val="auto"/>
              </w:rPr>
            </w:pPr>
            <w:r>
              <w:rPr>
                <w:rFonts w:ascii="Arial" w:cs="Arial" w:eastAsia="Arial" w:hAnsi="Arial"/>
                <w:sz w:val="14"/>
                <w:szCs w:val="14"/>
                <w:color w:val="auto"/>
              </w:rPr>
              <w:t>11.8%/0.0%</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3/31/2019</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7,600</w:t>
            </w:r>
          </w:p>
        </w:tc>
        <w:tc>
          <w:tcPr>
            <w:tcW w:w="460" w:type="dxa"/>
            <w:vAlign w:val="bottom"/>
          </w:tcPr>
          <w:p>
            <w:pPr>
              <w:jc w:val="right"/>
              <w:spacing w:after="0"/>
              <w:rPr>
                <w:sz w:val="20"/>
                <w:szCs w:val="20"/>
                <w:color w:val="auto"/>
              </w:rPr>
            </w:pPr>
            <w:r>
              <w:rPr>
                <w:rFonts w:ascii="Arial" w:cs="Arial" w:eastAsia="Arial" w:hAnsi="Arial"/>
                <w:sz w:val="14"/>
                <w:szCs w:val="14"/>
                <w:color w:val="auto"/>
              </w:rPr>
              <w:t>7,567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ind w:left="100"/>
              <w:spacing w:after="0" w:line="165" w:lineRule="exact"/>
              <w:rPr>
                <w:sz w:val="20"/>
                <w:szCs w:val="20"/>
                <w:color w:val="auto"/>
              </w:rPr>
            </w:pPr>
            <w:r>
              <w:rPr>
                <w:rFonts w:ascii="Arial" w:cs="Arial" w:eastAsia="Arial" w:hAnsi="Arial"/>
                <w:sz w:val="12"/>
                <w:szCs w:val="12"/>
                <w:color w:val="auto"/>
              </w:rPr>
              <w:t xml:space="preserve">Revolving Loan ($1,750 commitment) </w:t>
            </w:r>
            <w:r>
              <w:rPr>
                <w:rFonts w:ascii="Arial" w:cs="Arial" w:eastAsia="Arial" w:hAnsi="Arial"/>
                <w:sz w:val="19"/>
                <w:szCs w:val="19"/>
                <w:color w:val="auto"/>
                <w:vertAlign w:val="superscript"/>
              </w:rPr>
              <w:t>(9)</w:t>
            </w:r>
          </w:p>
        </w:tc>
        <w:tc>
          <w:tcPr>
            <w:tcW w:w="920" w:type="dxa"/>
            <w:vAlign w:val="bottom"/>
            <w:gridSpan w:val="2"/>
          </w:tcPr>
          <w:p>
            <w:pPr>
              <w:jc w:val="right"/>
              <w:ind w:right="32"/>
              <w:spacing w:after="0"/>
              <w:rPr>
                <w:sz w:val="20"/>
                <w:szCs w:val="20"/>
                <w:color w:val="auto"/>
              </w:rPr>
            </w:pPr>
            <w:r>
              <w:rPr>
                <w:rFonts w:ascii="Arial" w:cs="Arial" w:eastAsia="Arial" w:hAnsi="Arial"/>
                <w:sz w:val="14"/>
                <w:szCs w:val="14"/>
                <w:color w:val="auto"/>
              </w:rPr>
              <w:t>11.8%/0.0%</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3/31/2019</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136</w:t>
            </w:r>
          </w:p>
        </w:tc>
        <w:tc>
          <w:tcPr>
            <w:tcW w:w="460" w:type="dxa"/>
            <w:vAlign w:val="bottom"/>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380" w:type="dxa"/>
            <w:vAlign w:val="bottom"/>
          </w:tcPr>
          <w:p>
            <w:pPr>
              <w:ind w:left="100"/>
              <w:spacing w:after="0" w:line="159" w:lineRule="exact"/>
              <w:rPr>
                <w:sz w:val="20"/>
                <w:szCs w:val="20"/>
                <w:color w:val="auto"/>
              </w:rPr>
            </w:pPr>
            <w:r>
              <w:rPr>
                <w:rFonts w:ascii="Arial" w:cs="Arial" w:eastAsia="Arial" w:hAnsi="Arial"/>
                <w:sz w:val="14"/>
                <w:szCs w:val="14"/>
                <w:color w:val="auto"/>
              </w:rPr>
              <w:t>Common Equity (10 units)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938</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8,696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8,674</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8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Inflexxion, Inc.</w:t>
            </w:r>
          </w:p>
        </w:tc>
        <w:tc>
          <w:tcPr>
            <w:tcW w:w="1560" w:type="dxa"/>
            <w:vAlign w:val="bottom"/>
            <w:shd w:val="clear" w:color="auto" w:fill="CCEEFF"/>
          </w:tcPr>
          <w:p>
            <w:pPr>
              <w:ind w:left="80"/>
              <w:spacing w:after="0" w:line="122" w:lineRule="exact"/>
              <w:rPr>
                <w:sz w:val="20"/>
                <w:szCs w:val="20"/>
                <w:color w:val="auto"/>
              </w:rPr>
            </w:pPr>
            <w:r>
              <w:rPr>
                <w:rFonts w:ascii="Arial" w:cs="Arial" w:eastAsia="Arial" w:hAnsi="Arial"/>
                <w:sz w:val="14"/>
                <w:szCs w:val="14"/>
                <w:color w:val="auto"/>
              </w:rPr>
              <w:t>Business Services</w:t>
            </w:r>
          </w:p>
        </w:tc>
        <w:tc>
          <w:tcPr>
            <w:tcW w:w="238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Senior Secured Loan</w:t>
            </w:r>
          </w:p>
        </w:tc>
        <w:tc>
          <w:tcPr>
            <w:tcW w:w="920" w:type="dxa"/>
            <w:vAlign w:val="bottom"/>
            <w:gridSpan w:val="2"/>
            <w:shd w:val="clear" w:color="auto" w:fill="CCEEFF"/>
          </w:tcPr>
          <w:p>
            <w:pPr>
              <w:jc w:val="right"/>
              <w:ind w:right="32"/>
              <w:spacing w:after="0" w:line="122" w:lineRule="exact"/>
              <w:rPr>
                <w:sz w:val="20"/>
                <w:szCs w:val="20"/>
                <w:color w:val="auto"/>
              </w:rPr>
            </w:pPr>
            <w:r>
              <w:rPr>
                <w:rFonts w:ascii="Arial" w:cs="Arial" w:eastAsia="Arial" w:hAnsi="Arial"/>
                <w:sz w:val="14"/>
                <w:szCs w:val="14"/>
                <w:color w:val="auto"/>
              </w:rPr>
              <w:t>12.5%/0.0%</w:t>
            </w:r>
          </w:p>
        </w:tc>
        <w:tc>
          <w:tcPr>
            <w:tcW w:w="8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w w:val="99"/>
              </w:rPr>
              <w:t>12/16/2019</w:t>
            </w:r>
          </w:p>
        </w:tc>
        <w:tc>
          <w:tcPr>
            <w:tcW w:w="780" w:type="dxa"/>
            <w:vAlign w:val="bottom"/>
            <w:shd w:val="clear" w:color="auto" w:fill="CCEEFF"/>
          </w:tcPr>
          <w:p>
            <w:pPr>
              <w:jc w:val="right"/>
              <w:ind w:right="92"/>
              <w:spacing w:after="0" w:line="122" w:lineRule="exact"/>
              <w:rPr>
                <w:sz w:val="20"/>
                <w:szCs w:val="20"/>
                <w:color w:val="auto"/>
              </w:rPr>
            </w:pPr>
            <w:r>
              <w:rPr>
                <w:rFonts w:ascii="Arial" w:cs="Arial" w:eastAsia="Arial" w:hAnsi="Arial"/>
                <w:sz w:val="14"/>
                <w:szCs w:val="14"/>
                <w:color w:val="auto"/>
              </w:rPr>
              <w:t>4,750</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4,726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4,726</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380" w:type="dxa"/>
            <w:vAlign w:val="bottom"/>
            <w:shd w:val="clear" w:color="auto" w:fill="CCEEFF"/>
          </w:tcPr>
          <w:p>
            <w:pPr>
              <w:ind w:left="100"/>
              <w:spacing w:after="0" w:line="176" w:lineRule="exact"/>
              <w:rPr>
                <w:sz w:val="20"/>
                <w:szCs w:val="20"/>
                <w:color w:val="auto"/>
              </w:rPr>
            </w:pPr>
            <w:r>
              <w:rPr>
                <w:rFonts w:ascii="Arial" w:cs="Arial" w:eastAsia="Arial" w:hAnsi="Arial"/>
                <w:sz w:val="13"/>
                <w:szCs w:val="13"/>
                <w:color w:val="auto"/>
                <w:w w:val="95"/>
              </w:rPr>
              <w:t xml:space="preserve">Revolving Loan ($1,000 commitment) </w:t>
            </w:r>
            <w:r>
              <w:rPr>
                <w:rFonts w:ascii="Arial" w:cs="Arial" w:eastAsia="Arial" w:hAnsi="Arial"/>
                <w:sz w:val="20"/>
                <w:szCs w:val="20"/>
                <w:color w:val="auto"/>
                <w:w w:val="95"/>
                <w:vertAlign w:val="superscript"/>
              </w:rPr>
              <w:t>(9)</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12.5%/0.0%</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9"/>
              </w:rPr>
              <w:t>12/16/2019</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300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Equity (1,400 units)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1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6,421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6,421</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4"/>
                <w:szCs w:val="14"/>
                <w:i w:val="1"/>
                <w:iCs w:val="1"/>
                <w:color w:val="auto"/>
              </w:rPr>
              <w:t>Malabar International</w:t>
            </w:r>
          </w:p>
        </w:tc>
        <w:tc>
          <w:tcPr>
            <w:tcW w:w="1560" w:type="dxa"/>
            <w:vAlign w:val="bottom"/>
          </w:tcPr>
          <w:p>
            <w:pPr>
              <w:ind w:left="80"/>
              <w:spacing w:after="0"/>
              <w:rPr>
                <w:sz w:val="20"/>
                <w:szCs w:val="20"/>
                <w:color w:val="auto"/>
              </w:rPr>
            </w:pPr>
            <w:r>
              <w:rPr>
                <w:rFonts w:ascii="Arial" w:cs="Arial" w:eastAsia="Arial" w:hAnsi="Arial"/>
                <w:sz w:val="14"/>
                <w:szCs w:val="14"/>
                <w:color w:val="auto"/>
              </w:rPr>
              <w:t>Aerospace &amp; Defense</w:t>
            </w:r>
          </w:p>
        </w:tc>
        <w:tc>
          <w:tcPr>
            <w:tcW w:w="2380" w:type="dxa"/>
            <w:vAlign w:val="bottom"/>
          </w:tcPr>
          <w:p>
            <w:pPr>
              <w:ind w:left="100"/>
              <w:spacing w:after="0" w:line="22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22"/>
                <w:szCs w:val="22"/>
                <w:color w:val="auto"/>
                <w:vertAlign w:val="superscript"/>
              </w:rPr>
              <w:t>(10)</w:t>
            </w:r>
          </w:p>
        </w:tc>
        <w:tc>
          <w:tcPr>
            <w:tcW w:w="920" w:type="dxa"/>
            <w:vAlign w:val="bottom"/>
            <w:gridSpan w:val="2"/>
          </w:tcPr>
          <w:p>
            <w:pPr>
              <w:jc w:val="right"/>
              <w:ind w:right="32"/>
              <w:spacing w:after="0"/>
              <w:rPr>
                <w:sz w:val="20"/>
                <w:szCs w:val="20"/>
                <w:color w:val="auto"/>
              </w:rPr>
            </w:pPr>
            <w:r>
              <w:rPr>
                <w:rFonts w:ascii="Arial" w:cs="Arial" w:eastAsia="Arial" w:hAnsi="Arial"/>
                <w:sz w:val="14"/>
                <w:szCs w:val="14"/>
                <w:color w:val="auto"/>
              </w:rPr>
              <w:t>12.5%/2.5%</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5/21/2017</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7,264</w:t>
            </w:r>
          </w:p>
        </w:tc>
        <w:tc>
          <w:tcPr>
            <w:tcW w:w="460" w:type="dxa"/>
            <w:vAlign w:val="bottom"/>
          </w:tcPr>
          <w:p>
            <w:pPr>
              <w:jc w:val="right"/>
              <w:spacing w:after="0"/>
              <w:rPr>
                <w:sz w:val="20"/>
                <w:szCs w:val="20"/>
                <w:color w:val="auto"/>
              </w:rPr>
            </w:pPr>
            <w:r>
              <w:rPr>
                <w:rFonts w:ascii="Arial" w:cs="Arial" w:eastAsia="Arial" w:hAnsi="Arial"/>
                <w:sz w:val="14"/>
                <w:szCs w:val="14"/>
                <w:color w:val="auto"/>
              </w:rPr>
              <w:t>7,239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7,264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60" w:type="dxa"/>
            <w:vAlign w:val="bottom"/>
          </w:tcPr>
          <w:p>
            <w:pPr>
              <w:ind w:left="80"/>
              <w:spacing w:after="0"/>
              <w:rPr>
                <w:sz w:val="20"/>
                <w:szCs w:val="20"/>
                <w:color w:val="auto"/>
              </w:rPr>
            </w:pPr>
            <w:r>
              <w:rPr>
                <w:rFonts w:ascii="Arial" w:cs="Arial" w:eastAsia="Arial" w:hAnsi="Arial"/>
                <w:sz w:val="14"/>
                <w:szCs w:val="14"/>
                <w:color w:val="auto"/>
              </w:rPr>
              <w:t>Manufacturing</w:t>
            </w:r>
          </w:p>
        </w:tc>
        <w:tc>
          <w:tcPr>
            <w:tcW w:w="2380" w:type="dxa"/>
            <w:vAlign w:val="bottom"/>
          </w:tcPr>
          <w:p>
            <w:pPr>
              <w:ind w:left="100"/>
              <w:spacing w:after="0" w:line="176" w:lineRule="exact"/>
              <w:rPr>
                <w:sz w:val="20"/>
                <w:szCs w:val="20"/>
                <w:color w:val="auto"/>
              </w:rPr>
            </w:pPr>
            <w:r>
              <w:rPr>
                <w:rFonts w:ascii="Arial" w:cs="Arial" w:eastAsia="Arial" w:hAnsi="Arial"/>
                <w:sz w:val="13"/>
                <w:szCs w:val="13"/>
                <w:color w:val="auto"/>
              </w:rPr>
              <w:t xml:space="preserve">Preferred Equity (1,494 shares) </w:t>
            </w:r>
            <w:r>
              <w:rPr>
                <w:rFonts w:ascii="Arial" w:cs="Arial" w:eastAsia="Arial" w:hAnsi="Arial"/>
                <w:sz w:val="20"/>
                <w:szCs w:val="20"/>
                <w:color w:val="auto"/>
                <w:vertAlign w:val="superscript"/>
              </w:rPr>
              <w:t>(6)</w:t>
            </w:r>
          </w:p>
        </w:tc>
        <w:tc>
          <w:tcPr>
            <w:tcW w:w="920" w:type="dxa"/>
            <w:vAlign w:val="bottom"/>
            <w:gridSpan w:val="2"/>
          </w:tcPr>
          <w:p>
            <w:pPr>
              <w:jc w:val="right"/>
              <w:ind w:right="32"/>
              <w:spacing w:after="0"/>
              <w:rPr>
                <w:sz w:val="20"/>
                <w:szCs w:val="20"/>
                <w:color w:val="auto"/>
              </w:rPr>
            </w:pPr>
            <w:r>
              <w:rPr>
                <w:rFonts w:ascii="Arial" w:cs="Arial" w:eastAsia="Arial" w:hAnsi="Arial"/>
                <w:sz w:val="14"/>
                <w:szCs w:val="14"/>
                <w:color w:val="auto"/>
              </w:rPr>
              <w:t>6.0%/0.0%</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3,258</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10,522</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8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Medsurant Holdings, LLC</w:t>
            </w:r>
          </w:p>
        </w:tc>
        <w:tc>
          <w:tcPr>
            <w:tcW w:w="1560" w:type="dxa"/>
            <w:vAlign w:val="bottom"/>
            <w:shd w:val="clear" w:color="auto" w:fill="CCEEFF"/>
          </w:tcPr>
          <w:p>
            <w:pPr>
              <w:ind w:left="80"/>
              <w:spacing w:after="0" w:line="122" w:lineRule="exact"/>
              <w:rPr>
                <w:sz w:val="20"/>
                <w:szCs w:val="20"/>
                <w:color w:val="auto"/>
              </w:rPr>
            </w:pPr>
            <w:r>
              <w:rPr>
                <w:rFonts w:ascii="Arial" w:cs="Arial" w:eastAsia="Arial" w:hAnsi="Arial"/>
                <w:sz w:val="14"/>
                <w:szCs w:val="14"/>
                <w:color w:val="auto"/>
              </w:rPr>
              <w:t>Healthcare Services</w:t>
            </w:r>
          </w:p>
        </w:tc>
        <w:tc>
          <w:tcPr>
            <w:tcW w:w="238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Subordinated Note</w:t>
            </w:r>
          </w:p>
        </w:tc>
        <w:tc>
          <w:tcPr>
            <w:tcW w:w="920" w:type="dxa"/>
            <w:vAlign w:val="bottom"/>
            <w:gridSpan w:val="2"/>
            <w:shd w:val="clear" w:color="auto" w:fill="CCEEFF"/>
          </w:tcPr>
          <w:p>
            <w:pPr>
              <w:jc w:val="right"/>
              <w:ind w:right="32"/>
              <w:spacing w:after="0" w:line="122" w:lineRule="exact"/>
              <w:rPr>
                <w:sz w:val="20"/>
                <w:szCs w:val="20"/>
                <w:color w:val="auto"/>
              </w:rPr>
            </w:pPr>
            <w:r>
              <w:rPr>
                <w:rFonts w:ascii="Arial" w:cs="Arial" w:eastAsia="Arial" w:hAnsi="Arial"/>
                <w:sz w:val="14"/>
                <w:szCs w:val="14"/>
                <w:color w:val="auto"/>
              </w:rPr>
              <w:t>9.5%/4.5%</w:t>
            </w:r>
          </w:p>
        </w:tc>
        <w:tc>
          <w:tcPr>
            <w:tcW w:w="8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rPr>
              <w:t>7/12/2016</w:t>
            </w:r>
          </w:p>
        </w:tc>
        <w:tc>
          <w:tcPr>
            <w:tcW w:w="780" w:type="dxa"/>
            <w:vAlign w:val="bottom"/>
            <w:shd w:val="clear" w:color="auto" w:fill="CCEEFF"/>
          </w:tcPr>
          <w:p>
            <w:pPr>
              <w:jc w:val="right"/>
              <w:ind w:right="92"/>
              <w:spacing w:after="0" w:line="122" w:lineRule="exact"/>
              <w:rPr>
                <w:sz w:val="20"/>
                <w:szCs w:val="20"/>
                <w:color w:val="auto"/>
              </w:rPr>
            </w:pPr>
            <w:r>
              <w:rPr>
                <w:rFonts w:ascii="Arial" w:cs="Arial" w:eastAsia="Arial" w:hAnsi="Arial"/>
                <w:sz w:val="14"/>
                <w:szCs w:val="14"/>
                <w:color w:val="auto"/>
              </w:rPr>
              <w:t>10,129</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9,603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10,129</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380" w:type="dxa"/>
            <w:vAlign w:val="bottom"/>
            <w:shd w:val="clear" w:color="auto" w:fill="CCEEFF"/>
          </w:tcPr>
          <w:p>
            <w:pPr>
              <w:ind w:left="100"/>
              <w:spacing w:after="0" w:line="149" w:lineRule="exact"/>
              <w:rPr>
                <w:sz w:val="20"/>
                <w:szCs w:val="20"/>
                <w:color w:val="auto"/>
              </w:rPr>
            </w:pPr>
            <w:r>
              <w:rPr>
                <w:rFonts w:ascii="Arial" w:cs="Arial" w:eastAsia="Arial" w:hAnsi="Arial"/>
                <w:sz w:val="11"/>
                <w:szCs w:val="11"/>
                <w:color w:val="auto"/>
              </w:rPr>
              <w:t xml:space="preserve">Preferred Equity (126,662 units) </w:t>
            </w:r>
            <w:r>
              <w:rPr>
                <w:rFonts w:ascii="Arial" w:cs="Arial" w:eastAsia="Arial" w:hAnsi="Arial"/>
                <w:sz w:val="17"/>
                <w:szCs w:val="17"/>
                <w:color w:val="auto"/>
                <w:vertAlign w:val="superscript"/>
              </w:rPr>
              <w:t>(7)</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3"/>
                <w:szCs w:val="13"/>
                <w:color w:val="auto"/>
              </w:rPr>
              <w:t xml:space="preserve">Warrant (505,176 units) </w:t>
            </w:r>
            <w:r>
              <w:rPr>
                <w:rFonts w:ascii="Arial" w:cs="Arial" w:eastAsia="Arial" w:hAnsi="Arial"/>
                <w:sz w:val="20"/>
                <w:szCs w:val="20"/>
                <w:color w:val="auto"/>
                <w:vertAlign w:val="superscript"/>
              </w:rPr>
              <w:t>(7)</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15,464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14,871</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4"/>
                <w:szCs w:val="14"/>
                <w:i w:val="1"/>
                <w:iCs w:val="1"/>
                <w:color w:val="auto"/>
              </w:rPr>
              <w:t>Pfanstiehl, Inc.</w:t>
            </w:r>
          </w:p>
        </w:tc>
        <w:tc>
          <w:tcPr>
            <w:tcW w:w="1560" w:type="dxa"/>
            <w:vAlign w:val="bottom"/>
          </w:tcPr>
          <w:p>
            <w:pPr>
              <w:ind w:left="80"/>
              <w:spacing w:after="0"/>
              <w:rPr>
                <w:sz w:val="20"/>
                <w:szCs w:val="20"/>
                <w:color w:val="auto"/>
              </w:rPr>
            </w:pPr>
            <w:r>
              <w:rPr>
                <w:rFonts w:ascii="Arial" w:cs="Arial" w:eastAsia="Arial" w:hAnsi="Arial"/>
                <w:sz w:val="14"/>
                <w:szCs w:val="14"/>
                <w:color w:val="auto"/>
              </w:rPr>
              <w:t>Healthcare Products</w:t>
            </w:r>
          </w:p>
        </w:tc>
        <w:tc>
          <w:tcPr>
            <w:tcW w:w="2380" w:type="dxa"/>
            <w:vAlign w:val="bottom"/>
          </w:tcPr>
          <w:p>
            <w:pPr>
              <w:ind w:left="100"/>
              <w:spacing w:after="0"/>
              <w:rPr>
                <w:sz w:val="20"/>
                <w:szCs w:val="20"/>
                <w:color w:val="auto"/>
              </w:rPr>
            </w:pPr>
            <w:r>
              <w:rPr>
                <w:rFonts w:ascii="Arial" w:cs="Arial" w:eastAsia="Arial" w:hAnsi="Arial"/>
                <w:sz w:val="14"/>
                <w:szCs w:val="14"/>
                <w:color w:val="auto"/>
              </w:rPr>
              <w:t>Subordinated Note</w:t>
            </w:r>
          </w:p>
        </w:tc>
        <w:tc>
          <w:tcPr>
            <w:tcW w:w="920" w:type="dxa"/>
            <w:vAlign w:val="bottom"/>
            <w:gridSpan w:val="2"/>
          </w:tcPr>
          <w:p>
            <w:pPr>
              <w:jc w:val="right"/>
              <w:ind w:right="32"/>
              <w:spacing w:after="0"/>
              <w:rPr>
                <w:sz w:val="20"/>
                <w:szCs w:val="20"/>
                <w:color w:val="auto"/>
              </w:rPr>
            </w:pPr>
            <w:r>
              <w:rPr>
                <w:rFonts w:ascii="Arial" w:cs="Arial" w:eastAsia="Arial" w:hAnsi="Arial"/>
                <w:sz w:val="14"/>
                <w:szCs w:val="14"/>
                <w:color w:val="auto"/>
              </w:rPr>
              <w:t>12.0%/1.5%</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9/29/2018</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6,208</w:t>
            </w:r>
          </w:p>
        </w:tc>
        <w:tc>
          <w:tcPr>
            <w:tcW w:w="460" w:type="dxa"/>
            <w:vAlign w:val="bottom"/>
          </w:tcPr>
          <w:p>
            <w:pPr>
              <w:jc w:val="right"/>
              <w:spacing w:after="0"/>
              <w:rPr>
                <w:sz w:val="20"/>
                <w:szCs w:val="20"/>
                <w:color w:val="auto"/>
              </w:rPr>
            </w:pPr>
            <w:r>
              <w:rPr>
                <w:rFonts w:ascii="Arial" w:cs="Arial" w:eastAsia="Arial" w:hAnsi="Arial"/>
                <w:sz w:val="14"/>
                <w:szCs w:val="14"/>
                <w:color w:val="auto"/>
              </w:rPr>
              <w:t>6,168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6,208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380" w:type="dxa"/>
            <w:vAlign w:val="bottom"/>
          </w:tcPr>
          <w:p>
            <w:pPr>
              <w:ind w:left="100"/>
              <w:spacing w:after="0" w:line="176" w:lineRule="exact"/>
              <w:rPr>
                <w:sz w:val="20"/>
                <w:szCs w:val="20"/>
                <w:color w:val="auto"/>
              </w:rPr>
            </w:pPr>
            <w:r>
              <w:rPr>
                <w:rFonts w:ascii="Arial" w:cs="Arial" w:eastAsia="Arial" w:hAnsi="Arial"/>
                <w:sz w:val="13"/>
                <w:szCs w:val="13"/>
                <w:color w:val="auto"/>
              </w:rPr>
              <w:t xml:space="preserve">Common Equity (8,500 units) </w:t>
            </w:r>
            <w:r>
              <w:rPr>
                <w:rFonts w:ascii="Arial" w:cs="Arial" w:eastAsia="Arial" w:hAnsi="Arial"/>
                <w:sz w:val="20"/>
                <w:szCs w:val="20"/>
                <w:color w:val="auto"/>
                <w:vertAlign w:val="superscript"/>
              </w:rPr>
              <w:t>(9)</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9,296</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8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Safety Products Group, LLC</w:t>
            </w:r>
          </w:p>
        </w:tc>
        <w:tc>
          <w:tcPr>
            <w:tcW w:w="1560" w:type="dxa"/>
            <w:vAlign w:val="bottom"/>
            <w:shd w:val="clear" w:color="auto" w:fill="CCEEFF"/>
          </w:tcPr>
          <w:p>
            <w:pPr>
              <w:ind w:left="80"/>
              <w:spacing w:after="0" w:line="122" w:lineRule="exact"/>
              <w:rPr>
                <w:sz w:val="20"/>
                <w:szCs w:val="20"/>
                <w:color w:val="auto"/>
              </w:rPr>
            </w:pPr>
            <w:r>
              <w:rPr>
                <w:rFonts w:ascii="Arial" w:cs="Arial" w:eastAsia="Arial" w:hAnsi="Arial"/>
                <w:sz w:val="14"/>
                <w:szCs w:val="14"/>
                <w:color w:val="auto"/>
              </w:rPr>
              <w:t>Safety Products</w:t>
            </w:r>
          </w:p>
        </w:tc>
        <w:tc>
          <w:tcPr>
            <w:tcW w:w="238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Subordinated Note</w:t>
            </w:r>
          </w:p>
        </w:tc>
        <w:tc>
          <w:tcPr>
            <w:tcW w:w="920" w:type="dxa"/>
            <w:vAlign w:val="bottom"/>
            <w:gridSpan w:val="2"/>
            <w:shd w:val="clear" w:color="auto" w:fill="CCEEFF"/>
          </w:tcPr>
          <w:p>
            <w:pPr>
              <w:jc w:val="right"/>
              <w:ind w:right="32"/>
              <w:spacing w:after="0" w:line="122" w:lineRule="exact"/>
              <w:rPr>
                <w:sz w:val="20"/>
                <w:szCs w:val="20"/>
                <w:color w:val="auto"/>
              </w:rPr>
            </w:pPr>
            <w:r>
              <w:rPr>
                <w:rFonts w:ascii="Arial" w:cs="Arial" w:eastAsia="Arial" w:hAnsi="Arial"/>
                <w:sz w:val="14"/>
                <w:szCs w:val="14"/>
                <w:color w:val="auto"/>
              </w:rPr>
              <w:t>12.0%/1.5%</w:t>
            </w:r>
          </w:p>
        </w:tc>
        <w:tc>
          <w:tcPr>
            <w:tcW w:w="8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w w:val="99"/>
              </w:rPr>
              <w:t>12/30/2018</w:t>
            </w:r>
          </w:p>
        </w:tc>
        <w:tc>
          <w:tcPr>
            <w:tcW w:w="780" w:type="dxa"/>
            <w:vAlign w:val="bottom"/>
            <w:shd w:val="clear" w:color="auto" w:fill="CCEEFF"/>
          </w:tcPr>
          <w:p>
            <w:pPr>
              <w:jc w:val="right"/>
              <w:ind w:right="92"/>
              <w:spacing w:after="0" w:line="122" w:lineRule="exact"/>
              <w:rPr>
                <w:sz w:val="20"/>
                <w:szCs w:val="20"/>
                <w:color w:val="auto"/>
              </w:rPr>
            </w:pPr>
            <w:r>
              <w:rPr>
                <w:rFonts w:ascii="Arial" w:cs="Arial" w:eastAsia="Arial" w:hAnsi="Arial"/>
                <w:sz w:val="14"/>
                <w:szCs w:val="14"/>
                <w:color w:val="auto"/>
              </w:rPr>
              <w:t>10,000</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9,965</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Manufacturing</w:t>
            </w:r>
          </w:p>
        </w:tc>
        <w:tc>
          <w:tcPr>
            <w:tcW w:w="2380" w:type="dxa"/>
            <w:vAlign w:val="bottom"/>
            <w:shd w:val="clear" w:color="auto" w:fill="CCEEFF"/>
          </w:tcPr>
          <w:p>
            <w:pPr>
              <w:ind w:left="100"/>
              <w:spacing w:after="0" w:line="162" w:lineRule="exact"/>
              <w:rPr>
                <w:sz w:val="20"/>
                <w:szCs w:val="20"/>
                <w:color w:val="auto"/>
              </w:rPr>
            </w:pPr>
            <w:r>
              <w:rPr>
                <w:rFonts w:ascii="Arial" w:cs="Arial" w:eastAsia="Arial" w:hAnsi="Arial"/>
                <w:sz w:val="12"/>
                <w:szCs w:val="12"/>
                <w:color w:val="auto"/>
              </w:rPr>
              <w:t xml:space="preserve">Preferred Equity (749 units) </w:t>
            </w:r>
            <w:r>
              <w:rPr>
                <w:rFonts w:ascii="Arial" w:cs="Arial" w:eastAsia="Arial" w:hAnsi="Arial"/>
                <w:sz w:val="18"/>
                <w:szCs w:val="18"/>
                <w:color w:val="auto"/>
                <w:vertAlign w:val="superscript"/>
              </w:rPr>
              <w:t>(7) (9)</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380" w:type="dxa"/>
            <w:vAlign w:val="bottom"/>
            <w:shd w:val="clear" w:color="auto" w:fill="CCEEFF"/>
          </w:tcPr>
          <w:p>
            <w:pPr>
              <w:ind w:left="100"/>
              <w:spacing w:after="0" w:line="189" w:lineRule="exact"/>
              <w:rPr>
                <w:sz w:val="20"/>
                <w:szCs w:val="20"/>
                <w:color w:val="auto"/>
              </w:rPr>
            </w:pPr>
            <w:r>
              <w:rPr>
                <w:rFonts w:ascii="Arial" w:cs="Arial" w:eastAsia="Arial" w:hAnsi="Arial"/>
                <w:sz w:val="13"/>
                <w:szCs w:val="13"/>
                <w:color w:val="auto"/>
              </w:rPr>
              <w:t xml:space="preserve">Common Equity (676 units) </w:t>
            </w:r>
            <w:r>
              <w:rPr>
                <w:rFonts w:ascii="Arial" w:cs="Arial" w:eastAsia="Arial" w:hAnsi="Arial"/>
                <w:sz w:val="21"/>
                <w:szCs w:val="21"/>
                <w:color w:val="auto"/>
                <w:vertAlign w:val="superscript"/>
              </w:rPr>
              <w:t>(7) (9)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10,715</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10,812</w:t>
            </w: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4"/>
                <w:szCs w:val="14"/>
                <w:i w:val="1"/>
                <w:iCs w:val="1"/>
                <w:color w:val="auto"/>
              </w:rPr>
              <w:t>Trantech Radiator Products, Inc.</w:t>
            </w:r>
          </w:p>
        </w:tc>
        <w:tc>
          <w:tcPr>
            <w:tcW w:w="1560" w:type="dxa"/>
            <w:vAlign w:val="bottom"/>
          </w:tcPr>
          <w:p>
            <w:pPr>
              <w:ind w:left="80"/>
              <w:spacing w:after="0"/>
              <w:rPr>
                <w:sz w:val="20"/>
                <w:szCs w:val="20"/>
                <w:color w:val="auto"/>
              </w:rPr>
            </w:pPr>
            <w:r>
              <w:rPr>
                <w:rFonts w:ascii="Arial" w:cs="Arial" w:eastAsia="Arial" w:hAnsi="Arial"/>
                <w:sz w:val="14"/>
                <w:szCs w:val="14"/>
                <w:color w:val="auto"/>
              </w:rPr>
              <w:t>Utility Equipment</w:t>
            </w:r>
          </w:p>
        </w:tc>
        <w:tc>
          <w:tcPr>
            <w:tcW w:w="2380" w:type="dxa"/>
            <w:vAlign w:val="bottom"/>
          </w:tcPr>
          <w:p>
            <w:pPr>
              <w:ind w:left="100"/>
              <w:spacing w:after="0" w:line="22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22"/>
                <w:szCs w:val="22"/>
                <w:color w:val="auto"/>
                <w:vertAlign w:val="superscript"/>
              </w:rPr>
              <w:t>(9)</w:t>
            </w:r>
          </w:p>
        </w:tc>
        <w:tc>
          <w:tcPr>
            <w:tcW w:w="920" w:type="dxa"/>
            <w:vAlign w:val="bottom"/>
            <w:gridSpan w:val="2"/>
          </w:tcPr>
          <w:p>
            <w:pPr>
              <w:jc w:val="right"/>
              <w:ind w:right="32"/>
              <w:spacing w:after="0"/>
              <w:rPr>
                <w:sz w:val="20"/>
                <w:szCs w:val="20"/>
                <w:color w:val="auto"/>
              </w:rPr>
            </w:pPr>
            <w:r>
              <w:rPr>
                <w:rFonts w:ascii="Arial" w:cs="Arial" w:eastAsia="Arial" w:hAnsi="Arial"/>
                <w:sz w:val="14"/>
                <w:szCs w:val="14"/>
                <w:color w:val="auto"/>
              </w:rPr>
              <w:t>12.0%/1.8%</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5/4/2017</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9,518</w:t>
            </w:r>
          </w:p>
        </w:tc>
        <w:tc>
          <w:tcPr>
            <w:tcW w:w="460" w:type="dxa"/>
            <w:vAlign w:val="bottom"/>
          </w:tcPr>
          <w:p>
            <w:pPr>
              <w:jc w:val="right"/>
              <w:spacing w:after="0"/>
              <w:rPr>
                <w:sz w:val="20"/>
                <w:szCs w:val="20"/>
                <w:color w:val="auto"/>
              </w:rPr>
            </w:pPr>
            <w:r>
              <w:rPr>
                <w:rFonts w:ascii="Arial" w:cs="Arial" w:eastAsia="Arial" w:hAnsi="Arial"/>
                <w:sz w:val="14"/>
                <w:szCs w:val="14"/>
                <w:color w:val="auto"/>
              </w:rPr>
              <w:t>9,498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9,518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60" w:type="dxa"/>
            <w:vAlign w:val="bottom"/>
          </w:tcPr>
          <w:p>
            <w:pPr>
              <w:ind w:left="80"/>
              <w:spacing w:after="0"/>
              <w:rPr>
                <w:sz w:val="20"/>
                <w:szCs w:val="20"/>
                <w:color w:val="auto"/>
              </w:rPr>
            </w:pPr>
            <w:r>
              <w:rPr>
                <w:rFonts w:ascii="Arial" w:cs="Arial" w:eastAsia="Arial" w:hAnsi="Arial"/>
                <w:sz w:val="14"/>
                <w:szCs w:val="14"/>
                <w:color w:val="auto"/>
              </w:rPr>
              <w:t>Manufacturing</w:t>
            </w:r>
          </w:p>
        </w:tc>
        <w:tc>
          <w:tcPr>
            <w:tcW w:w="2380" w:type="dxa"/>
            <w:vAlign w:val="bottom"/>
          </w:tcPr>
          <w:p>
            <w:pPr>
              <w:ind w:left="100"/>
              <w:spacing w:after="0" w:line="189" w:lineRule="exact"/>
              <w:rPr>
                <w:sz w:val="20"/>
                <w:szCs w:val="20"/>
                <w:color w:val="auto"/>
              </w:rPr>
            </w:pPr>
            <w:r>
              <w:rPr>
                <w:rFonts w:ascii="Arial" w:cs="Arial" w:eastAsia="Arial" w:hAnsi="Arial"/>
                <w:sz w:val="13"/>
                <w:szCs w:val="13"/>
                <w:color w:val="auto"/>
              </w:rPr>
              <w:t xml:space="preserve">Common Equity (6,875 shares) </w:t>
            </w:r>
            <w:r>
              <w:rPr>
                <w:rFonts w:ascii="Arial" w:cs="Arial" w:eastAsia="Arial" w:hAnsi="Arial"/>
                <w:sz w:val="21"/>
                <w:szCs w:val="21"/>
                <w:color w:val="auto"/>
                <w:vertAlign w:val="superscript"/>
              </w:rPr>
              <w:t>(9)</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10,186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10,480</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Westminster Cracker Company, Inc.</w:t>
            </w:r>
          </w:p>
        </w:tc>
        <w:tc>
          <w:tcPr>
            <w:tcW w:w="1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Specialty Cracker</w:t>
            </w:r>
          </w:p>
        </w:tc>
        <w:tc>
          <w:tcPr>
            <w:tcW w:w="2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Equity (95,798 units)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Manufacturing</w:t>
            </w:r>
          </w:p>
        </w:tc>
        <w:tc>
          <w:tcPr>
            <w:tcW w:w="23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(1,208,197 units)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1,208</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1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4"/>
                <w:szCs w:val="14"/>
                <w:i w:val="1"/>
                <w:iCs w:val="1"/>
                <w:color w:val="auto"/>
              </w:rPr>
              <w:t>World Wide Packaging, LLC</w:t>
            </w:r>
          </w:p>
        </w:tc>
        <w:tc>
          <w:tcPr>
            <w:tcW w:w="156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2380" w:type="dxa"/>
            <w:vAlign w:val="bottom"/>
          </w:tcPr>
          <w:p>
            <w:pPr>
              <w:ind w:left="100"/>
              <w:spacing w:after="0" w:line="229"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22"/>
                <w:szCs w:val="22"/>
                <w:color w:val="auto"/>
                <w:vertAlign w:val="superscript"/>
              </w:rPr>
              <w:t>(9)</w:t>
            </w:r>
          </w:p>
        </w:tc>
        <w:tc>
          <w:tcPr>
            <w:tcW w:w="920" w:type="dxa"/>
            <w:vAlign w:val="bottom"/>
            <w:gridSpan w:val="2"/>
          </w:tcPr>
          <w:p>
            <w:pPr>
              <w:jc w:val="right"/>
              <w:ind w:right="32"/>
              <w:spacing w:after="0"/>
              <w:rPr>
                <w:sz w:val="20"/>
                <w:szCs w:val="20"/>
                <w:color w:val="auto"/>
              </w:rPr>
            </w:pPr>
            <w:r>
              <w:rPr>
                <w:rFonts w:ascii="Arial" w:cs="Arial" w:eastAsia="Arial" w:hAnsi="Arial"/>
                <w:sz w:val="14"/>
                <w:szCs w:val="14"/>
                <w:color w:val="auto"/>
              </w:rPr>
              <w:t>12.0%/1.8%</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w w:val="99"/>
              </w:rPr>
              <w:t>10/26/2018</w:t>
            </w: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10,097</w:t>
            </w:r>
          </w:p>
        </w:tc>
        <w:tc>
          <w:tcPr>
            <w:tcW w:w="460" w:type="dxa"/>
            <w:vAlign w:val="bottom"/>
          </w:tcPr>
          <w:p>
            <w:pPr>
              <w:jc w:val="right"/>
              <w:spacing w:after="0"/>
              <w:rPr>
                <w:sz w:val="20"/>
                <w:szCs w:val="20"/>
                <w:color w:val="auto"/>
              </w:rPr>
            </w:pPr>
            <w:r>
              <w:rPr>
                <w:rFonts w:ascii="Arial" w:cs="Arial" w:eastAsia="Arial" w:hAnsi="Arial"/>
                <w:sz w:val="14"/>
                <w:szCs w:val="14"/>
                <w:color w:val="auto"/>
              </w:rPr>
              <w:t>10,063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10,097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380" w:type="dxa"/>
            <w:vAlign w:val="bottom"/>
          </w:tcPr>
          <w:p>
            <w:pPr>
              <w:ind w:left="100"/>
              <w:spacing w:after="0" w:line="176" w:lineRule="exact"/>
              <w:rPr>
                <w:sz w:val="20"/>
                <w:szCs w:val="20"/>
                <w:color w:val="auto"/>
              </w:rPr>
            </w:pPr>
            <w:r>
              <w:rPr>
                <w:rFonts w:ascii="Arial" w:cs="Arial" w:eastAsia="Arial" w:hAnsi="Arial"/>
                <w:sz w:val="13"/>
                <w:szCs w:val="13"/>
                <w:color w:val="auto"/>
                <w:w w:val="96"/>
              </w:rPr>
              <w:t xml:space="preserve">Common Equity (1,517,573 units) </w:t>
            </w:r>
            <w:r>
              <w:rPr>
                <w:rFonts w:ascii="Arial" w:cs="Arial" w:eastAsia="Arial" w:hAnsi="Arial"/>
                <w:sz w:val="20"/>
                <w:szCs w:val="20"/>
                <w:color w:val="auto"/>
                <w:w w:val="96"/>
                <w:vertAlign w:val="superscript"/>
              </w:rPr>
              <w:t>(7) (9)</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11,581</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11,612</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Affiliate Investments</w:t>
            </w:r>
          </w:p>
        </w:tc>
        <w:tc>
          <w:tcPr>
            <w:tcW w:w="15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81,979</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86,200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2"/>
                <w:szCs w:val="22"/>
                <w:b w:val="1"/>
                <w:bCs w:val="1"/>
                <w:color w:val="auto"/>
                <w:vertAlign w:val="superscript"/>
              </w:rPr>
              <w:t>(4)</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1720" w:type="dxa"/>
            <w:vAlign w:val="bottom"/>
          </w:tcPr>
          <w:p>
            <w:pPr>
              <w:spacing w:after="0"/>
              <w:rPr>
                <w:sz w:val="12"/>
                <w:szCs w:val="12"/>
                <w:color w:val="auto"/>
              </w:rPr>
            </w:pPr>
          </w:p>
        </w:tc>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Principal</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1"/>
        </w:trPr>
        <w:tc>
          <w:tcPr>
            <w:tcW w:w="2460" w:type="dxa"/>
            <w:vAlign w:val="bottom"/>
            <w:gridSpan w:val="2"/>
            <w:vMerge w:val="continue"/>
          </w:tcPr>
          <w:p>
            <w:pPr>
              <w:spacing w:after="0"/>
              <w:rPr>
                <w:sz w:val="14"/>
                <w:szCs w:val="14"/>
                <w:color w:val="auto"/>
              </w:rPr>
            </w:pPr>
          </w:p>
        </w:tc>
        <w:tc>
          <w:tcPr>
            <w:tcW w:w="1720" w:type="dxa"/>
            <w:vAlign w:val="bottom"/>
          </w:tcPr>
          <w:p>
            <w:pPr>
              <w:ind w:left="160"/>
              <w:spacing w:after="0"/>
              <w:rPr>
                <w:sz w:val="20"/>
                <w:szCs w:val="20"/>
                <w:color w:val="auto"/>
              </w:rPr>
            </w:pPr>
            <w:r>
              <w:rPr>
                <w:rFonts w:ascii="Arial" w:cs="Arial" w:eastAsia="Arial" w:hAnsi="Arial"/>
                <w:sz w:val="14"/>
                <w:szCs w:val="14"/>
                <w:b w:val="1"/>
                <w:bCs w:val="1"/>
                <w:color w:val="auto"/>
              </w:rPr>
              <w:t>Industry</w:t>
            </w:r>
          </w:p>
        </w:tc>
        <w:tc>
          <w:tcPr>
            <w:tcW w:w="2560" w:type="dxa"/>
            <w:vAlign w:val="bottom"/>
            <w:vMerge w:val="continue"/>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Cash/PIK</w:t>
            </w: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9"/>
        </w:trPr>
        <w:tc>
          <w:tcPr>
            <w:tcW w:w="2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720" w:type="dxa"/>
            <w:vAlign w:val="bottom"/>
            <w:tcBorders>
              <w:top w:val="single" w:sz="8" w:color="auto"/>
            </w:tcBorders>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tcPr>
          <w:p>
            <w:pPr>
              <w:ind w:left="200"/>
              <w:spacing w:after="0"/>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22"/>
                <w:szCs w:val="22"/>
                <w:b w:val="1"/>
                <w:bCs w:val="1"/>
                <w:color w:val="auto"/>
                <w:vertAlign w:val="superscript"/>
              </w:rPr>
              <w:t>(5)</w:t>
            </w:r>
          </w:p>
        </w:tc>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Acentia, LLC</w:t>
            </w:r>
          </w:p>
        </w:tc>
        <w:tc>
          <w:tcPr>
            <w:tcW w:w="1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Information</w:t>
            </w: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Units (499 units)</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243</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Technology Services</w:t>
            </w:r>
          </w:p>
        </w:tc>
        <w:tc>
          <w:tcPr>
            <w:tcW w:w="2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ACFP Management, Inc.</w:t>
            </w:r>
          </w:p>
        </w:tc>
        <w:tc>
          <w:tcPr>
            <w:tcW w:w="1720" w:type="dxa"/>
            <w:vAlign w:val="bottom"/>
          </w:tcPr>
          <w:p>
            <w:pPr>
              <w:ind w:left="160"/>
              <w:spacing w:after="0"/>
              <w:rPr>
                <w:sz w:val="20"/>
                <w:szCs w:val="20"/>
                <w:color w:val="auto"/>
              </w:rPr>
            </w:pPr>
            <w:r>
              <w:rPr>
                <w:rFonts w:ascii="Arial" w:cs="Arial" w:eastAsia="Arial" w:hAnsi="Arial"/>
                <w:sz w:val="14"/>
                <w:szCs w:val="14"/>
                <w:color w:val="auto"/>
              </w:rPr>
              <w:t>Restaurants</w:t>
            </w:r>
          </w:p>
        </w:tc>
        <w:tc>
          <w:tcPr>
            <w:tcW w:w="2560" w:type="dxa"/>
            <w:vAlign w:val="bottom"/>
          </w:tcPr>
          <w:p>
            <w:pPr>
              <w:spacing w:after="0"/>
              <w:rPr>
                <w:sz w:val="20"/>
                <w:szCs w:val="20"/>
                <w:color w:val="auto"/>
              </w:rPr>
            </w:pPr>
            <w:r>
              <w:rPr>
                <w:rFonts w:ascii="Arial" w:cs="Arial" w:eastAsia="Arial" w:hAnsi="Arial"/>
                <w:sz w:val="14"/>
                <w:szCs w:val="14"/>
                <w:color w:val="auto"/>
              </w:rPr>
              <w:t xml:space="preserve">Common Units (1,000,000 units) </w:t>
            </w:r>
            <w:r>
              <w:rPr>
                <w:rFonts w:ascii="Arial" w:cs="Arial" w:eastAsia="Arial" w:hAnsi="Arial"/>
                <w:sz w:val="22"/>
                <w:szCs w:val="22"/>
                <w:color w:val="auto"/>
                <w:vertAlign w:val="superscript"/>
              </w:rPr>
              <w:t>(9)</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1,091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1,587</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Allied 100 Group, Inc.</w:t>
            </w:r>
          </w:p>
        </w:tc>
        <w:tc>
          <w:tcPr>
            <w:tcW w:w="1720" w:type="dxa"/>
            <w:vAlign w:val="bottom"/>
            <w:shd w:val="clear" w:color="auto" w:fill="CCEEFF"/>
          </w:tcPr>
          <w:p>
            <w:pPr>
              <w:ind w:left="160"/>
              <w:spacing w:after="0" w:line="122" w:lineRule="exact"/>
              <w:rPr>
                <w:sz w:val="20"/>
                <w:szCs w:val="20"/>
                <w:color w:val="auto"/>
              </w:rPr>
            </w:pPr>
            <w:r>
              <w:rPr>
                <w:rFonts w:ascii="Arial" w:cs="Arial" w:eastAsia="Arial" w:hAnsi="Arial"/>
                <w:sz w:val="14"/>
                <w:szCs w:val="14"/>
                <w:color w:val="auto"/>
              </w:rPr>
              <w:t>Healthcare Products</w:t>
            </w:r>
          </w:p>
        </w:tc>
        <w:tc>
          <w:tcPr>
            <w:tcW w:w="256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Subordinated Note </w:t>
            </w:r>
            <w:r>
              <w:rPr>
                <w:rFonts w:ascii="Arial" w:cs="Arial" w:eastAsia="Arial" w:hAnsi="Arial"/>
                <w:sz w:val="14"/>
                <w:szCs w:val="14"/>
                <w:color w:val="auto"/>
                <w:vertAlign w:val="superscript"/>
              </w:rPr>
              <w:t>(10)</w:t>
            </w:r>
          </w:p>
        </w:tc>
        <w:tc>
          <w:tcPr>
            <w:tcW w:w="860" w:type="dxa"/>
            <w:vAlign w:val="bottom"/>
            <w:shd w:val="clear" w:color="auto" w:fill="CCEEFF"/>
          </w:tcPr>
          <w:p>
            <w:pPr>
              <w:jc w:val="right"/>
              <w:ind w:right="72"/>
              <w:spacing w:after="0" w:line="122" w:lineRule="exact"/>
              <w:rPr>
                <w:sz w:val="20"/>
                <w:szCs w:val="20"/>
                <w:color w:val="auto"/>
              </w:rPr>
            </w:pPr>
            <w:r>
              <w:rPr>
                <w:rFonts w:ascii="Arial" w:cs="Arial" w:eastAsia="Arial" w:hAnsi="Arial"/>
                <w:sz w:val="14"/>
                <w:szCs w:val="14"/>
                <w:color w:val="auto"/>
                <w:w w:val="92"/>
              </w:rPr>
              <w:t>11.5%/0.0%</w:t>
            </w:r>
          </w:p>
        </w:tc>
        <w:tc>
          <w:tcPr>
            <w:tcW w:w="840" w:type="dxa"/>
            <w:vAlign w:val="bottom"/>
            <w:shd w:val="clear" w:color="auto" w:fill="CCEEFF"/>
          </w:tcPr>
          <w:p>
            <w:pPr>
              <w:jc w:val="right"/>
              <w:ind w:right="32"/>
              <w:spacing w:after="0" w:line="122" w:lineRule="exact"/>
              <w:rPr>
                <w:sz w:val="20"/>
                <w:szCs w:val="20"/>
                <w:color w:val="auto"/>
              </w:rPr>
            </w:pPr>
            <w:r>
              <w:rPr>
                <w:rFonts w:ascii="Arial" w:cs="Arial" w:eastAsia="Arial" w:hAnsi="Arial"/>
                <w:sz w:val="14"/>
                <w:szCs w:val="14"/>
                <w:color w:val="auto"/>
              </w:rPr>
              <w:t>5/26/2020</w:t>
            </w:r>
          </w:p>
        </w:tc>
        <w:tc>
          <w:tcPr>
            <w:tcW w:w="880" w:type="dxa"/>
            <w:vAlign w:val="bottom"/>
            <w:shd w:val="clear" w:color="auto" w:fill="CCEEFF"/>
          </w:tcPr>
          <w:p>
            <w:pPr>
              <w:jc w:val="right"/>
              <w:ind w:right="152"/>
              <w:spacing w:after="0" w:line="122" w:lineRule="exact"/>
              <w:rPr>
                <w:sz w:val="20"/>
                <w:szCs w:val="20"/>
                <w:color w:val="auto"/>
              </w:rPr>
            </w:pPr>
            <w:r>
              <w:rPr>
                <w:rFonts w:ascii="Arial" w:cs="Arial" w:eastAsia="Arial" w:hAnsi="Arial"/>
                <w:sz w:val="14"/>
                <w:szCs w:val="14"/>
                <w:color w:val="auto"/>
              </w:rPr>
              <w:t>$  13,000</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w w:val="83"/>
              </w:rPr>
              <w:t>12,936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4"/>
                <w:szCs w:val="14"/>
                <w:color w:val="auto"/>
              </w:rPr>
              <w:t>12,936</w:t>
            </w: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2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3"/>
                <w:szCs w:val="13"/>
                <w:color w:val="auto"/>
              </w:rPr>
              <w:t xml:space="preserve">Common Equity (1,250,000 units) </w:t>
            </w:r>
            <w:r>
              <w:rPr>
                <w:rFonts w:ascii="Arial" w:cs="Arial" w:eastAsia="Arial" w:hAnsi="Arial"/>
                <w:sz w:val="20"/>
                <w:szCs w:val="20"/>
                <w:color w:val="auto"/>
                <w:vertAlign w:val="superscript"/>
              </w:rPr>
              <w:t>(9)</w:t>
            </w:r>
          </w:p>
        </w:tc>
        <w:tc>
          <w:tcPr>
            <w:tcW w:w="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14,186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14,186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Anatrace Products, LLC</w:t>
            </w:r>
          </w:p>
        </w:tc>
        <w:tc>
          <w:tcPr>
            <w:tcW w:w="1720" w:type="dxa"/>
            <w:vAlign w:val="bottom"/>
          </w:tcPr>
          <w:p>
            <w:pPr>
              <w:ind w:left="160"/>
              <w:spacing w:after="0"/>
              <w:rPr>
                <w:sz w:val="20"/>
                <w:szCs w:val="20"/>
                <w:color w:val="auto"/>
              </w:rPr>
            </w:pPr>
            <w:r>
              <w:rPr>
                <w:rFonts w:ascii="Arial" w:cs="Arial" w:eastAsia="Arial" w:hAnsi="Arial"/>
                <w:sz w:val="14"/>
                <w:szCs w:val="14"/>
                <w:color w:val="auto"/>
              </w:rPr>
              <w:t>Healthcare Products</w:t>
            </w:r>
          </w:p>
        </w:tc>
        <w:tc>
          <w:tcPr>
            <w:tcW w:w="2560" w:type="dxa"/>
            <w:vAlign w:val="bottom"/>
          </w:tcPr>
          <w:p>
            <w:pPr>
              <w:spacing w:after="0"/>
              <w:rPr>
                <w:sz w:val="20"/>
                <w:szCs w:val="20"/>
                <w:color w:val="auto"/>
              </w:rPr>
            </w:pPr>
            <w:r>
              <w:rPr>
                <w:rFonts w:ascii="Arial" w:cs="Arial" w:eastAsia="Arial" w:hAnsi="Arial"/>
                <w:sz w:val="14"/>
                <w:szCs w:val="14"/>
                <w:color w:val="auto"/>
              </w:rPr>
              <w:t>Senior Secured Loan</w:t>
            </w:r>
          </w:p>
        </w:tc>
        <w:tc>
          <w:tcPr>
            <w:tcW w:w="860" w:type="dxa"/>
            <w:vAlign w:val="bottom"/>
          </w:tcPr>
          <w:p>
            <w:pPr>
              <w:jc w:val="right"/>
              <w:ind w:right="72"/>
              <w:spacing w:after="0"/>
              <w:rPr>
                <w:sz w:val="20"/>
                <w:szCs w:val="20"/>
                <w:color w:val="auto"/>
              </w:rPr>
            </w:pPr>
            <w:r>
              <w:rPr>
                <w:rFonts w:ascii="Arial" w:cs="Arial" w:eastAsia="Arial" w:hAnsi="Arial"/>
                <w:sz w:val="14"/>
                <w:szCs w:val="14"/>
                <w:color w:val="auto"/>
                <w:w w:val="92"/>
              </w:rPr>
              <w:t>11.5%/1.5%</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10/11/2018</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9,500</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9,500</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1"/>
                <w:szCs w:val="11"/>
                <w:color w:val="auto"/>
              </w:rPr>
              <w:t xml:space="preserve">Revolving Loan ($500 commitment) </w:t>
            </w:r>
            <w:r>
              <w:rPr>
                <w:rFonts w:ascii="Arial" w:cs="Arial" w:eastAsia="Arial" w:hAnsi="Arial"/>
                <w:sz w:val="17"/>
                <w:szCs w:val="17"/>
                <w:color w:val="auto"/>
                <w:vertAlign w:val="superscript"/>
              </w:rPr>
              <w:t>(8)</w:t>
            </w:r>
          </w:p>
        </w:tc>
        <w:tc>
          <w:tcPr>
            <w:tcW w:w="8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N/A</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5"/>
              </w:rPr>
              <w:t>10/11/2018</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560" w:type="dxa"/>
            <w:vAlign w:val="bottom"/>
          </w:tcPr>
          <w:p>
            <w:pPr>
              <w:spacing w:after="0" w:line="176" w:lineRule="exact"/>
              <w:rPr>
                <w:sz w:val="20"/>
                <w:szCs w:val="20"/>
                <w:color w:val="auto"/>
              </w:rPr>
            </w:pPr>
            <w:r>
              <w:rPr>
                <w:rFonts w:ascii="Arial" w:cs="Arial" w:eastAsia="Arial" w:hAnsi="Arial"/>
                <w:sz w:val="13"/>
                <w:szCs w:val="13"/>
                <w:color w:val="auto"/>
              </w:rPr>
              <w:t xml:space="preserve">Common Equity (360,000 shares) </w:t>
            </w:r>
            <w:r>
              <w:rPr>
                <w:rFonts w:ascii="Arial" w:cs="Arial" w:eastAsia="Arial" w:hAnsi="Arial"/>
                <w:sz w:val="20"/>
                <w:szCs w:val="20"/>
                <w:color w:val="auto"/>
                <w:vertAlign w:val="superscript"/>
              </w:rPr>
              <w:t>(9)</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9,827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10,018</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Brook &amp; Whittle Limited</w:t>
            </w:r>
          </w:p>
        </w:tc>
        <w:tc>
          <w:tcPr>
            <w:tcW w:w="1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Printing Services</w:t>
            </w: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8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2"/>
              </w:rPr>
              <w:t>12.0%/4.8%</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12/31/2016</w:t>
            </w:r>
          </w:p>
        </w:tc>
        <w:tc>
          <w:tcPr>
            <w:tcW w:w="8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7,297</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7,272</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8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2"/>
              </w:rPr>
              <w:t>12.0%/2.0%</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12/31/2016</w:t>
            </w:r>
          </w:p>
        </w:tc>
        <w:tc>
          <w:tcPr>
            <w:tcW w:w="8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2,250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2,153</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(1,051 shares)</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Equity - Series A (148 shares)</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25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Common Equity - Series D (527 shares)</w:t>
            </w:r>
          </w:p>
        </w:tc>
        <w:tc>
          <w:tcPr>
            <w:tcW w:w="8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9,995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9,650</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6"/>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Caldwell &amp; Gregory, LLC</w:t>
            </w:r>
          </w:p>
        </w:tc>
        <w:tc>
          <w:tcPr>
            <w:tcW w:w="1720" w:type="dxa"/>
            <w:vAlign w:val="bottom"/>
          </w:tcPr>
          <w:p>
            <w:pPr>
              <w:ind w:left="160"/>
              <w:spacing w:after="0"/>
              <w:rPr>
                <w:sz w:val="20"/>
                <w:szCs w:val="20"/>
                <w:color w:val="auto"/>
              </w:rPr>
            </w:pPr>
            <w:r>
              <w:rPr>
                <w:rFonts w:ascii="Arial" w:cs="Arial" w:eastAsia="Arial" w:hAnsi="Arial"/>
                <w:sz w:val="14"/>
                <w:szCs w:val="14"/>
                <w:color w:val="auto"/>
              </w:rPr>
              <w:t>Laundry Services</w:t>
            </w:r>
          </w:p>
        </w:tc>
        <w:tc>
          <w:tcPr>
            <w:tcW w:w="2560" w:type="dxa"/>
            <w:vAlign w:val="bottom"/>
          </w:tcPr>
          <w:p>
            <w:pPr>
              <w:spacing w:after="0"/>
              <w:rPr>
                <w:sz w:val="20"/>
                <w:szCs w:val="20"/>
                <w:color w:val="auto"/>
              </w:rPr>
            </w:pPr>
            <w:r>
              <w:rPr>
                <w:rFonts w:ascii="Arial" w:cs="Arial" w:eastAsia="Arial" w:hAnsi="Arial"/>
                <w:sz w:val="14"/>
                <w:szCs w:val="14"/>
                <w:color w:val="auto"/>
              </w:rPr>
              <w:t>Subordinated Note</w:t>
            </w:r>
          </w:p>
        </w:tc>
        <w:tc>
          <w:tcPr>
            <w:tcW w:w="860" w:type="dxa"/>
            <w:vAlign w:val="bottom"/>
          </w:tcPr>
          <w:p>
            <w:pPr>
              <w:jc w:val="right"/>
              <w:ind w:right="72"/>
              <w:spacing w:after="0"/>
              <w:rPr>
                <w:sz w:val="20"/>
                <w:szCs w:val="20"/>
                <w:color w:val="auto"/>
              </w:rPr>
            </w:pPr>
            <w:r>
              <w:rPr>
                <w:rFonts w:ascii="Arial" w:cs="Arial" w:eastAsia="Arial" w:hAnsi="Arial"/>
                <w:sz w:val="14"/>
                <w:szCs w:val="14"/>
                <w:color w:val="auto"/>
                <w:w w:val="92"/>
              </w:rPr>
              <w:t>11.5%/1.0%</w:t>
            </w: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11/30/2018</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1,524</w:t>
            </w:r>
          </w:p>
        </w:tc>
        <w:tc>
          <w:tcPr>
            <w:tcW w:w="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1,502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1,524</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560" w:type="dxa"/>
            <w:vAlign w:val="bottom"/>
          </w:tcPr>
          <w:p>
            <w:pPr>
              <w:spacing w:after="0" w:line="133" w:lineRule="exact"/>
              <w:rPr>
                <w:sz w:val="20"/>
                <w:szCs w:val="20"/>
                <w:color w:val="auto"/>
              </w:rPr>
            </w:pPr>
            <w:r>
              <w:rPr>
                <w:rFonts w:ascii="Arial" w:cs="Arial" w:eastAsia="Arial" w:hAnsi="Arial"/>
                <w:sz w:val="14"/>
                <w:szCs w:val="14"/>
                <w:color w:val="auto"/>
              </w:rPr>
              <w:t>Subordinated Note</w:t>
            </w:r>
          </w:p>
        </w:tc>
        <w:tc>
          <w:tcPr>
            <w:tcW w:w="860" w:type="dxa"/>
            <w:vAlign w:val="bottom"/>
          </w:tcPr>
          <w:p>
            <w:pPr>
              <w:jc w:val="right"/>
              <w:ind w:right="72"/>
              <w:spacing w:after="0" w:line="133" w:lineRule="exact"/>
              <w:rPr>
                <w:sz w:val="20"/>
                <w:szCs w:val="20"/>
                <w:color w:val="auto"/>
              </w:rPr>
            </w:pPr>
            <w:r>
              <w:rPr>
                <w:rFonts w:ascii="Arial" w:cs="Arial" w:eastAsia="Arial" w:hAnsi="Arial"/>
                <w:sz w:val="14"/>
                <w:szCs w:val="14"/>
                <w:color w:val="auto"/>
                <w:w w:val="92"/>
              </w:rPr>
              <w:t>0.0%/12.0%</w:t>
            </w:r>
          </w:p>
        </w:tc>
        <w:tc>
          <w:tcPr>
            <w:tcW w:w="840" w:type="dxa"/>
            <w:vAlign w:val="bottom"/>
          </w:tcPr>
          <w:p>
            <w:pPr>
              <w:jc w:val="center"/>
              <w:spacing w:after="0" w:line="133" w:lineRule="exact"/>
              <w:rPr>
                <w:sz w:val="20"/>
                <w:szCs w:val="20"/>
                <w:color w:val="auto"/>
              </w:rPr>
            </w:pPr>
            <w:r>
              <w:rPr>
                <w:rFonts w:ascii="Arial" w:cs="Arial" w:eastAsia="Arial" w:hAnsi="Arial"/>
                <w:sz w:val="14"/>
                <w:szCs w:val="14"/>
                <w:color w:val="auto"/>
                <w:w w:val="86"/>
              </w:rPr>
              <w:t>5/31/2019</w:t>
            </w:r>
          </w:p>
        </w:tc>
        <w:tc>
          <w:tcPr>
            <w:tcW w:w="880" w:type="dxa"/>
            <w:vAlign w:val="bottom"/>
          </w:tcPr>
          <w:p>
            <w:pPr>
              <w:jc w:val="right"/>
              <w:ind w:right="152"/>
              <w:spacing w:after="0" w:line="133" w:lineRule="exact"/>
              <w:rPr>
                <w:sz w:val="20"/>
                <w:szCs w:val="20"/>
                <w:color w:val="auto"/>
              </w:rPr>
            </w:pPr>
            <w:r>
              <w:rPr>
                <w:rFonts w:ascii="Arial" w:cs="Arial" w:eastAsia="Arial" w:hAnsi="Arial"/>
                <w:sz w:val="14"/>
                <w:szCs w:val="14"/>
                <w:color w:val="auto"/>
              </w:rPr>
              <w:t>3,618</w:t>
            </w:r>
          </w:p>
        </w:tc>
        <w:tc>
          <w:tcPr>
            <w:tcW w:w="6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4"/>
                <w:szCs w:val="14"/>
                <w:color w:val="auto"/>
              </w:rPr>
              <w:t>3,394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40"/>
              <w:spacing w:after="0" w:line="133" w:lineRule="exact"/>
              <w:rPr>
                <w:sz w:val="20"/>
                <w:szCs w:val="20"/>
                <w:color w:val="auto"/>
              </w:rPr>
            </w:pPr>
            <w:r>
              <w:rPr>
                <w:rFonts w:ascii="Arial" w:cs="Arial" w:eastAsia="Arial" w:hAnsi="Arial"/>
                <w:sz w:val="14"/>
                <w:szCs w:val="14"/>
                <w:color w:val="auto"/>
              </w:rPr>
              <w:t>3,618</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1"/>
                <w:szCs w:val="11"/>
                <w:color w:val="auto"/>
              </w:rPr>
              <w:t xml:space="preserve">Common Equity (500,000 units) </w:t>
            </w:r>
            <w:r>
              <w:rPr>
                <w:rFonts w:ascii="Arial" w:cs="Arial" w:eastAsia="Arial" w:hAnsi="Arial"/>
                <w:sz w:val="17"/>
                <w:szCs w:val="17"/>
                <w:color w:val="auto"/>
                <w:vertAlign w:val="superscript"/>
              </w:rPr>
              <w:t>(7)</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568</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560" w:type="dxa"/>
            <w:vAlign w:val="bottom"/>
          </w:tcPr>
          <w:p>
            <w:pPr>
              <w:spacing w:after="0" w:line="176" w:lineRule="exact"/>
              <w:rPr>
                <w:sz w:val="20"/>
                <w:szCs w:val="20"/>
                <w:color w:val="auto"/>
              </w:rPr>
            </w:pPr>
            <w:r>
              <w:rPr>
                <w:rFonts w:ascii="Arial" w:cs="Arial" w:eastAsia="Arial" w:hAnsi="Arial"/>
                <w:sz w:val="13"/>
                <w:szCs w:val="13"/>
                <w:color w:val="auto"/>
              </w:rPr>
              <w:t xml:space="preserve">Warrant (242,121 units) </w:t>
            </w:r>
            <w:r>
              <w:rPr>
                <w:rFonts w:ascii="Arial" w:cs="Arial" w:eastAsia="Arial" w:hAnsi="Arial"/>
                <w:sz w:val="20"/>
                <w:szCs w:val="20"/>
                <w:color w:val="auto"/>
                <w:vertAlign w:val="superscript"/>
              </w:rPr>
              <w:t>(7)</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5,638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5,985</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Carlson Systems Holdings, Inc.</w:t>
            </w:r>
          </w:p>
        </w:tc>
        <w:tc>
          <w:tcPr>
            <w:tcW w:w="1720" w:type="dxa"/>
            <w:vAlign w:val="bottom"/>
            <w:shd w:val="clear" w:color="auto" w:fill="CCEEFF"/>
          </w:tcPr>
          <w:p>
            <w:pPr>
              <w:ind w:left="160"/>
              <w:spacing w:after="0" w:line="122" w:lineRule="exact"/>
              <w:rPr>
                <w:sz w:val="20"/>
                <w:szCs w:val="20"/>
                <w:color w:val="auto"/>
              </w:rPr>
            </w:pPr>
            <w:r>
              <w:rPr>
                <w:rFonts w:ascii="Arial" w:cs="Arial" w:eastAsia="Arial" w:hAnsi="Arial"/>
                <w:sz w:val="14"/>
                <w:szCs w:val="14"/>
                <w:color w:val="auto"/>
              </w:rPr>
              <w:t>Specialty Distribution</w:t>
            </w:r>
          </w:p>
        </w:tc>
        <w:tc>
          <w:tcPr>
            <w:tcW w:w="256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Subordinated Note </w:t>
            </w:r>
            <w:r>
              <w:rPr>
                <w:rFonts w:ascii="Arial" w:cs="Arial" w:eastAsia="Arial" w:hAnsi="Arial"/>
                <w:sz w:val="14"/>
                <w:szCs w:val="14"/>
                <w:color w:val="auto"/>
                <w:vertAlign w:val="superscript"/>
              </w:rPr>
              <w:t>(10)</w:t>
            </w:r>
          </w:p>
        </w:tc>
        <w:tc>
          <w:tcPr>
            <w:tcW w:w="860" w:type="dxa"/>
            <w:vAlign w:val="bottom"/>
            <w:shd w:val="clear" w:color="auto" w:fill="CCEEFF"/>
          </w:tcPr>
          <w:p>
            <w:pPr>
              <w:jc w:val="right"/>
              <w:ind w:right="72"/>
              <w:spacing w:after="0" w:line="122" w:lineRule="exact"/>
              <w:rPr>
                <w:sz w:val="20"/>
                <w:szCs w:val="20"/>
                <w:color w:val="auto"/>
              </w:rPr>
            </w:pPr>
            <w:r>
              <w:rPr>
                <w:rFonts w:ascii="Arial" w:cs="Arial" w:eastAsia="Arial" w:hAnsi="Arial"/>
                <w:sz w:val="14"/>
                <w:szCs w:val="14"/>
                <w:color w:val="auto"/>
                <w:w w:val="92"/>
              </w:rPr>
              <w:t>11.5%/0.0%</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6"/>
              </w:rPr>
              <w:t>5/20/2020</w:t>
            </w:r>
          </w:p>
        </w:tc>
        <w:tc>
          <w:tcPr>
            <w:tcW w:w="880" w:type="dxa"/>
            <w:vAlign w:val="bottom"/>
            <w:shd w:val="clear" w:color="auto" w:fill="CCEEFF"/>
          </w:tcPr>
          <w:p>
            <w:pPr>
              <w:jc w:val="right"/>
              <w:ind w:right="152"/>
              <w:spacing w:after="0" w:line="122" w:lineRule="exact"/>
              <w:rPr>
                <w:sz w:val="20"/>
                <w:szCs w:val="20"/>
                <w:color w:val="auto"/>
              </w:rPr>
            </w:pPr>
            <w:r>
              <w:rPr>
                <w:rFonts w:ascii="Arial" w:cs="Arial" w:eastAsia="Arial" w:hAnsi="Arial"/>
                <w:sz w:val="14"/>
                <w:szCs w:val="14"/>
                <w:color w:val="auto"/>
              </w:rPr>
              <w:t>12,000</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w w:val="83"/>
              </w:rPr>
              <w:t>11,941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4"/>
                <w:szCs w:val="14"/>
                <w:color w:val="auto"/>
              </w:rPr>
              <w:t>11,941</w:t>
            </w: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2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3"/>
                <w:szCs w:val="13"/>
                <w:color w:val="auto"/>
              </w:rPr>
              <w:t xml:space="preserve">Common Equity (7,500 units) </w:t>
            </w:r>
            <w:r>
              <w:rPr>
                <w:rFonts w:ascii="Arial" w:cs="Arial" w:eastAsia="Arial" w:hAnsi="Arial"/>
                <w:sz w:val="20"/>
                <w:szCs w:val="20"/>
                <w:color w:val="auto"/>
                <w:vertAlign w:val="superscript"/>
              </w:rPr>
              <w:t>(9)</w:t>
            </w:r>
          </w:p>
        </w:tc>
        <w:tc>
          <w:tcPr>
            <w:tcW w:w="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83"/>
              </w:rPr>
              <w:t>12,691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12,691</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Channel Technologies Group, LLC</w:t>
            </w:r>
          </w:p>
        </w:tc>
        <w:tc>
          <w:tcPr>
            <w:tcW w:w="1720" w:type="dxa"/>
            <w:vAlign w:val="bottom"/>
          </w:tcPr>
          <w:p>
            <w:pPr>
              <w:ind w:left="160"/>
              <w:spacing w:after="0"/>
              <w:rPr>
                <w:sz w:val="20"/>
                <w:szCs w:val="20"/>
                <w:color w:val="auto"/>
              </w:rPr>
            </w:pPr>
            <w:r>
              <w:rPr>
                <w:rFonts w:ascii="Arial" w:cs="Arial" w:eastAsia="Arial" w:hAnsi="Arial"/>
                <w:sz w:val="14"/>
                <w:szCs w:val="14"/>
                <w:color w:val="auto"/>
              </w:rPr>
              <w:t>Component</w:t>
            </w:r>
          </w:p>
        </w:tc>
        <w:tc>
          <w:tcPr>
            <w:tcW w:w="2560" w:type="dxa"/>
            <w:vAlign w:val="bottom"/>
          </w:tcPr>
          <w:p>
            <w:pPr>
              <w:spacing w:after="0"/>
              <w:rPr>
                <w:sz w:val="20"/>
                <w:szCs w:val="20"/>
                <w:color w:val="auto"/>
              </w:rPr>
            </w:pPr>
            <w:r>
              <w:rPr>
                <w:rFonts w:ascii="Arial" w:cs="Arial" w:eastAsia="Arial" w:hAnsi="Arial"/>
                <w:sz w:val="14"/>
                <w:szCs w:val="14"/>
                <w:color w:val="auto"/>
              </w:rPr>
              <w:t>Subordinated Note</w:t>
            </w:r>
          </w:p>
        </w:tc>
        <w:tc>
          <w:tcPr>
            <w:tcW w:w="860" w:type="dxa"/>
            <w:vAlign w:val="bottom"/>
          </w:tcPr>
          <w:p>
            <w:pPr>
              <w:jc w:val="right"/>
              <w:ind w:right="72"/>
              <w:spacing w:after="0"/>
              <w:rPr>
                <w:sz w:val="20"/>
                <w:szCs w:val="20"/>
                <w:color w:val="auto"/>
              </w:rPr>
            </w:pPr>
            <w:r>
              <w:rPr>
                <w:rFonts w:ascii="Arial" w:cs="Arial" w:eastAsia="Arial" w:hAnsi="Arial"/>
                <w:sz w:val="14"/>
                <w:szCs w:val="14"/>
                <w:color w:val="auto"/>
                <w:w w:val="92"/>
              </w:rPr>
              <w:t>11.0%/1.3%</w:t>
            </w:r>
          </w:p>
        </w:tc>
        <w:tc>
          <w:tcPr>
            <w:tcW w:w="840" w:type="dxa"/>
            <w:vAlign w:val="bottom"/>
          </w:tcPr>
          <w:p>
            <w:pPr>
              <w:jc w:val="center"/>
              <w:spacing w:after="0"/>
              <w:rPr>
                <w:sz w:val="20"/>
                <w:szCs w:val="20"/>
                <w:color w:val="auto"/>
              </w:rPr>
            </w:pPr>
            <w:r>
              <w:rPr>
                <w:rFonts w:ascii="Arial" w:cs="Arial" w:eastAsia="Arial" w:hAnsi="Arial"/>
                <w:sz w:val="14"/>
                <w:szCs w:val="14"/>
                <w:color w:val="auto"/>
                <w:w w:val="86"/>
              </w:rPr>
              <w:t>4/10/2019</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7,000</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6,952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6,619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tcPr>
          <w:p>
            <w:pPr>
              <w:ind w:left="160"/>
              <w:spacing w:after="0" w:line="149" w:lineRule="exact"/>
              <w:rPr>
                <w:sz w:val="20"/>
                <w:szCs w:val="20"/>
                <w:color w:val="auto"/>
              </w:rPr>
            </w:pPr>
            <w:r>
              <w:rPr>
                <w:rFonts w:ascii="Arial" w:cs="Arial" w:eastAsia="Arial" w:hAnsi="Arial"/>
                <w:sz w:val="14"/>
                <w:szCs w:val="14"/>
                <w:color w:val="auto"/>
              </w:rPr>
              <w:t>Manufacturing</w:t>
            </w:r>
          </w:p>
        </w:tc>
        <w:tc>
          <w:tcPr>
            <w:tcW w:w="2560" w:type="dxa"/>
            <w:vAlign w:val="bottom"/>
          </w:tcPr>
          <w:p>
            <w:pPr>
              <w:spacing w:after="0" w:line="149" w:lineRule="exact"/>
              <w:rPr>
                <w:sz w:val="20"/>
                <w:szCs w:val="20"/>
                <w:color w:val="auto"/>
              </w:rPr>
            </w:pPr>
            <w:r>
              <w:rPr>
                <w:rFonts w:ascii="Arial" w:cs="Arial" w:eastAsia="Arial" w:hAnsi="Arial"/>
                <w:sz w:val="11"/>
                <w:szCs w:val="11"/>
                <w:color w:val="auto"/>
              </w:rPr>
              <w:t xml:space="preserve">Preferred Equity (612 units) </w:t>
            </w:r>
            <w:r>
              <w:rPr>
                <w:rFonts w:ascii="Arial" w:cs="Arial" w:eastAsia="Arial" w:hAnsi="Arial"/>
                <w:sz w:val="17"/>
                <w:szCs w:val="17"/>
                <w:color w:val="auto"/>
                <w:vertAlign w:val="superscript"/>
              </w:rPr>
              <w:t>(7) (9)</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686</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560" w:type="dxa"/>
            <w:vAlign w:val="bottom"/>
          </w:tcPr>
          <w:p>
            <w:pPr>
              <w:spacing w:after="0" w:line="176" w:lineRule="exact"/>
              <w:rPr>
                <w:sz w:val="20"/>
                <w:szCs w:val="20"/>
                <w:color w:val="auto"/>
              </w:rPr>
            </w:pPr>
            <w:r>
              <w:rPr>
                <w:rFonts w:ascii="Arial" w:cs="Arial" w:eastAsia="Arial" w:hAnsi="Arial"/>
                <w:sz w:val="13"/>
                <w:szCs w:val="13"/>
                <w:color w:val="auto"/>
              </w:rPr>
              <w:t xml:space="preserve">Common Equity (612,432 units) </w:t>
            </w:r>
            <w:r>
              <w:rPr>
                <w:rFonts w:ascii="Arial" w:cs="Arial" w:eastAsia="Arial" w:hAnsi="Arial"/>
                <w:sz w:val="20"/>
                <w:szCs w:val="20"/>
                <w:color w:val="auto"/>
                <w:vertAlign w:val="superscript"/>
              </w:rPr>
              <w:t>(7) (9)</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8,091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7,305</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Connect-Air International, Inc.</w:t>
            </w:r>
          </w:p>
        </w:tc>
        <w:tc>
          <w:tcPr>
            <w:tcW w:w="1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Specialty Distribution</w:t>
            </w: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w:t>
            </w:r>
          </w:p>
        </w:tc>
        <w:tc>
          <w:tcPr>
            <w:tcW w:w="8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2"/>
              </w:rPr>
              <w:t>12.8%/0.0%</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11/5/2018</w:t>
            </w:r>
          </w:p>
        </w:tc>
        <w:tc>
          <w:tcPr>
            <w:tcW w:w="8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11,400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11,395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11,400</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25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Common Equity</w:t>
            </w:r>
          </w:p>
        </w:tc>
        <w:tc>
          <w:tcPr>
            <w:tcW w:w="8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83"/>
              </w:rPr>
              <w:t>11,395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16,000</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6"/>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w w:val="92"/>
              </w:rPr>
              <w:t>Continental Anesthesia Management, LLC</w:t>
            </w:r>
          </w:p>
        </w:tc>
        <w:tc>
          <w:tcPr>
            <w:tcW w:w="1720" w:type="dxa"/>
            <w:vAlign w:val="bottom"/>
          </w:tcPr>
          <w:p>
            <w:pPr>
              <w:ind w:left="160"/>
              <w:spacing w:after="0"/>
              <w:rPr>
                <w:sz w:val="20"/>
                <w:szCs w:val="20"/>
                <w:color w:val="auto"/>
              </w:rPr>
            </w:pPr>
            <w:r>
              <w:rPr>
                <w:rFonts w:ascii="Arial" w:cs="Arial" w:eastAsia="Arial" w:hAnsi="Arial"/>
                <w:sz w:val="14"/>
                <w:szCs w:val="14"/>
                <w:color w:val="auto"/>
              </w:rPr>
              <w:t>Healthcare Services</w:t>
            </w:r>
          </w:p>
        </w:tc>
        <w:tc>
          <w:tcPr>
            <w:tcW w:w="2560" w:type="dxa"/>
            <w:vAlign w:val="bottom"/>
          </w:tcPr>
          <w:p>
            <w:pPr>
              <w:spacing w:after="0"/>
              <w:rPr>
                <w:sz w:val="20"/>
                <w:szCs w:val="20"/>
                <w:color w:val="auto"/>
              </w:rPr>
            </w:pPr>
            <w:r>
              <w:rPr>
                <w:rFonts w:ascii="Arial" w:cs="Arial" w:eastAsia="Arial" w:hAnsi="Arial"/>
                <w:sz w:val="14"/>
                <w:szCs w:val="14"/>
                <w:color w:val="auto"/>
              </w:rPr>
              <w:t>Senior Secured Loan</w:t>
            </w:r>
          </w:p>
        </w:tc>
        <w:tc>
          <w:tcPr>
            <w:tcW w:w="860" w:type="dxa"/>
            <w:vAlign w:val="bottom"/>
          </w:tcPr>
          <w:p>
            <w:pPr>
              <w:ind w:left="80"/>
              <w:spacing w:after="0"/>
              <w:rPr>
                <w:sz w:val="20"/>
                <w:szCs w:val="20"/>
                <w:color w:val="auto"/>
              </w:rPr>
            </w:pPr>
            <w:r>
              <w:rPr>
                <w:rFonts w:ascii="Arial" w:cs="Arial" w:eastAsia="Arial" w:hAnsi="Arial"/>
                <w:sz w:val="14"/>
                <w:szCs w:val="14"/>
                <w:color w:val="auto"/>
              </w:rPr>
              <w:t>8.0%/6.0%</w:t>
            </w:r>
          </w:p>
        </w:tc>
        <w:tc>
          <w:tcPr>
            <w:tcW w:w="840" w:type="dxa"/>
            <w:vAlign w:val="bottom"/>
          </w:tcPr>
          <w:p>
            <w:pPr>
              <w:jc w:val="center"/>
              <w:spacing w:after="0"/>
              <w:rPr>
                <w:sz w:val="20"/>
                <w:szCs w:val="20"/>
                <w:color w:val="auto"/>
              </w:rPr>
            </w:pPr>
            <w:r>
              <w:rPr>
                <w:rFonts w:ascii="Arial" w:cs="Arial" w:eastAsia="Arial" w:hAnsi="Arial"/>
                <w:sz w:val="14"/>
                <w:szCs w:val="14"/>
                <w:color w:val="auto"/>
                <w:w w:val="86"/>
              </w:rPr>
              <w:t>4/15/2015</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10,259</w:t>
            </w:r>
          </w:p>
        </w:tc>
        <w:tc>
          <w:tcPr>
            <w:tcW w:w="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10,252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10,130</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auto"/>
              </w:rPr>
              <w:t>Warrant (263 shares)</w:t>
            </w: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10,528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10,130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EBL, LLC (EbLens)</w:t>
            </w:r>
          </w:p>
        </w:tc>
        <w:tc>
          <w:tcPr>
            <w:tcW w:w="1720" w:type="dxa"/>
            <w:vAlign w:val="bottom"/>
            <w:shd w:val="clear" w:color="auto" w:fill="CCEEFF"/>
          </w:tcPr>
          <w:p>
            <w:pPr>
              <w:ind w:left="160"/>
              <w:spacing w:after="0" w:line="122" w:lineRule="exact"/>
              <w:rPr>
                <w:sz w:val="20"/>
                <w:szCs w:val="20"/>
                <w:color w:val="auto"/>
              </w:rPr>
            </w:pPr>
            <w:r>
              <w:rPr>
                <w:rFonts w:ascii="Arial" w:cs="Arial" w:eastAsia="Arial" w:hAnsi="Arial"/>
                <w:sz w:val="14"/>
                <w:szCs w:val="14"/>
                <w:color w:val="auto"/>
              </w:rPr>
              <w:t>Retail</w:t>
            </w:r>
          </w:p>
        </w:tc>
        <w:tc>
          <w:tcPr>
            <w:tcW w:w="256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Subordinated Note </w:t>
            </w:r>
            <w:r>
              <w:rPr>
                <w:rFonts w:ascii="Arial" w:cs="Arial" w:eastAsia="Arial" w:hAnsi="Arial"/>
                <w:sz w:val="14"/>
                <w:szCs w:val="14"/>
                <w:color w:val="auto"/>
                <w:vertAlign w:val="superscript"/>
              </w:rPr>
              <w:t>(9)</w:t>
            </w:r>
          </w:p>
        </w:tc>
        <w:tc>
          <w:tcPr>
            <w:tcW w:w="860" w:type="dxa"/>
            <w:vAlign w:val="bottom"/>
            <w:shd w:val="clear" w:color="auto" w:fill="CCEEFF"/>
          </w:tcPr>
          <w:p>
            <w:pPr>
              <w:jc w:val="right"/>
              <w:ind w:right="72"/>
              <w:spacing w:after="0" w:line="122" w:lineRule="exact"/>
              <w:rPr>
                <w:sz w:val="20"/>
                <w:szCs w:val="20"/>
                <w:color w:val="auto"/>
              </w:rPr>
            </w:pPr>
            <w:r>
              <w:rPr>
                <w:rFonts w:ascii="Arial" w:cs="Arial" w:eastAsia="Arial" w:hAnsi="Arial"/>
                <w:sz w:val="14"/>
                <w:szCs w:val="14"/>
                <w:color w:val="auto"/>
                <w:w w:val="92"/>
              </w:rPr>
              <w:t>12.0%/3.0%</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2/2/2018</w:t>
            </w:r>
          </w:p>
        </w:tc>
        <w:tc>
          <w:tcPr>
            <w:tcW w:w="880" w:type="dxa"/>
            <w:vAlign w:val="bottom"/>
            <w:shd w:val="clear" w:color="auto" w:fill="CCEEFF"/>
          </w:tcPr>
          <w:p>
            <w:pPr>
              <w:jc w:val="right"/>
              <w:ind w:right="152"/>
              <w:spacing w:after="0" w:line="122" w:lineRule="exact"/>
              <w:rPr>
                <w:sz w:val="20"/>
                <w:szCs w:val="20"/>
                <w:color w:val="auto"/>
              </w:rPr>
            </w:pPr>
            <w:r>
              <w:rPr>
                <w:rFonts w:ascii="Arial" w:cs="Arial" w:eastAsia="Arial" w:hAnsi="Arial"/>
                <w:sz w:val="14"/>
                <w:szCs w:val="14"/>
                <w:color w:val="auto"/>
              </w:rPr>
              <w:t>9,610</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9,584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4"/>
                <w:szCs w:val="14"/>
                <w:color w:val="auto"/>
              </w:rPr>
              <w:t>9,706</w:t>
            </w: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2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3"/>
                <w:szCs w:val="13"/>
                <w:color w:val="auto"/>
              </w:rPr>
              <w:t xml:space="preserve">Common Equity (750,000 units) </w:t>
            </w:r>
            <w:r>
              <w:rPr>
                <w:rFonts w:ascii="Arial" w:cs="Arial" w:eastAsia="Arial" w:hAnsi="Arial"/>
                <w:sz w:val="20"/>
                <w:szCs w:val="20"/>
                <w:color w:val="auto"/>
                <w:vertAlign w:val="superscript"/>
              </w:rPr>
              <w:t>(7) (9)</w:t>
            </w:r>
          </w:p>
        </w:tc>
        <w:tc>
          <w:tcPr>
            <w:tcW w:w="8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83"/>
              </w:rPr>
              <w:t>10,334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10,687</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FDS Avionics Corp.</w:t>
            </w:r>
          </w:p>
        </w:tc>
        <w:tc>
          <w:tcPr>
            <w:tcW w:w="1720" w:type="dxa"/>
            <w:vAlign w:val="bottom"/>
          </w:tcPr>
          <w:p>
            <w:pPr>
              <w:ind w:left="160"/>
              <w:spacing w:after="0"/>
              <w:rPr>
                <w:sz w:val="20"/>
                <w:szCs w:val="20"/>
                <w:color w:val="auto"/>
              </w:rPr>
            </w:pPr>
            <w:r>
              <w:rPr>
                <w:rFonts w:ascii="Arial" w:cs="Arial" w:eastAsia="Arial" w:hAnsi="Arial"/>
                <w:sz w:val="14"/>
                <w:szCs w:val="14"/>
                <w:color w:val="auto"/>
              </w:rPr>
              <w:t>Aerospace &amp; Defense</w:t>
            </w:r>
          </w:p>
        </w:tc>
        <w:tc>
          <w:tcPr>
            <w:tcW w:w="2560" w:type="dxa"/>
            <w:vAlign w:val="bottom"/>
          </w:tcPr>
          <w:p>
            <w:pPr>
              <w:spacing w:after="0"/>
              <w:rPr>
                <w:sz w:val="20"/>
                <w:szCs w:val="20"/>
                <w:color w:val="auto"/>
              </w:rPr>
            </w:pPr>
            <w:r>
              <w:rPr>
                <w:rFonts w:ascii="Arial" w:cs="Arial" w:eastAsia="Arial" w:hAnsi="Arial"/>
                <w:sz w:val="14"/>
                <w:szCs w:val="14"/>
                <w:color w:val="auto"/>
              </w:rPr>
              <w:t>Subordinated Note</w:t>
            </w:r>
          </w:p>
        </w:tc>
        <w:tc>
          <w:tcPr>
            <w:tcW w:w="860" w:type="dxa"/>
            <w:vAlign w:val="bottom"/>
          </w:tcPr>
          <w:p>
            <w:pPr>
              <w:jc w:val="right"/>
              <w:ind w:right="72"/>
              <w:spacing w:after="0"/>
              <w:rPr>
                <w:sz w:val="20"/>
                <w:szCs w:val="20"/>
                <w:color w:val="auto"/>
              </w:rPr>
            </w:pPr>
            <w:r>
              <w:rPr>
                <w:rFonts w:ascii="Arial" w:cs="Arial" w:eastAsia="Arial" w:hAnsi="Arial"/>
                <w:sz w:val="14"/>
                <w:szCs w:val="14"/>
                <w:color w:val="auto"/>
                <w:w w:val="92"/>
              </w:rPr>
              <w:t>12.3%/0.0%</w:t>
            </w: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4/1/2020</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5,200</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5,175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(dba Flight Display Systems)</w:t>
            </w:r>
          </w:p>
        </w:tc>
        <w:tc>
          <w:tcPr>
            <w:tcW w:w="1720" w:type="dxa"/>
            <w:vAlign w:val="bottom"/>
          </w:tcPr>
          <w:p>
            <w:pPr>
              <w:ind w:left="160"/>
              <w:spacing w:after="0"/>
              <w:rPr>
                <w:sz w:val="20"/>
                <w:szCs w:val="20"/>
                <w:color w:val="auto"/>
              </w:rPr>
            </w:pPr>
            <w:r>
              <w:rPr>
                <w:rFonts w:ascii="Arial" w:cs="Arial" w:eastAsia="Arial" w:hAnsi="Arial"/>
                <w:sz w:val="14"/>
                <w:szCs w:val="14"/>
                <w:color w:val="auto"/>
              </w:rPr>
              <w:t>Manufacturing</w:t>
            </w:r>
          </w:p>
        </w:tc>
        <w:tc>
          <w:tcPr>
            <w:tcW w:w="2560" w:type="dxa"/>
            <w:vAlign w:val="bottom"/>
          </w:tcPr>
          <w:p>
            <w:pPr>
              <w:spacing w:after="0" w:line="176" w:lineRule="exact"/>
              <w:rPr>
                <w:sz w:val="20"/>
                <w:szCs w:val="20"/>
                <w:color w:val="auto"/>
              </w:rPr>
            </w:pPr>
            <w:r>
              <w:rPr>
                <w:rFonts w:ascii="Arial" w:cs="Arial" w:eastAsia="Arial" w:hAnsi="Arial"/>
                <w:sz w:val="13"/>
                <w:szCs w:val="13"/>
                <w:color w:val="auto"/>
              </w:rPr>
              <w:t xml:space="preserve">Common Equity (200 units) </w:t>
            </w:r>
            <w:r>
              <w:rPr>
                <w:rFonts w:ascii="Arial" w:cs="Arial" w:eastAsia="Arial" w:hAnsi="Arial"/>
                <w:sz w:val="20"/>
                <w:szCs w:val="20"/>
                <w:color w:val="auto"/>
                <w:vertAlign w:val="superscript"/>
              </w:rPr>
              <w:t>(9)</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7,175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7,175</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FTH Acquisition Corp. VII</w:t>
            </w:r>
          </w:p>
        </w:tc>
        <w:tc>
          <w:tcPr>
            <w:tcW w:w="1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Information</w:t>
            </w: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92"/>
              </w:rPr>
              <w:t>13.0%/0.0%</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2/27/2015</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8,395</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8,350</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Technology Services</w:t>
            </w:r>
          </w:p>
        </w:tc>
        <w:tc>
          <w:tcPr>
            <w:tcW w:w="25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Preferred Equity (887,122 shares)</w:t>
            </w:r>
          </w:p>
        </w:tc>
        <w:tc>
          <w:tcPr>
            <w:tcW w:w="8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9,282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8,971</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2"/>
                <w:szCs w:val="22"/>
                <w:b w:val="1"/>
                <w:bCs w:val="1"/>
                <w:color w:val="auto"/>
                <w:vertAlign w:val="superscript"/>
              </w:rPr>
              <w:t>(4)</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1540" w:type="dxa"/>
            <w:vAlign w:val="bottom"/>
          </w:tcPr>
          <w:p>
            <w:pPr>
              <w:spacing w:after="0"/>
              <w:rPr>
                <w:sz w:val="12"/>
                <w:szCs w:val="12"/>
                <w:color w:val="auto"/>
              </w:rPr>
            </w:pPr>
          </w:p>
        </w:tc>
        <w:tc>
          <w:tcPr>
            <w:tcW w:w="24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9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Principal</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1"/>
        </w:trPr>
        <w:tc>
          <w:tcPr>
            <w:tcW w:w="2860" w:type="dxa"/>
            <w:vAlign w:val="bottom"/>
            <w:tcBorders>
              <w:bottom w:val="single" w:sz="8" w:color="auto"/>
            </w:tcBorders>
            <w:gridSpan w:val="2"/>
            <w:vMerge w:val="continue"/>
          </w:tcPr>
          <w:p>
            <w:pPr>
              <w:spacing w:after="0"/>
              <w:rPr>
                <w:sz w:val="14"/>
                <w:szCs w:val="14"/>
                <w:color w:val="auto"/>
              </w:rPr>
            </w:pPr>
          </w:p>
        </w:tc>
        <w:tc>
          <w:tcPr>
            <w:tcW w:w="1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Industry</w:t>
            </w:r>
          </w:p>
        </w:tc>
        <w:tc>
          <w:tcPr>
            <w:tcW w:w="24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Cash/PIK</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Maturity</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Fair Value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Grindmaster Corporation</w:t>
            </w:r>
          </w:p>
        </w:tc>
        <w:tc>
          <w:tcPr>
            <w:tcW w:w="1540" w:type="dxa"/>
            <w:vAlign w:val="bottom"/>
          </w:tcPr>
          <w:p>
            <w:pPr>
              <w:ind w:left="100"/>
              <w:spacing w:after="0"/>
              <w:rPr>
                <w:sz w:val="20"/>
                <w:szCs w:val="20"/>
                <w:color w:val="auto"/>
              </w:rPr>
            </w:pPr>
            <w:r>
              <w:rPr>
                <w:rFonts w:ascii="Arial" w:cs="Arial" w:eastAsia="Arial" w:hAnsi="Arial"/>
                <w:sz w:val="14"/>
                <w:szCs w:val="14"/>
                <w:color w:val="auto"/>
              </w:rPr>
              <w:t>Consumer Products</w:t>
            </w:r>
          </w:p>
        </w:tc>
        <w:tc>
          <w:tcPr>
            <w:tcW w:w="2480" w:type="dxa"/>
            <w:vAlign w:val="bottom"/>
          </w:tcPr>
          <w:p>
            <w:pPr>
              <w:ind w:left="100"/>
              <w:spacing w:after="0"/>
              <w:rPr>
                <w:sz w:val="20"/>
                <w:szCs w:val="20"/>
                <w:color w:val="auto"/>
              </w:rPr>
            </w:pPr>
            <w:r>
              <w:rPr>
                <w:rFonts w:ascii="Arial" w:cs="Arial" w:eastAsia="Arial" w:hAnsi="Arial"/>
                <w:sz w:val="14"/>
                <w:szCs w:val="14"/>
                <w:color w:val="auto"/>
              </w:rPr>
              <w:t>Subordinated Note</w:t>
            </w:r>
          </w:p>
        </w:tc>
        <w:tc>
          <w:tcPr>
            <w:tcW w:w="900" w:type="dxa"/>
            <w:vAlign w:val="bottom"/>
          </w:tcPr>
          <w:p>
            <w:pPr>
              <w:ind w:left="120"/>
              <w:spacing w:after="0"/>
              <w:rPr>
                <w:sz w:val="20"/>
                <w:szCs w:val="20"/>
                <w:color w:val="auto"/>
              </w:rPr>
            </w:pPr>
            <w:r>
              <w:rPr>
                <w:rFonts w:ascii="Arial" w:cs="Arial" w:eastAsia="Arial" w:hAnsi="Arial"/>
                <w:sz w:val="14"/>
                <w:szCs w:val="14"/>
                <w:color w:val="auto"/>
              </w:rPr>
              <w:t>11.5%/0.0%</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10/31/2019</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  10,500</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$10,456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   10,456</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IOS Acquisitions, Inc.</w:t>
            </w:r>
          </w:p>
        </w:tc>
        <w:tc>
          <w:tcPr>
            <w:tcW w:w="154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Oil &amp; Gas Services</w:t>
            </w:r>
          </w:p>
        </w:tc>
        <w:tc>
          <w:tcPr>
            <w:tcW w:w="248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Subordinated Note</w:t>
            </w:r>
          </w:p>
        </w:tc>
        <w:tc>
          <w:tcPr>
            <w:tcW w:w="90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12.0%/3.3%</w:t>
            </w:r>
          </w:p>
        </w:tc>
        <w:tc>
          <w:tcPr>
            <w:tcW w:w="820" w:type="dxa"/>
            <w:vAlign w:val="bottom"/>
            <w:shd w:val="clear" w:color="auto" w:fill="CCEEFF"/>
          </w:tcPr>
          <w:p>
            <w:pPr>
              <w:jc w:val="right"/>
              <w:ind w:right="32"/>
              <w:spacing w:after="0" w:line="122" w:lineRule="exact"/>
              <w:rPr>
                <w:sz w:val="20"/>
                <w:szCs w:val="20"/>
                <w:color w:val="auto"/>
              </w:rPr>
            </w:pPr>
            <w:r>
              <w:rPr>
                <w:rFonts w:ascii="Arial" w:cs="Arial" w:eastAsia="Arial" w:hAnsi="Arial"/>
                <w:sz w:val="14"/>
                <w:szCs w:val="14"/>
                <w:color w:val="auto"/>
              </w:rPr>
              <w:t>6/26/2018</w:t>
            </w:r>
          </w:p>
        </w:tc>
        <w:tc>
          <w:tcPr>
            <w:tcW w:w="800" w:type="dxa"/>
            <w:vAlign w:val="bottom"/>
            <w:shd w:val="clear" w:color="auto" w:fill="CCEEFF"/>
          </w:tcPr>
          <w:p>
            <w:pPr>
              <w:jc w:val="right"/>
              <w:ind w:right="112"/>
              <w:spacing w:after="0" w:line="122" w:lineRule="exact"/>
              <w:rPr>
                <w:sz w:val="20"/>
                <w:szCs w:val="20"/>
                <w:color w:val="auto"/>
              </w:rPr>
            </w:pPr>
            <w:r>
              <w:rPr>
                <w:rFonts w:ascii="Arial" w:cs="Arial" w:eastAsia="Arial" w:hAnsi="Arial"/>
                <w:sz w:val="14"/>
                <w:szCs w:val="14"/>
                <w:color w:val="auto"/>
              </w:rPr>
              <w:t>14,263</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w w:val="97"/>
              </w:rPr>
              <w:t>14,175</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13,788</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3"/>
                <w:szCs w:val="13"/>
                <w:color w:val="auto"/>
              </w:rPr>
              <w:t xml:space="preserve">Common Equity (2,152 shares) </w:t>
            </w:r>
            <w:r>
              <w:rPr>
                <w:rFonts w:ascii="Arial" w:cs="Arial" w:eastAsia="Arial" w:hAnsi="Arial"/>
                <w:sz w:val="20"/>
                <w:szCs w:val="20"/>
                <w:color w:val="auto"/>
                <w:vertAlign w:val="superscript"/>
              </w:rPr>
              <w:t>(9)</w:t>
            </w:r>
          </w:p>
        </w:tc>
        <w:tc>
          <w:tcPr>
            <w:tcW w:w="9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14,675</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14,152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6"/>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Jacob Ash Holdings, Inc.</w:t>
            </w:r>
          </w:p>
        </w:tc>
        <w:tc>
          <w:tcPr>
            <w:tcW w:w="1540" w:type="dxa"/>
            <w:vAlign w:val="bottom"/>
          </w:tcPr>
          <w:p>
            <w:pPr>
              <w:ind w:left="100"/>
              <w:spacing w:after="0"/>
              <w:rPr>
                <w:sz w:val="20"/>
                <w:szCs w:val="20"/>
                <w:color w:val="auto"/>
              </w:rPr>
            </w:pPr>
            <w:r>
              <w:rPr>
                <w:rFonts w:ascii="Arial" w:cs="Arial" w:eastAsia="Arial" w:hAnsi="Arial"/>
                <w:sz w:val="14"/>
                <w:szCs w:val="14"/>
                <w:color w:val="auto"/>
              </w:rPr>
              <w:t>Apparel Distribution</w:t>
            </w:r>
          </w:p>
        </w:tc>
        <w:tc>
          <w:tcPr>
            <w:tcW w:w="2480" w:type="dxa"/>
            <w:vAlign w:val="bottom"/>
          </w:tcPr>
          <w:p>
            <w:pPr>
              <w:ind w:left="100"/>
              <w:spacing w:after="0" w:line="246"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22"/>
                <w:szCs w:val="22"/>
                <w:color w:val="auto"/>
                <w:vertAlign w:val="superscript"/>
              </w:rPr>
              <w:t>(10)</w:t>
            </w:r>
          </w:p>
        </w:tc>
        <w:tc>
          <w:tcPr>
            <w:tcW w:w="900" w:type="dxa"/>
            <w:vAlign w:val="bottom"/>
          </w:tcPr>
          <w:p>
            <w:pPr>
              <w:ind w:left="120"/>
              <w:spacing w:after="0"/>
              <w:rPr>
                <w:sz w:val="20"/>
                <w:szCs w:val="20"/>
                <w:color w:val="auto"/>
              </w:rPr>
            </w:pPr>
            <w:r>
              <w:rPr>
                <w:rFonts w:ascii="Arial" w:cs="Arial" w:eastAsia="Arial" w:hAnsi="Arial"/>
                <w:sz w:val="14"/>
                <w:szCs w:val="14"/>
                <w:color w:val="auto"/>
              </w:rPr>
              <w:t>13.0%/4.0%</w:t>
            </w:r>
          </w:p>
        </w:tc>
        <w:tc>
          <w:tcPr>
            <w:tcW w:w="820" w:type="dxa"/>
            <w:vAlign w:val="bottom"/>
          </w:tcPr>
          <w:p>
            <w:pPr>
              <w:jc w:val="center"/>
              <w:spacing w:after="0"/>
              <w:rPr>
                <w:sz w:val="20"/>
                <w:szCs w:val="20"/>
                <w:color w:val="auto"/>
              </w:rPr>
            </w:pPr>
            <w:r>
              <w:rPr>
                <w:rFonts w:ascii="Arial" w:cs="Arial" w:eastAsia="Arial" w:hAnsi="Arial"/>
                <w:sz w:val="14"/>
                <w:szCs w:val="14"/>
                <w:color w:val="auto"/>
                <w:w w:val="86"/>
              </w:rPr>
              <w:t>6/30/2018</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4,000</w:t>
            </w:r>
          </w:p>
        </w:tc>
        <w:tc>
          <w:tcPr>
            <w:tcW w:w="440" w:type="dxa"/>
            <w:vAlign w:val="bottom"/>
          </w:tcPr>
          <w:p>
            <w:pPr>
              <w:jc w:val="right"/>
              <w:spacing w:after="0"/>
              <w:rPr>
                <w:sz w:val="20"/>
                <w:szCs w:val="20"/>
                <w:color w:val="auto"/>
              </w:rPr>
            </w:pPr>
            <w:r>
              <w:rPr>
                <w:rFonts w:ascii="Arial" w:cs="Arial" w:eastAsia="Arial" w:hAnsi="Arial"/>
                <w:sz w:val="14"/>
                <w:szCs w:val="14"/>
                <w:color w:val="auto"/>
              </w:rPr>
              <w:t>3,992</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80" w:type="dxa"/>
            <w:vAlign w:val="bottom"/>
          </w:tcPr>
          <w:p>
            <w:pPr>
              <w:ind w:left="100"/>
              <w:spacing w:after="0" w:line="133" w:lineRule="exact"/>
              <w:rPr>
                <w:sz w:val="20"/>
                <w:szCs w:val="20"/>
                <w:color w:val="auto"/>
              </w:rPr>
            </w:pPr>
            <w:r>
              <w:rPr>
                <w:rFonts w:ascii="Arial" w:cs="Arial" w:eastAsia="Arial" w:hAnsi="Arial"/>
                <w:sz w:val="14"/>
                <w:szCs w:val="14"/>
                <w:color w:val="auto"/>
              </w:rPr>
              <w:t>Subordinated Note</w:t>
            </w:r>
          </w:p>
        </w:tc>
        <w:tc>
          <w:tcPr>
            <w:tcW w:w="900" w:type="dxa"/>
            <w:vAlign w:val="bottom"/>
          </w:tcPr>
          <w:p>
            <w:pPr>
              <w:ind w:left="120"/>
              <w:spacing w:after="0" w:line="133" w:lineRule="exact"/>
              <w:rPr>
                <w:sz w:val="20"/>
                <w:szCs w:val="20"/>
                <w:color w:val="auto"/>
              </w:rPr>
            </w:pPr>
            <w:r>
              <w:rPr>
                <w:rFonts w:ascii="Arial" w:cs="Arial" w:eastAsia="Arial" w:hAnsi="Arial"/>
                <w:sz w:val="14"/>
                <w:szCs w:val="14"/>
                <w:color w:val="auto"/>
              </w:rPr>
              <w:t>13.0%/0.0%</w:t>
            </w:r>
          </w:p>
        </w:tc>
        <w:tc>
          <w:tcPr>
            <w:tcW w:w="820" w:type="dxa"/>
            <w:vAlign w:val="bottom"/>
          </w:tcPr>
          <w:p>
            <w:pPr>
              <w:jc w:val="center"/>
              <w:spacing w:after="0" w:line="133" w:lineRule="exact"/>
              <w:rPr>
                <w:sz w:val="20"/>
                <w:szCs w:val="20"/>
                <w:color w:val="auto"/>
              </w:rPr>
            </w:pPr>
            <w:r>
              <w:rPr>
                <w:rFonts w:ascii="Arial" w:cs="Arial" w:eastAsia="Arial" w:hAnsi="Arial"/>
                <w:sz w:val="14"/>
                <w:szCs w:val="14"/>
                <w:color w:val="auto"/>
                <w:w w:val="86"/>
              </w:rPr>
              <w:t>6/30/2018</w:t>
            </w:r>
          </w:p>
        </w:tc>
        <w:tc>
          <w:tcPr>
            <w:tcW w:w="800" w:type="dxa"/>
            <w:vAlign w:val="bottom"/>
          </w:tcPr>
          <w:p>
            <w:pPr>
              <w:jc w:val="right"/>
              <w:ind w:right="112"/>
              <w:spacing w:after="0" w:line="133" w:lineRule="exact"/>
              <w:rPr>
                <w:sz w:val="20"/>
                <w:szCs w:val="20"/>
                <w:color w:val="auto"/>
              </w:rPr>
            </w:pPr>
            <w:r>
              <w:rPr>
                <w:rFonts w:ascii="Arial" w:cs="Arial" w:eastAsia="Arial" w:hAnsi="Arial"/>
                <w:sz w:val="14"/>
                <w:szCs w:val="14"/>
                <w:color w:val="auto"/>
              </w:rPr>
              <w:t>963</w:t>
            </w:r>
          </w:p>
        </w:tc>
        <w:tc>
          <w:tcPr>
            <w:tcW w:w="440" w:type="dxa"/>
            <w:vAlign w:val="bottom"/>
          </w:tcPr>
          <w:p>
            <w:pPr>
              <w:jc w:val="right"/>
              <w:spacing w:after="0" w:line="133" w:lineRule="exact"/>
              <w:rPr>
                <w:sz w:val="20"/>
                <w:szCs w:val="20"/>
                <w:color w:val="auto"/>
              </w:rPr>
            </w:pPr>
            <w:r>
              <w:rPr>
                <w:rFonts w:ascii="Arial" w:cs="Arial" w:eastAsia="Arial" w:hAnsi="Arial"/>
                <w:sz w:val="14"/>
                <w:szCs w:val="14"/>
                <w:color w:val="auto"/>
              </w:rPr>
              <w:t>953</w:t>
            </w:r>
          </w:p>
        </w:tc>
        <w:tc>
          <w:tcPr>
            <w:tcW w:w="18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4"/>
                <w:szCs w:val="14"/>
                <w:color w:val="auto"/>
              </w:rPr>
              <w:t>963</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ind w:left="100"/>
              <w:spacing w:after="0" w:line="165" w:lineRule="exact"/>
              <w:rPr>
                <w:sz w:val="20"/>
                <w:szCs w:val="20"/>
                <w:color w:val="auto"/>
              </w:rPr>
            </w:pPr>
            <w:r>
              <w:rPr>
                <w:rFonts w:ascii="Arial" w:cs="Arial" w:eastAsia="Arial" w:hAnsi="Arial"/>
                <w:sz w:val="12"/>
                <w:szCs w:val="12"/>
                <w:color w:val="auto"/>
              </w:rPr>
              <w:t xml:space="preserve">Preferred Equity (66,138 shares) </w:t>
            </w:r>
            <w:r>
              <w:rPr>
                <w:rFonts w:ascii="Arial" w:cs="Arial" w:eastAsia="Arial" w:hAnsi="Arial"/>
                <w:sz w:val="19"/>
                <w:szCs w:val="19"/>
                <w:color w:val="auto"/>
                <w:vertAlign w:val="superscript"/>
              </w:rPr>
              <w:t>(6)</w:t>
            </w:r>
          </w:p>
        </w:tc>
        <w:tc>
          <w:tcPr>
            <w:tcW w:w="900" w:type="dxa"/>
            <w:vAlign w:val="bottom"/>
          </w:tcPr>
          <w:p>
            <w:pPr>
              <w:ind w:left="120"/>
              <w:spacing w:after="0"/>
              <w:rPr>
                <w:sz w:val="20"/>
                <w:szCs w:val="20"/>
                <w:color w:val="auto"/>
              </w:rPr>
            </w:pPr>
            <w:r>
              <w:rPr>
                <w:rFonts w:ascii="Arial" w:cs="Arial" w:eastAsia="Arial" w:hAnsi="Arial"/>
                <w:sz w:val="14"/>
                <w:szCs w:val="14"/>
                <w:color w:val="auto"/>
              </w:rPr>
              <w:t>0.0%/15.0%</w:t>
            </w:r>
          </w:p>
        </w:tc>
        <w:tc>
          <w:tcPr>
            <w:tcW w:w="820" w:type="dxa"/>
            <w:vAlign w:val="bottom"/>
          </w:tcPr>
          <w:p>
            <w:pPr>
              <w:jc w:val="center"/>
              <w:spacing w:after="0"/>
              <w:rPr>
                <w:sz w:val="20"/>
                <w:szCs w:val="20"/>
                <w:color w:val="auto"/>
              </w:rPr>
            </w:pPr>
            <w:r>
              <w:rPr>
                <w:rFonts w:ascii="Arial" w:cs="Arial" w:eastAsia="Arial" w:hAnsi="Arial"/>
                <w:sz w:val="14"/>
                <w:szCs w:val="14"/>
                <w:color w:val="auto"/>
                <w:w w:val="86"/>
              </w:rPr>
              <w:t>6/30/2018</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Warrant (63,492 shares)</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67</w:t>
            </w:r>
          </w:p>
        </w:tc>
        <w:tc>
          <w:tcPr>
            <w:tcW w:w="1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5,810</w:t>
            </w:r>
          </w:p>
        </w:tc>
        <w:tc>
          <w:tcPr>
            <w:tcW w:w="1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5,773</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K2 Industrial Services, Inc.</w:t>
            </w: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Industrial Cleaning</w:t>
            </w:r>
          </w:p>
        </w:tc>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11.8%/2.8%</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5/23/2017</w:t>
            </w: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15,213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15,162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&amp; Coatings</w:t>
            </w:r>
          </w:p>
        </w:tc>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Preferred Equity - Series A (1,200 shares)</w:t>
            </w: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24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Preferred Equity - Series B (74 shares)</w:t>
            </w:r>
          </w:p>
        </w:tc>
        <w:tc>
          <w:tcPr>
            <w:tcW w:w="9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16,430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16,210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Lightning Diversion Systems, LLC</w:t>
            </w:r>
          </w:p>
        </w:tc>
        <w:tc>
          <w:tcPr>
            <w:tcW w:w="1540" w:type="dxa"/>
            <w:vAlign w:val="bottom"/>
          </w:tcPr>
          <w:p>
            <w:pPr>
              <w:ind w:left="100"/>
              <w:spacing w:after="0"/>
              <w:rPr>
                <w:sz w:val="20"/>
                <w:szCs w:val="20"/>
                <w:color w:val="auto"/>
              </w:rPr>
            </w:pPr>
            <w:r>
              <w:rPr>
                <w:rFonts w:ascii="Arial" w:cs="Arial" w:eastAsia="Arial" w:hAnsi="Arial"/>
                <w:sz w:val="14"/>
                <w:szCs w:val="14"/>
                <w:color w:val="auto"/>
              </w:rPr>
              <w:t>Aerospace &amp; Defense</w:t>
            </w:r>
          </w:p>
        </w:tc>
        <w:tc>
          <w:tcPr>
            <w:tcW w:w="2480" w:type="dxa"/>
            <w:vAlign w:val="bottom"/>
          </w:tcPr>
          <w:p>
            <w:pPr>
              <w:ind w:left="100"/>
              <w:spacing w:after="0"/>
              <w:rPr>
                <w:sz w:val="20"/>
                <w:szCs w:val="20"/>
                <w:color w:val="auto"/>
              </w:rPr>
            </w:pPr>
            <w:r>
              <w:rPr>
                <w:rFonts w:ascii="Arial" w:cs="Arial" w:eastAsia="Arial" w:hAnsi="Arial"/>
                <w:sz w:val="14"/>
                <w:szCs w:val="14"/>
                <w:color w:val="auto"/>
              </w:rPr>
              <w:t>Senior Secured Loan</w:t>
            </w:r>
          </w:p>
        </w:tc>
        <w:tc>
          <w:tcPr>
            <w:tcW w:w="900" w:type="dxa"/>
            <w:vAlign w:val="bottom"/>
          </w:tcPr>
          <w:p>
            <w:pPr>
              <w:ind w:left="120"/>
              <w:spacing w:after="0"/>
              <w:rPr>
                <w:sz w:val="20"/>
                <w:szCs w:val="20"/>
                <w:color w:val="auto"/>
              </w:rPr>
            </w:pPr>
            <w:r>
              <w:rPr>
                <w:rFonts w:ascii="Arial" w:cs="Arial" w:eastAsia="Arial" w:hAnsi="Arial"/>
                <w:sz w:val="14"/>
                <w:szCs w:val="14"/>
                <w:color w:val="auto"/>
              </w:rPr>
              <w:t>10.5%/0.0%</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12/20/2018</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12,198</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12,154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Manufacturing</w:t>
            </w:r>
          </w:p>
        </w:tc>
        <w:tc>
          <w:tcPr>
            <w:tcW w:w="2480" w:type="dxa"/>
            <w:vAlign w:val="bottom"/>
          </w:tcPr>
          <w:p>
            <w:pPr>
              <w:ind w:left="100"/>
              <w:spacing w:after="0" w:line="165" w:lineRule="exact"/>
              <w:rPr>
                <w:sz w:val="20"/>
                <w:szCs w:val="20"/>
                <w:color w:val="auto"/>
              </w:rPr>
            </w:pPr>
            <w:r>
              <w:rPr>
                <w:rFonts w:ascii="Arial" w:cs="Arial" w:eastAsia="Arial" w:hAnsi="Arial"/>
                <w:sz w:val="12"/>
                <w:szCs w:val="12"/>
                <w:color w:val="auto"/>
              </w:rPr>
              <w:t xml:space="preserve">Revolving Loan ($1,000 commitment) </w:t>
            </w:r>
            <w:r>
              <w:rPr>
                <w:rFonts w:ascii="Arial" w:cs="Arial" w:eastAsia="Arial" w:hAnsi="Arial"/>
                <w:sz w:val="19"/>
                <w:szCs w:val="19"/>
                <w:color w:val="auto"/>
                <w:vertAlign w:val="superscript"/>
              </w:rPr>
              <w:t>(8)</w:t>
            </w:r>
          </w:p>
        </w:tc>
        <w:tc>
          <w:tcPr>
            <w:tcW w:w="900" w:type="dxa"/>
            <w:vAlign w:val="bottom"/>
          </w:tcPr>
          <w:p>
            <w:pPr>
              <w:ind w:left="340"/>
              <w:spacing w:after="0"/>
              <w:rPr>
                <w:sz w:val="20"/>
                <w:szCs w:val="20"/>
                <w:color w:val="auto"/>
              </w:rPr>
            </w:pPr>
            <w:r>
              <w:rPr>
                <w:rFonts w:ascii="Arial" w:cs="Arial" w:eastAsia="Arial" w:hAnsi="Arial"/>
                <w:sz w:val="14"/>
                <w:szCs w:val="14"/>
                <w:color w:val="auto"/>
              </w:rPr>
              <w:t>N/A</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12/20/2018</w:t>
            </w: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ind w:left="100"/>
              <w:spacing w:after="0" w:line="159" w:lineRule="exact"/>
              <w:rPr>
                <w:sz w:val="20"/>
                <w:szCs w:val="20"/>
                <w:color w:val="auto"/>
              </w:rPr>
            </w:pPr>
            <w:r>
              <w:rPr>
                <w:rFonts w:ascii="Arial" w:cs="Arial" w:eastAsia="Arial" w:hAnsi="Arial"/>
                <w:sz w:val="14"/>
                <w:szCs w:val="14"/>
                <w:color w:val="auto"/>
              </w:rPr>
              <w:t>Common Equity (600,000 units)</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2,204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12,152</w:t>
            </w:r>
          </w:p>
        </w:tc>
        <w:tc>
          <w:tcPr>
            <w:tcW w:w="1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14,400</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MedPlast, LLC</w:t>
            </w:r>
          </w:p>
        </w:tc>
        <w:tc>
          <w:tcPr>
            <w:tcW w:w="154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Healthcare Products</w:t>
            </w:r>
          </w:p>
        </w:tc>
        <w:tc>
          <w:tcPr>
            <w:tcW w:w="2480" w:type="dxa"/>
            <w:vAlign w:val="bottom"/>
            <w:shd w:val="clear" w:color="auto" w:fill="CCEEFF"/>
          </w:tcPr>
          <w:p>
            <w:pPr>
              <w:ind w:left="100"/>
              <w:spacing w:after="0" w:line="122" w:lineRule="exact"/>
              <w:rPr>
                <w:sz w:val="20"/>
                <w:szCs w:val="20"/>
                <w:color w:val="auto"/>
              </w:rPr>
            </w:pPr>
            <w:r>
              <w:rPr>
                <w:rFonts w:ascii="Arial" w:cs="Arial" w:eastAsia="Arial" w:hAnsi="Arial"/>
                <w:sz w:val="10"/>
                <w:szCs w:val="10"/>
                <w:color w:val="auto"/>
              </w:rPr>
              <w:t xml:space="preserve">Subordinated Note </w:t>
            </w:r>
            <w:r>
              <w:rPr>
                <w:rFonts w:ascii="Arial" w:cs="Arial" w:eastAsia="Arial" w:hAnsi="Arial"/>
                <w:sz w:val="14"/>
                <w:szCs w:val="14"/>
                <w:color w:val="auto"/>
                <w:vertAlign w:val="superscript"/>
              </w:rPr>
              <w:t>(9)</w:t>
            </w:r>
          </w:p>
        </w:tc>
        <w:tc>
          <w:tcPr>
            <w:tcW w:w="90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11.0%/1.5%</w:t>
            </w: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6"/>
              </w:rPr>
              <w:t>3/31/2019</w:t>
            </w:r>
          </w:p>
        </w:tc>
        <w:tc>
          <w:tcPr>
            <w:tcW w:w="800" w:type="dxa"/>
            <w:vAlign w:val="bottom"/>
            <w:shd w:val="clear" w:color="auto" w:fill="CCEEFF"/>
          </w:tcPr>
          <w:p>
            <w:pPr>
              <w:jc w:val="right"/>
              <w:ind w:right="112"/>
              <w:spacing w:after="0" w:line="122" w:lineRule="exact"/>
              <w:rPr>
                <w:sz w:val="20"/>
                <w:szCs w:val="20"/>
                <w:color w:val="auto"/>
              </w:rPr>
            </w:pPr>
            <w:r>
              <w:rPr>
                <w:rFonts w:ascii="Arial" w:cs="Arial" w:eastAsia="Arial" w:hAnsi="Arial"/>
                <w:sz w:val="14"/>
                <w:szCs w:val="14"/>
                <w:color w:val="auto"/>
              </w:rPr>
              <w:t>10,185</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w w:val="97"/>
              </w:rPr>
              <w:t>10,126</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10,185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1"/>
                <w:szCs w:val="11"/>
                <w:color w:val="auto"/>
              </w:rPr>
              <w:t xml:space="preserve">Preferred Equity (188 shares) </w:t>
            </w:r>
            <w:r>
              <w:rPr>
                <w:rFonts w:ascii="Arial" w:cs="Arial" w:eastAsia="Arial" w:hAnsi="Arial"/>
                <w:sz w:val="17"/>
                <w:szCs w:val="17"/>
                <w:color w:val="auto"/>
                <w:vertAlign w:val="superscript"/>
              </w:rPr>
              <w:t>(6) (9)</w:t>
            </w:r>
          </w:p>
        </w:tc>
        <w:tc>
          <w:tcPr>
            <w:tcW w:w="9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0.0%/8.0%</w:t>
            </w: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3"/>
                <w:szCs w:val="13"/>
                <w:color w:val="auto"/>
              </w:rPr>
              <w:t xml:space="preserve">Common Equity (3,728 shares) </w:t>
            </w:r>
            <w:r>
              <w:rPr>
                <w:rFonts w:ascii="Arial" w:cs="Arial" w:eastAsia="Arial" w:hAnsi="Arial"/>
                <w:sz w:val="20"/>
                <w:szCs w:val="20"/>
                <w:color w:val="auto"/>
                <w:vertAlign w:val="superscript"/>
              </w:rPr>
              <w:t>(9)</w:t>
            </w:r>
          </w:p>
        </w:tc>
        <w:tc>
          <w:tcPr>
            <w:tcW w:w="9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10,394</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10,456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6"/>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National Truck Protection Co., Inc.</w:t>
            </w:r>
          </w:p>
        </w:tc>
        <w:tc>
          <w:tcPr>
            <w:tcW w:w="1540" w:type="dxa"/>
            <w:vAlign w:val="bottom"/>
          </w:tcPr>
          <w:p>
            <w:pPr>
              <w:ind w:left="100"/>
              <w:spacing w:after="0"/>
              <w:rPr>
                <w:sz w:val="20"/>
                <w:szCs w:val="20"/>
                <w:color w:val="auto"/>
              </w:rPr>
            </w:pPr>
            <w:r>
              <w:rPr>
                <w:rFonts w:ascii="Arial" w:cs="Arial" w:eastAsia="Arial" w:hAnsi="Arial"/>
                <w:sz w:val="14"/>
                <w:szCs w:val="14"/>
                <w:color w:val="auto"/>
              </w:rPr>
              <w:t>Financial Services</w:t>
            </w:r>
          </w:p>
        </w:tc>
        <w:tc>
          <w:tcPr>
            <w:tcW w:w="2480" w:type="dxa"/>
            <w:vAlign w:val="bottom"/>
          </w:tcPr>
          <w:p>
            <w:pPr>
              <w:ind w:left="100"/>
              <w:spacing w:after="0"/>
              <w:rPr>
                <w:sz w:val="20"/>
                <w:szCs w:val="20"/>
                <w:color w:val="auto"/>
              </w:rPr>
            </w:pPr>
            <w:r>
              <w:rPr>
                <w:rFonts w:ascii="Arial" w:cs="Arial" w:eastAsia="Arial" w:hAnsi="Arial"/>
                <w:sz w:val="14"/>
                <w:szCs w:val="14"/>
                <w:color w:val="auto"/>
              </w:rPr>
              <w:t>Senior Secured Loan</w:t>
            </w:r>
          </w:p>
        </w:tc>
        <w:tc>
          <w:tcPr>
            <w:tcW w:w="900" w:type="dxa"/>
            <w:vAlign w:val="bottom"/>
          </w:tcPr>
          <w:p>
            <w:pPr>
              <w:ind w:left="120"/>
              <w:spacing w:after="0"/>
              <w:rPr>
                <w:sz w:val="20"/>
                <w:szCs w:val="20"/>
                <w:color w:val="auto"/>
              </w:rPr>
            </w:pPr>
            <w:r>
              <w:rPr>
                <w:rFonts w:ascii="Arial" w:cs="Arial" w:eastAsia="Arial" w:hAnsi="Arial"/>
                <w:sz w:val="14"/>
                <w:szCs w:val="14"/>
                <w:color w:val="auto"/>
              </w:rPr>
              <w:t>13.5%/2.0%</w:t>
            </w:r>
          </w:p>
        </w:tc>
        <w:tc>
          <w:tcPr>
            <w:tcW w:w="820" w:type="dxa"/>
            <w:vAlign w:val="bottom"/>
          </w:tcPr>
          <w:p>
            <w:pPr>
              <w:jc w:val="center"/>
              <w:spacing w:after="0"/>
              <w:rPr>
                <w:sz w:val="20"/>
                <w:szCs w:val="20"/>
                <w:color w:val="auto"/>
              </w:rPr>
            </w:pPr>
            <w:r>
              <w:rPr>
                <w:rFonts w:ascii="Arial" w:cs="Arial" w:eastAsia="Arial" w:hAnsi="Arial"/>
                <w:sz w:val="14"/>
                <w:szCs w:val="14"/>
                <w:color w:val="auto"/>
                <w:w w:val="86"/>
              </w:rPr>
              <w:t>9/13/2018</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12,662</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12,598</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ind w:left="100"/>
              <w:spacing w:after="0" w:line="159" w:lineRule="exact"/>
              <w:rPr>
                <w:sz w:val="20"/>
                <w:szCs w:val="20"/>
                <w:color w:val="auto"/>
              </w:rPr>
            </w:pPr>
            <w:r>
              <w:rPr>
                <w:rFonts w:ascii="Arial" w:cs="Arial" w:eastAsia="Arial" w:hAnsi="Arial"/>
                <w:sz w:val="14"/>
                <w:szCs w:val="14"/>
                <w:color w:val="auto"/>
              </w:rPr>
              <w:t>Common Units (1,109 shares)</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758</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1,923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13,356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14,585</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Oaktree Medical Centre, P.C.</w:t>
            </w:r>
          </w:p>
        </w:tc>
        <w:tc>
          <w:tcPr>
            <w:tcW w:w="154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Healthcare Services</w:t>
            </w:r>
          </w:p>
        </w:tc>
        <w:tc>
          <w:tcPr>
            <w:tcW w:w="2480" w:type="dxa"/>
            <w:vAlign w:val="bottom"/>
            <w:shd w:val="clear" w:color="auto" w:fill="CCEEFF"/>
          </w:tcPr>
          <w:p>
            <w:pPr>
              <w:ind w:left="100"/>
              <w:spacing w:after="0" w:line="122" w:lineRule="exact"/>
              <w:rPr>
                <w:sz w:val="20"/>
                <w:szCs w:val="20"/>
                <w:color w:val="auto"/>
              </w:rPr>
            </w:pPr>
            <w:r>
              <w:rPr>
                <w:rFonts w:ascii="Arial" w:cs="Arial" w:eastAsia="Arial" w:hAnsi="Arial"/>
                <w:sz w:val="10"/>
                <w:szCs w:val="10"/>
                <w:color w:val="auto"/>
              </w:rPr>
              <w:t xml:space="preserve">Senior Secured Loan </w:t>
            </w:r>
            <w:r>
              <w:rPr>
                <w:rFonts w:ascii="Arial" w:cs="Arial" w:eastAsia="Arial" w:hAnsi="Arial"/>
                <w:sz w:val="14"/>
                <w:szCs w:val="14"/>
                <w:color w:val="auto"/>
                <w:vertAlign w:val="superscript"/>
              </w:rPr>
              <w:t>(9)</w:t>
            </w:r>
          </w:p>
        </w:tc>
        <w:tc>
          <w:tcPr>
            <w:tcW w:w="90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6.5%/0.0%</w:t>
            </w: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5/6/2019</w:t>
            </w:r>
          </w:p>
        </w:tc>
        <w:tc>
          <w:tcPr>
            <w:tcW w:w="800" w:type="dxa"/>
            <w:vAlign w:val="bottom"/>
            <w:shd w:val="clear" w:color="auto" w:fill="CCEEFF"/>
          </w:tcPr>
          <w:p>
            <w:pPr>
              <w:jc w:val="right"/>
              <w:ind w:right="112"/>
              <w:spacing w:after="0" w:line="122" w:lineRule="exact"/>
              <w:rPr>
                <w:sz w:val="20"/>
                <w:szCs w:val="20"/>
                <w:color w:val="auto"/>
              </w:rPr>
            </w:pPr>
            <w:r>
              <w:rPr>
                <w:rFonts w:ascii="Arial" w:cs="Arial" w:eastAsia="Arial" w:hAnsi="Arial"/>
                <w:sz w:val="14"/>
                <w:szCs w:val="14"/>
                <w:color w:val="auto"/>
              </w:rPr>
              <w:t>700</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694</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i w:val="1"/>
                <w:iCs w:val="1"/>
                <w:color w:val="auto"/>
              </w:rPr>
              <w:t>(dba Pain Management</w:t>
            </w:r>
          </w:p>
        </w:tc>
        <w:tc>
          <w:tcPr>
            <w:tcW w:w="1540" w:type="dxa"/>
            <w:vAlign w:val="bottom"/>
            <w:shd w:val="clear" w:color="auto" w:fill="CCEEFF"/>
          </w:tcPr>
          <w:p>
            <w:pPr>
              <w:spacing w:after="0"/>
              <w:rPr>
                <w:sz w:val="13"/>
                <w:szCs w:val="13"/>
                <w:color w:val="auto"/>
              </w:rPr>
            </w:pPr>
          </w:p>
        </w:tc>
        <w:tc>
          <w:tcPr>
            <w:tcW w:w="2480" w:type="dxa"/>
            <w:vAlign w:val="bottom"/>
            <w:shd w:val="clear" w:color="auto" w:fill="CCEEFF"/>
          </w:tcPr>
          <w:p>
            <w:pPr>
              <w:ind w:left="100"/>
              <w:spacing w:after="0" w:line="160" w:lineRule="exact"/>
              <w:rPr>
                <w:sz w:val="20"/>
                <w:szCs w:val="20"/>
                <w:color w:val="auto"/>
              </w:rPr>
            </w:pPr>
            <w:r>
              <w:rPr>
                <w:rFonts w:ascii="Arial" w:cs="Arial" w:eastAsia="Arial" w:hAnsi="Arial"/>
                <w:sz w:val="12"/>
                <w:szCs w:val="12"/>
                <w:color w:val="auto"/>
              </w:rPr>
              <w:t xml:space="preserve">Senior Secured Loan </w:t>
            </w:r>
            <w:r>
              <w:rPr>
                <w:rFonts w:ascii="Arial" w:cs="Arial" w:eastAsia="Arial" w:hAnsi="Arial"/>
                <w:sz w:val="18"/>
                <w:szCs w:val="18"/>
                <w:color w:val="auto"/>
                <w:vertAlign w:val="superscript"/>
              </w:rPr>
              <w:t>(9)</w:t>
            </w:r>
          </w:p>
        </w:tc>
        <w:tc>
          <w:tcPr>
            <w:tcW w:w="900" w:type="dxa"/>
            <w:vAlign w:val="bottom"/>
            <w:shd w:val="clear" w:color="auto" w:fill="CCEEFF"/>
          </w:tcPr>
          <w:p>
            <w:pPr>
              <w:ind w:left="120"/>
              <w:spacing w:after="0" w:line="160" w:lineRule="exact"/>
              <w:rPr>
                <w:sz w:val="20"/>
                <w:szCs w:val="20"/>
                <w:color w:val="auto"/>
              </w:rPr>
            </w:pPr>
            <w:r>
              <w:rPr>
                <w:rFonts w:ascii="Arial" w:cs="Arial" w:eastAsia="Arial" w:hAnsi="Arial"/>
                <w:sz w:val="14"/>
                <w:szCs w:val="14"/>
                <w:color w:val="auto"/>
              </w:rPr>
              <w:t>14.0%/0.0%</w:t>
            </w:r>
          </w:p>
        </w:tc>
        <w:tc>
          <w:tcPr>
            <w:tcW w:w="82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5/6/2019</w:t>
            </w:r>
          </w:p>
        </w:tc>
        <w:tc>
          <w:tcPr>
            <w:tcW w:w="800" w:type="dxa"/>
            <w:vAlign w:val="bottom"/>
            <w:shd w:val="clear" w:color="auto" w:fill="CCEEFF"/>
          </w:tcPr>
          <w:p>
            <w:pPr>
              <w:jc w:val="right"/>
              <w:ind w:right="112"/>
              <w:spacing w:after="0" w:line="160" w:lineRule="exact"/>
              <w:rPr>
                <w:sz w:val="20"/>
                <w:szCs w:val="20"/>
                <w:color w:val="auto"/>
              </w:rPr>
            </w:pPr>
            <w:r>
              <w:rPr>
                <w:rFonts w:ascii="Arial" w:cs="Arial" w:eastAsia="Arial" w:hAnsi="Arial"/>
                <w:sz w:val="14"/>
                <w:szCs w:val="14"/>
                <w:color w:val="auto"/>
              </w:rPr>
              <w:t>5,300</w:t>
            </w:r>
          </w:p>
        </w:tc>
        <w:tc>
          <w:tcPr>
            <w:tcW w:w="44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5,254</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i w:val="1"/>
                <w:iCs w:val="1"/>
                <w:color w:val="auto"/>
              </w:rPr>
              <w:t>Associates)</w:t>
            </w:r>
          </w:p>
        </w:tc>
        <w:tc>
          <w:tcPr>
            <w:tcW w:w="154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ind w:left="100"/>
              <w:spacing w:after="0" w:line="178" w:lineRule="exact"/>
              <w:rPr>
                <w:sz w:val="20"/>
                <w:szCs w:val="20"/>
                <w:color w:val="auto"/>
              </w:rPr>
            </w:pPr>
            <w:r>
              <w:rPr>
                <w:rFonts w:ascii="Arial" w:cs="Arial" w:eastAsia="Arial" w:hAnsi="Arial"/>
                <w:sz w:val="13"/>
                <w:szCs w:val="13"/>
                <w:color w:val="auto"/>
              </w:rPr>
              <w:t xml:space="preserve">Revolving Loan ($500 commitment) </w:t>
            </w:r>
            <w:r>
              <w:rPr>
                <w:rFonts w:ascii="Arial" w:cs="Arial" w:eastAsia="Arial" w:hAnsi="Arial"/>
                <w:sz w:val="20"/>
                <w:szCs w:val="20"/>
                <w:color w:val="auto"/>
                <w:vertAlign w:val="superscript"/>
              </w:rPr>
              <w:t>(9)</w:t>
            </w: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6.5%/0.0%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5/6/2019</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250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6,194</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5,925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65"/>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Pinnergy, Ltd.</w:t>
            </w:r>
          </w:p>
        </w:tc>
        <w:tc>
          <w:tcPr>
            <w:tcW w:w="1540" w:type="dxa"/>
            <w:vAlign w:val="bottom"/>
          </w:tcPr>
          <w:p>
            <w:pPr>
              <w:ind w:left="100"/>
              <w:spacing w:after="0"/>
              <w:rPr>
                <w:sz w:val="20"/>
                <w:szCs w:val="20"/>
                <w:color w:val="auto"/>
              </w:rPr>
            </w:pPr>
            <w:r>
              <w:rPr>
                <w:rFonts w:ascii="Arial" w:cs="Arial" w:eastAsia="Arial" w:hAnsi="Arial"/>
                <w:sz w:val="14"/>
                <w:szCs w:val="14"/>
                <w:color w:val="auto"/>
              </w:rPr>
              <w:t>Oil &amp; Gas Services</w:t>
            </w:r>
          </w:p>
        </w:tc>
        <w:tc>
          <w:tcPr>
            <w:tcW w:w="2480" w:type="dxa"/>
            <w:vAlign w:val="bottom"/>
          </w:tcPr>
          <w:p>
            <w:pPr>
              <w:ind w:left="100"/>
              <w:spacing w:after="0"/>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22"/>
                <w:szCs w:val="22"/>
                <w:color w:val="auto"/>
                <w:vertAlign w:val="superscript"/>
              </w:rPr>
              <w:t>(10)</w:t>
            </w:r>
          </w:p>
        </w:tc>
        <w:tc>
          <w:tcPr>
            <w:tcW w:w="900" w:type="dxa"/>
            <w:vAlign w:val="bottom"/>
          </w:tcPr>
          <w:p>
            <w:pPr>
              <w:ind w:left="120"/>
              <w:spacing w:after="0"/>
              <w:rPr>
                <w:sz w:val="20"/>
                <w:szCs w:val="20"/>
                <w:color w:val="auto"/>
              </w:rPr>
            </w:pPr>
            <w:r>
              <w:rPr>
                <w:rFonts w:ascii="Arial" w:cs="Arial" w:eastAsia="Arial" w:hAnsi="Arial"/>
                <w:sz w:val="14"/>
                <w:szCs w:val="14"/>
                <w:color w:val="auto"/>
              </w:rPr>
              <w:t>10.5%/0.8%</w:t>
            </w:r>
          </w:p>
        </w:tc>
        <w:tc>
          <w:tcPr>
            <w:tcW w:w="820" w:type="dxa"/>
            <w:vAlign w:val="bottom"/>
          </w:tcPr>
          <w:p>
            <w:pPr>
              <w:jc w:val="center"/>
              <w:spacing w:after="0"/>
              <w:rPr>
                <w:sz w:val="20"/>
                <w:szCs w:val="20"/>
                <w:color w:val="auto"/>
              </w:rPr>
            </w:pPr>
            <w:r>
              <w:rPr>
                <w:rFonts w:ascii="Arial" w:cs="Arial" w:eastAsia="Arial" w:hAnsi="Arial"/>
                <w:sz w:val="14"/>
                <w:szCs w:val="14"/>
                <w:color w:val="auto"/>
                <w:w w:val="86"/>
              </w:rPr>
              <w:t>1/24/2020</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20,000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19,931</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19,812</w:t>
            </w: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Plymouth Rock Energy, LLC</w:t>
            </w: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Senior Secured Loan</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11.8%/0.0%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5/14/2017</w:t>
            </w: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5,973</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83"/>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Premium Franchise Brands, LLC</w:t>
            </w:r>
          </w:p>
        </w:tc>
        <w:tc>
          <w:tcPr>
            <w:tcW w:w="1540" w:type="dxa"/>
            <w:vAlign w:val="bottom"/>
          </w:tcPr>
          <w:p>
            <w:pPr>
              <w:ind w:left="100"/>
              <w:spacing w:after="0"/>
              <w:rPr>
                <w:sz w:val="20"/>
                <w:szCs w:val="20"/>
                <w:color w:val="auto"/>
              </w:rPr>
            </w:pPr>
            <w:r>
              <w:rPr>
                <w:rFonts w:ascii="Arial" w:cs="Arial" w:eastAsia="Arial" w:hAnsi="Arial"/>
                <w:sz w:val="14"/>
                <w:szCs w:val="14"/>
                <w:color w:val="auto"/>
              </w:rPr>
              <w:t>Commercial Cleaning</w:t>
            </w:r>
          </w:p>
        </w:tc>
        <w:tc>
          <w:tcPr>
            <w:tcW w:w="2480" w:type="dxa"/>
            <w:vAlign w:val="bottom"/>
          </w:tcPr>
          <w:p>
            <w:pPr>
              <w:ind w:left="100"/>
              <w:spacing w:after="0"/>
              <w:rPr>
                <w:sz w:val="20"/>
                <w:szCs w:val="20"/>
                <w:color w:val="auto"/>
              </w:rPr>
            </w:pPr>
            <w:r>
              <w:rPr>
                <w:rFonts w:ascii="Arial" w:cs="Arial" w:eastAsia="Arial" w:hAnsi="Arial"/>
                <w:sz w:val="14"/>
                <w:szCs w:val="14"/>
                <w:color w:val="auto"/>
              </w:rPr>
              <w:t>Preferred Equity (1,054,619 shares)</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832</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Restaurant Finance Co, LLC</w:t>
            </w:r>
          </w:p>
        </w:tc>
        <w:tc>
          <w:tcPr>
            <w:tcW w:w="154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Restaurants</w:t>
            </w:r>
          </w:p>
        </w:tc>
        <w:tc>
          <w:tcPr>
            <w:tcW w:w="248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Senior Secured Loan</w:t>
            </w:r>
          </w:p>
        </w:tc>
        <w:tc>
          <w:tcPr>
            <w:tcW w:w="90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12.0%/4.0%</w:t>
            </w: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6"/>
              </w:rPr>
              <w:t>7/31/2020</w:t>
            </w:r>
          </w:p>
        </w:tc>
        <w:tc>
          <w:tcPr>
            <w:tcW w:w="800" w:type="dxa"/>
            <w:vAlign w:val="bottom"/>
            <w:shd w:val="clear" w:color="auto" w:fill="CCEEFF"/>
          </w:tcPr>
          <w:p>
            <w:pPr>
              <w:jc w:val="right"/>
              <w:ind w:right="112"/>
              <w:spacing w:after="0" w:line="122" w:lineRule="exact"/>
              <w:rPr>
                <w:sz w:val="20"/>
                <w:szCs w:val="20"/>
                <w:color w:val="auto"/>
              </w:rPr>
            </w:pPr>
            <w:r>
              <w:rPr>
                <w:rFonts w:ascii="Arial" w:cs="Arial" w:eastAsia="Arial" w:hAnsi="Arial"/>
                <w:sz w:val="14"/>
                <w:szCs w:val="14"/>
                <w:color w:val="auto"/>
              </w:rPr>
              <w:t>5,145</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5,133</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5,145</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8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 xml:space="preserve">($10,500 commitment) </w:t>
            </w:r>
            <w:r>
              <w:rPr>
                <w:rFonts w:ascii="Arial" w:cs="Arial" w:eastAsia="Arial" w:hAnsi="Arial"/>
                <w:sz w:val="20"/>
                <w:szCs w:val="20"/>
                <w:color w:val="auto"/>
                <w:vertAlign w:val="superscript"/>
              </w:rPr>
              <w:t>(10)</w:t>
            </w: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Simplex Manufacturing Co.</w:t>
            </w:r>
          </w:p>
        </w:tc>
        <w:tc>
          <w:tcPr>
            <w:tcW w:w="1540" w:type="dxa"/>
            <w:vAlign w:val="bottom"/>
          </w:tcPr>
          <w:p>
            <w:pPr>
              <w:ind w:left="100"/>
              <w:spacing w:after="0"/>
              <w:rPr>
                <w:sz w:val="20"/>
                <w:szCs w:val="20"/>
                <w:color w:val="auto"/>
              </w:rPr>
            </w:pPr>
            <w:r>
              <w:rPr>
                <w:rFonts w:ascii="Arial" w:cs="Arial" w:eastAsia="Arial" w:hAnsi="Arial"/>
                <w:sz w:val="14"/>
                <w:szCs w:val="14"/>
                <w:color w:val="auto"/>
              </w:rPr>
              <w:t>Aerospace &amp; Defense</w:t>
            </w:r>
          </w:p>
        </w:tc>
        <w:tc>
          <w:tcPr>
            <w:tcW w:w="2480" w:type="dxa"/>
            <w:vAlign w:val="bottom"/>
          </w:tcPr>
          <w:p>
            <w:pPr>
              <w:ind w:left="100"/>
              <w:spacing w:after="0"/>
              <w:rPr>
                <w:sz w:val="20"/>
                <w:szCs w:val="20"/>
                <w:color w:val="auto"/>
              </w:rPr>
            </w:pPr>
            <w:r>
              <w:rPr>
                <w:rFonts w:ascii="Arial" w:cs="Arial" w:eastAsia="Arial" w:hAnsi="Arial"/>
                <w:sz w:val="14"/>
                <w:szCs w:val="14"/>
                <w:color w:val="auto"/>
              </w:rPr>
              <w:t>Subordinated Note</w:t>
            </w:r>
          </w:p>
        </w:tc>
        <w:tc>
          <w:tcPr>
            <w:tcW w:w="900" w:type="dxa"/>
            <w:vAlign w:val="bottom"/>
          </w:tcPr>
          <w:p>
            <w:pPr>
              <w:ind w:left="120"/>
              <w:spacing w:after="0"/>
              <w:rPr>
                <w:sz w:val="20"/>
                <w:szCs w:val="20"/>
                <w:color w:val="auto"/>
              </w:rPr>
            </w:pPr>
            <w:r>
              <w:rPr>
                <w:rFonts w:ascii="Arial" w:cs="Arial" w:eastAsia="Arial" w:hAnsi="Arial"/>
                <w:sz w:val="14"/>
                <w:szCs w:val="14"/>
                <w:color w:val="auto"/>
              </w:rPr>
              <w:t>14.0%/0.0%</w:t>
            </w:r>
          </w:p>
        </w:tc>
        <w:tc>
          <w:tcPr>
            <w:tcW w:w="820" w:type="dxa"/>
            <w:vAlign w:val="bottom"/>
          </w:tcPr>
          <w:p>
            <w:pPr>
              <w:jc w:val="center"/>
              <w:spacing w:after="0"/>
              <w:rPr>
                <w:sz w:val="20"/>
                <w:szCs w:val="20"/>
                <w:color w:val="auto"/>
              </w:rPr>
            </w:pPr>
            <w:r>
              <w:rPr>
                <w:rFonts w:ascii="Arial" w:cs="Arial" w:eastAsia="Arial" w:hAnsi="Arial"/>
                <w:sz w:val="14"/>
                <w:szCs w:val="14"/>
                <w:color w:val="auto"/>
                <w:w w:val="86"/>
              </w:rPr>
              <w:t>11/1/2015</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4,550</w:t>
            </w:r>
          </w:p>
        </w:tc>
        <w:tc>
          <w:tcPr>
            <w:tcW w:w="440" w:type="dxa"/>
            <w:vAlign w:val="bottom"/>
          </w:tcPr>
          <w:p>
            <w:pPr>
              <w:jc w:val="right"/>
              <w:spacing w:after="0"/>
              <w:rPr>
                <w:sz w:val="20"/>
                <w:szCs w:val="20"/>
                <w:color w:val="auto"/>
              </w:rPr>
            </w:pPr>
            <w:r>
              <w:rPr>
                <w:rFonts w:ascii="Arial" w:cs="Arial" w:eastAsia="Arial" w:hAnsi="Arial"/>
                <w:sz w:val="14"/>
                <w:szCs w:val="14"/>
                <w:color w:val="auto"/>
              </w:rPr>
              <w:t>4,537</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Manufacturing</w:t>
            </w:r>
          </w:p>
        </w:tc>
        <w:tc>
          <w:tcPr>
            <w:tcW w:w="2480" w:type="dxa"/>
            <w:vAlign w:val="bottom"/>
          </w:tcPr>
          <w:p>
            <w:pPr>
              <w:ind w:left="100"/>
              <w:spacing w:after="0"/>
              <w:rPr>
                <w:sz w:val="20"/>
                <w:szCs w:val="20"/>
                <w:color w:val="auto"/>
              </w:rPr>
            </w:pPr>
            <w:r>
              <w:rPr>
                <w:rFonts w:ascii="Arial" w:cs="Arial" w:eastAsia="Arial" w:hAnsi="Arial"/>
                <w:sz w:val="14"/>
                <w:szCs w:val="14"/>
                <w:color w:val="auto"/>
              </w:rPr>
              <w:t>Warrant (24 shares)</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5,247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5,350</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Toledo Molding &amp; Die, Inc.</w:t>
            </w: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Component</w:t>
            </w:r>
          </w:p>
        </w:tc>
        <w:tc>
          <w:tcPr>
            <w:tcW w:w="2480" w:type="dxa"/>
            <w:vAlign w:val="bottom"/>
            <w:shd w:val="clear" w:color="auto" w:fill="CCEEFF"/>
          </w:tcPr>
          <w:p>
            <w:pPr>
              <w:ind w:left="100"/>
              <w:spacing w:after="0" w:line="149" w:lineRule="exact"/>
              <w:rPr>
                <w:sz w:val="20"/>
                <w:szCs w:val="20"/>
                <w:color w:val="auto"/>
              </w:rPr>
            </w:pPr>
            <w:r>
              <w:rPr>
                <w:rFonts w:ascii="Arial" w:cs="Arial" w:eastAsia="Arial" w:hAnsi="Arial"/>
                <w:sz w:val="11"/>
                <w:szCs w:val="11"/>
                <w:color w:val="auto"/>
              </w:rPr>
              <w:t xml:space="preserve">Subordinated Note </w:t>
            </w:r>
            <w:r>
              <w:rPr>
                <w:rFonts w:ascii="Arial" w:cs="Arial" w:eastAsia="Arial" w:hAnsi="Arial"/>
                <w:sz w:val="17"/>
                <w:szCs w:val="17"/>
                <w:color w:val="auto"/>
                <w:vertAlign w:val="superscript"/>
              </w:rPr>
              <w:t>(9)</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10.5%/0.0%</w:t>
            </w: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12/18/2018</w:t>
            </w:r>
          </w:p>
        </w:tc>
        <w:tc>
          <w:tcPr>
            <w:tcW w:w="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10,000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Manufacturing</w:t>
            </w:r>
          </w:p>
        </w:tc>
        <w:tc>
          <w:tcPr>
            <w:tcW w:w="2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United Biologics, LLC</w:t>
            </w:r>
          </w:p>
        </w:tc>
        <w:tc>
          <w:tcPr>
            <w:tcW w:w="1540" w:type="dxa"/>
            <w:vAlign w:val="bottom"/>
          </w:tcPr>
          <w:p>
            <w:pPr>
              <w:ind w:left="100"/>
              <w:spacing w:after="0"/>
              <w:rPr>
                <w:sz w:val="20"/>
                <w:szCs w:val="20"/>
                <w:color w:val="auto"/>
              </w:rPr>
            </w:pPr>
            <w:r>
              <w:rPr>
                <w:rFonts w:ascii="Arial" w:cs="Arial" w:eastAsia="Arial" w:hAnsi="Arial"/>
                <w:sz w:val="14"/>
                <w:szCs w:val="14"/>
                <w:color w:val="auto"/>
              </w:rPr>
              <w:t>Healthcare Services</w:t>
            </w:r>
          </w:p>
        </w:tc>
        <w:tc>
          <w:tcPr>
            <w:tcW w:w="2480" w:type="dxa"/>
            <w:vAlign w:val="bottom"/>
          </w:tcPr>
          <w:p>
            <w:pPr>
              <w:ind w:left="100"/>
              <w:spacing w:after="0"/>
              <w:rPr>
                <w:sz w:val="20"/>
                <w:szCs w:val="20"/>
                <w:color w:val="auto"/>
              </w:rPr>
            </w:pPr>
            <w:r>
              <w:rPr>
                <w:rFonts w:ascii="Arial" w:cs="Arial" w:eastAsia="Arial" w:hAnsi="Arial"/>
                <w:sz w:val="14"/>
                <w:szCs w:val="14"/>
                <w:color w:val="auto"/>
              </w:rPr>
              <w:t>Subordinated Note</w:t>
            </w:r>
          </w:p>
        </w:tc>
        <w:tc>
          <w:tcPr>
            <w:tcW w:w="900" w:type="dxa"/>
            <w:vAlign w:val="bottom"/>
          </w:tcPr>
          <w:p>
            <w:pPr>
              <w:ind w:left="120"/>
              <w:spacing w:after="0"/>
              <w:rPr>
                <w:sz w:val="20"/>
                <w:szCs w:val="20"/>
                <w:color w:val="auto"/>
              </w:rPr>
            </w:pPr>
            <w:r>
              <w:rPr>
                <w:rFonts w:ascii="Arial" w:cs="Arial" w:eastAsia="Arial" w:hAnsi="Arial"/>
                <w:sz w:val="14"/>
                <w:szCs w:val="14"/>
                <w:color w:val="auto"/>
              </w:rPr>
              <w:t>12.0%/2.0%</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3/5/2017</w:t>
            </w: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8,688</w:t>
            </w:r>
          </w:p>
        </w:tc>
        <w:tc>
          <w:tcPr>
            <w:tcW w:w="440" w:type="dxa"/>
            <w:vAlign w:val="bottom"/>
          </w:tcPr>
          <w:p>
            <w:pPr>
              <w:jc w:val="right"/>
              <w:spacing w:after="0"/>
              <w:rPr>
                <w:sz w:val="20"/>
                <w:szCs w:val="20"/>
                <w:color w:val="auto"/>
              </w:rPr>
            </w:pPr>
            <w:r>
              <w:rPr>
                <w:rFonts w:ascii="Arial" w:cs="Arial" w:eastAsia="Arial" w:hAnsi="Arial"/>
                <w:sz w:val="14"/>
                <w:szCs w:val="14"/>
                <w:color w:val="auto"/>
              </w:rPr>
              <w:t>8,393</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ind w:left="100"/>
              <w:spacing w:after="0" w:line="165" w:lineRule="exact"/>
              <w:rPr>
                <w:sz w:val="20"/>
                <w:szCs w:val="20"/>
                <w:color w:val="auto"/>
              </w:rPr>
            </w:pPr>
            <w:r>
              <w:rPr>
                <w:rFonts w:ascii="Arial" w:cs="Arial" w:eastAsia="Arial" w:hAnsi="Arial"/>
                <w:sz w:val="12"/>
                <w:szCs w:val="12"/>
                <w:color w:val="auto"/>
              </w:rPr>
              <w:t xml:space="preserve">Preferred Equity (98,377 units) </w:t>
            </w:r>
            <w:r>
              <w:rPr>
                <w:rFonts w:ascii="Arial" w:cs="Arial" w:eastAsia="Arial" w:hAnsi="Arial"/>
                <w:sz w:val="19"/>
                <w:szCs w:val="19"/>
                <w:color w:val="auto"/>
                <w:vertAlign w:val="superscript"/>
              </w:rPr>
              <w:t>(7) (9)</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1,069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ind w:left="100"/>
              <w:spacing w:after="0" w:line="159" w:lineRule="exact"/>
              <w:rPr>
                <w:sz w:val="20"/>
                <w:szCs w:val="20"/>
                <w:color w:val="auto"/>
              </w:rPr>
            </w:pPr>
            <w:r>
              <w:rPr>
                <w:rFonts w:ascii="Arial" w:cs="Arial" w:eastAsia="Arial" w:hAnsi="Arial"/>
                <w:sz w:val="14"/>
                <w:szCs w:val="14"/>
                <w:color w:val="auto"/>
              </w:rPr>
              <w:t>Warrant (57,469 units)</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566</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10,028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10,038</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4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US GreenFiber, LLC</w:t>
            </w:r>
          </w:p>
        </w:tc>
        <w:tc>
          <w:tcPr>
            <w:tcW w:w="154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Building Products</w:t>
            </w:r>
          </w:p>
        </w:tc>
        <w:tc>
          <w:tcPr>
            <w:tcW w:w="2480" w:type="dxa"/>
            <w:vAlign w:val="bottom"/>
            <w:shd w:val="clear" w:color="auto" w:fill="CCEEFF"/>
          </w:tcPr>
          <w:p>
            <w:pPr>
              <w:ind w:left="100"/>
              <w:spacing w:after="0" w:line="122" w:lineRule="exact"/>
              <w:rPr>
                <w:sz w:val="20"/>
                <w:szCs w:val="20"/>
                <w:color w:val="auto"/>
              </w:rPr>
            </w:pPr>
            <w:r>
              <w:rPr>
                <w:rFonts w:ascii="Arial" w:cs="Arial" w:eastAsia="Arial" w:hAnsi="Arial"/>
                <w:sz w:val="10"/>
                <w:szCs w:val="10"/>
                <w:color w:val="auto"/>
              </w:rPr>
              <w:t xml:space="preserve">Subordinated Note </w:t>
            </w:r>
            <w:r>
              <w:rPr>
                <w:rFonts w:ascii="Arial" w:cs="Arial" w:eastAsia="Arial" w:hAnsi="Arial"/>
                <w:sz w:val="14"/>
                <w:szCs w:val="14"/>
                <w:color w:val="auto"/>
                <w:vertAlign w:val="superscript"/>
              </w:rPr>
              <w:t>(10)</w:t>
            </w:r>
          </w:p>
        </w:tc>
        <w:tc>
          <w:tcPr>
            <w:tcW w:w="90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12.5%/0.0%</w:t>
            </w: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1/2/2019</w:t>
            </w:r>
          </w:p>
        </w:tc>
        <w:tc>
          <w:tcPr>
            <w:tcW w:w="800" w:type="dxa"/>
            <w:vAlign w:val="bottom"/>
            <w:shd w:val="clear" w:color="auto" w:fill="CCEEFF"/>
          </w:tcPr>
          <w:p>
            <w:pPr>
              <w:jc w:val="right"/>
              <w:ind w:right="112"/>
              <w:spacing w:after="0" w:line="122" w:lineRule="exact"/>
              <w:rPr>
                <w:sz w:val="20"/>
                <w:szCs w:val="20"/>
                <w:color w:val="auto"/>
              </w:rPr>
            </w:pPr>
            <w:r>
              <w:rPr>
                <w:rFonts w:ascii="Arial" w:cs="Arial" w:eastAsia="Arial" w:hAnsi="Arial"/>
                <w:sz w:val="14"/>
                <w:szCs w:val="14"/>
                <w:color w:val="auto"/>
              </w:rPr>
              <w:t>14,000</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w w:val="97"/>
              </w:rPr>
              <w:t>13,936</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13,936</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Manufacturing</w:t>
            </w:r>
          </w:p>
        </w:tc>
        <w:tc>
          <w:tcPr>
            <w:tcW w:w="2480" w:type="dxa"/>
            <w:vAlign w:val="bottom"/>
            <w:tcBorders>
              <w:bottom w:val="single" w:sz="8" w:color="CCEEFF"/>
            </w:tcBorders>
            <w:shd w:val="clear" w:color="auto" w:fill="CCEEFF"/>
          </w:tcPr>
          <w:p>
            <w:pPr>
              <w:ind w:left="100"/>
              <w:spacing w:after="0" w:line="176" w:lineRule="exact"/>
              <w:rPr>
                <w:sz w:val="20"/>
                <w:szCs w:val="20"/>
                <w:color w:val="auto"/>
              </w:rPr>
            </w:pPr>
            <w:r>
              <w:rPr>
                <w:rFonts w:ascii="Arial" w:cs="Arial" w:eastAsia="Arial" w:hAnsi="Arial"/>
                <w:sz w:val="13"/>
                <w:szCs w:val="13"/>
                <w:color w:val="auto"/>
              </w:rPr>
              <w:t xml:space="preserve">Common Equity (1,667 units) </w:t>
            </w:r>
            <w:r>
              <w:rPr>
                <w:rFonts w:ascii="Arial" w:cs="Arial" w:eastAsia="Arial" w:hAnsi="Arial"/>
                <w:sz w:val="20"/>
                <w:szCs w:val="20"/>
                <w:color w:val="auto"/>
                <w:vertAlign w:val="superscript"/>
              </w:rPr>
              <w:t>(7) (9)</w:t>
            </w:r>
          </w:p>
        </w:tc>
        <w:tc>
          <w:tcPr>
            <w:tcW w:w="9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14,436</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14,436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 xml:space="preserve">Rate </w:t>
            </w:r>
            <w:r>
              <w:rPr>
                <w:rFonts w:ascii="Arial" w:cs="Arial" w:eastAsia="Arial" w:hAnsi="Arial"/>
                <w:sz w:val="22"/>
                <w:szCs w:val="22"/>
                <w:b w:val="1"/>
                <w:bCs w:val="1"/>
                <w:color w:val="auto"/>
                <w:w w:val="80"/>
                <w:vertAlign w:val="superscript"/>
              </w:rPr>
              <w:t>(4)</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9"/>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1580" w:type="dxa"/>
            <w:vAlign w:val="bottom"/>
          </w:tcPr>
          <w:p>
            <w:pPr>
              <w:spacing w:after="0"/>
              <w:rPr>
                <w:sz w:val="12"/>
                <w:szCs w:val="12"/>
                <w:color w:val="auto"/>
              </w:rPr>
            </w:pPr>
          </w:p>
        </w:tc>
        <w:tc>
          <w:tcPr>
            <w:tcW w:w="25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68"/>
        </w:trPr>
        <w:tc>
          <w:tcPr>
            <w:tcW w:w="2600" w:type="dxa"/>
            <w:vAlign w:val="bottom"/>
            <w:gridSpan w:val="2"/>
            <w:vMerge w:val="continue"/>
          </w:tcPr>
          <w:p>
            <w:pPr>
              <w:spacing w:after="0"/>
              <w:rPr>
                <w:sz w:val="14"/>
                <w:szCs w:val="14"/>
                <w:color w:val="auto"/>
              </w:rPr>
            </w:pPr>
          </w:p>
        </w:tc>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Industry</w:t>
            </w:r>
          </w:p>
        </w:tc>
        <w:tc>
          <w:tcPr>
            <w:tcW w:w="250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Cash/PIK</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Maturity</w:t>
            </w: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Virginia Tile Company, LLC</w:t>
            </w:r>
          </w:p>
        </w:tc>
        <w:tc>
          <w:tcPr>
            <w:tcW w:w="1580" w:type="dxa"/>
            <w:vAlign w:val="bottom"/>
            <w:tcBorders>
              <w:top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Specialty Distribution</w:t>
            </w:r>
          </w:p>
        </w:tc>
        <w:tc>
          <w:tcPr>
            <w:tcW w:w="2500" w:type="dxa"/>
            <w:vAlign w:val="bottom"/>
            <w:tcBorders>
              <w:top w:val="single" w:sz="8" w:color="auto"/>
            </w:tcBorders>
            <w:shd w:val="clear" w:color="auto" w:fill="CCEEFF"/>
          </w:tcPr>
          <w:p>
            <w:pPr>
              <w:ind w:left="180"/>
              <w:spacing w:after="0" w:line="149" w:lineRule="exact"/>
              <w:rPr>
                <w:sz w:val="20"/>
                <w:szCs w:val="20"/>
                <w:color w:val="auto"/>
              </w:rPr>
            </w:pPr>
            <w:r>
              <w:rPr>
                <w:rFonts w:ascii="Arial" w:cs="Arial" w:eastAsia="Arial" w:hAnsi="Arial"/>
                <w:sz w:val="11"/>
                <w:szCs w:val="11"/>
                <w:color w:val="auto"/>
              </w:rPr>
              <w:t xml:space="preserve">Subordinated Note </w:t>
            </w:r>
            <w:r>
              <w:rPr>
                <w:rFonts w:ascii="Arial" w:cs="Arial" w:eastAsia="Arial" w:hAnsi="Arial"/>
                <w:sz w:val="17"/>
                <w:szCs w:val="17"/>
                <w:color w:val="auto"/>
                <w:vertAlign w:val="superscript"/>
              </w:rPr>
              <w:t>(10)</w:t>
            </w:r>
          </w:p>
        </w:tc>
        <w:tc>
          <w:tcPr>
            <w:tcW w:w="90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12.3%/0.0%</w:t>
            </w:r>
          </w:p>
        </w:tc>
        <w:tc>
          <w:tcPr>
            <w:tcW w:w="72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5/19/2020</w:t>
            </w:r>
          </w:p>
        </w:tc>
        <w:tc>
          <w:tcPr>
            <w:tcW w:w="900" w:type="dxa"/>
            <w:vAlign w:val="bottom"/>
            <w:tcBorders>
              <w:top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  12,000</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11,940</w:t>
            </w: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11,940</w:t>
            </w: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5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Common Equity (19.5 shares)</w:t>
            </w: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12,190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12,190</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4"/>
                <w:szCs w:val="14"/>
                <w:i w:val="1"/>
                <w:iCs w:val="1"/>
                <w:color w:val="auto"/>
              </w:rPr>
              <w:t>Worldwide Express</w:t>
            </w:r>
          </w:p>
        </w:tc>
        <w:tc>
          <w:tcPr>
            <w:tcW w:w="1580" w:type="dxa"/>
            <w:vAlign w:val="bottom"/>
          </w:tcPr>
          <w:p>
            <w:pPr>
              <w:ind w:left="180"/>
              <w:spacing w:after="0"/>
              <w:rPr>
                <w:sz w:val="20"/>
                <w:szCs w:val="20"/>
                <w:color w:val="auto"/>
              </w:rPr>
            </w:pPr>
            <w:r>
              <w:rPr>
                <w:rFonts w:ascii="Arial" w:cs="Arial" w:eastAsia="Arial" w:hAnsi="Arial"/>
                <w:sz w:val="14"/>
                <w:szCs w:val="14"/>
                <w:color w:val="auto"/>
                <w:w w:val="93"/>
              </w:rPr>
              <w:t>Transportation Services</w:t>
            </w:r>
          </w:p>
        </w:tc>
        <w:tc>
          <w:tcPr>
            <w:tcW w:w="2500" w:type="dxa"/>
            <w:vAlign w:val="bottom"/>
          </w:tcPr>
          <w:p>
            <w:pPr>
              <w:ind w:left="180"/>
              <w:spacing w:after="0"/>
              <w:rPr>
                <w:sz w:val="20"/>
                <w:szCs w:val="20"/>
                <w:color w:val="auto"/>
              </w:rPr>
            </w:pPr>
            <w:r>
              <w:rPr>
                <w:rFonts w:ascii="Arial" w:cs="Arial" w:eastAsia="Arial" w:hAnsi="Arial"/>
                <w:sz w:val="14"/>
                <w:szCs w:val="14"/>
                <w:color w:val="auto"/>
              </w:rPr>
              <w:t>Subordinated Note</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11.5%/1.0%</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8/1/2020</w:t>
            </w:r>
          </w:p>
        </w:tc>
        <w:tc>
          <w:tcPr>
            <w:tcW w:w="900" w:type="dxa"/>
            <w:vAlign w:val="bottom"/>
          </w:tcPr>
          <w:p>
            <w:pPr>
              <w:jc w:val="right"/>
              <w:ind w:right="192"/>
              <w:spacing w:after="0"/>
              <w:rPr>
                <w:sz w:val="20"/>
                <w:szCs w:val="20"/>
                <w:color w:val="auto"/>
              </w:rPr>
            </w:pPr>
            <w:r>
              <w:rPr>
                <w:rFonts w:ascii="Arial" w:cs="Arial" w:eastAsia="Arial" w:hAnsi="Arial"/>
                <w:sz w:val="14"/>
                <w:szCs w:val="14"/>
                <w:color w:val="auto"/>
              </w:rPr>
              <w:t>12,678</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12,578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12,678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tcPr>
          <w:p>
            <w:pPr>
              <w:ind w:left="120"/>
              <w:spacing w:after="0"/>
              <w:rPr>
                <w:sz w:val="20"/>
                <w:szCs w:val="20"/>
                <w:color w:val="auto"/>
              </w:rPr>
            </w:pPr>
            <w:r>
              <w:rPr>
                <w:rFonts w:ascii="Arial" w:cs="Arial" w:eastAsia="Arial" w:hAnsi="Arial"/>
                <w:sz w:val="14"/>
                <w:szCs w:val="14"/>
                <w:i w:val="1"/>
                <w:iCs w:val="1"/>
                <w:color w:val="auto"/>
              </w:rPr>
              <w:t>Operations, LLC</w:t>
            </w:r>
          </w:p>
        </w:tc>
        <w:tc>
          <w:tcPr>
            <w:tcW w:w="1580" w:type="dxa"/>
            <w:vAlign w:val="bottom"/>
          </w:tcPr>
          <w:p>
            <w:pPr>
              <w:spacing w:after="0"/>
              <w:rPr>
                <w:sz w:val="16"/>
                <w:szCs w:val="16"/>
                <w:color w:val="auto"/>
              </w:rPr>
            </w:pPr>
          </w:p>
        </w:tc>
        <w:tc>
          <w:tcPr>
            <w:tcW w:w="2500" w:type="dxa"/>
            <w:vAlign w:val="bottom"/>
          </w:tcPr>
          <w:p>
            <w:pPr>
              <w:ind w:left="180"/>
              <w:spacing w:after="0" w:line="189" w:lineRule="exact"/>
              <w:rPr>
                <w:sz w:val="20"/>
                <w:szCs w:val="20"/>
                <w:color w:val="auto"/>
              </w:rPr>
            </w:pPr>
            <w:r>
              <w:rPr>
                <w:rFonts w:ascii="Arial" w:cs="Arial" w:eastAsia="Arial" w:hAnsi="Arial"/>
                <w:sz w:val="13"/>
                <w:szCs w:val="13"/>
                <w:color w:val="auto"/>
                <w:w w:val="97"/>
              </w:rPr>
              <w:t xml:space="preserve">Common Equity (2,500,000 units) </w:t>
            </w:r>
            <w:r>
              <w:rPr>
                <w:rFonts w:ascii="Arial" w:cs="Arial" w:eastAsia="Arial" w:hAnsi="Arial"/>
                <w:sz w:val="21"/>
                <w:szCs w:val="21"/>
                <w:color w:val="auto"/>
                <w:w w:val="97"/>
                <w:vertAlign w:val="superscript"/>
              </w:rPr>
              <w:t>(7) (9)</w:t>
            </w: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2,500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3,135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15,078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15,813</w:t>
            </w: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shd w:val="clear" w:color="auto" w:fill="CCEEFF"/>
              </w:rPr>
              <w:t>Total Non-Control/Non-Affiliate Investments</w:t>
            </w:r>
          </w:p>
        </w:tc>
        <w:tc>
          <w:tcPr>
            <w:tcW w:w="15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298,899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305,911</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391,338</w:t>
            </w:r>
          </w:p>
        </w:tc>
        <w:tc>
          <w:tcPr>
            <w:tcW w:w="2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396,355</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340" w:hanging="332"/>
        <w:spacing w:after="0" w:line="221"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340" w:hanging="332"/>
        <w:spacing w:after="0" w:line="221"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All debt investments are income producing. Equity investments are non-income producing unless otherwise noted.</w:t>
      </w:r>
    </w:p>
    <w:p>
      <w:pPr>
        <w:ind w:left="340" w:hanging="332"/>
        <w:spacing w:after="0"/>
        <w:tabs>
          <w:tab w:leader="none" w:pos="3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Rate includes the cash interest or dividend rate and paid-in-kind interest or dividend rate, if any, as of December 31, 2014. Generally, payment-in-kind interest can be paid-in-kind or all in cash.</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See Note 2 - Significant Accounting Policies, Investment Classification for definitions of Control and Affiliate classifications.</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Investment is held by a wholly-owned subsidiary of the Company.</w:t>
      </w:r>
    </w:p>
    <w:p>
      <w:pPr>
        <w:ind w:left="2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entire commitment was unfunded at December 31, 2014. As such, no interest is being earned on this investment.</w:t>
      </w:r>
    </w:p>
    <w:p>
      <w:pPr>
        <w:ind w:left="220" w:right="620" w:hanging="212"/>
        <w:spacing w:after="0" w:line="221" w:lineRule="auto"/>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sz w:val="20"/>
          <w:szCs w:val="20"/>
          <w:color w:val="auto"/>
        </w:rPr>
      </w:pPr>
    </w:p>
    <w:p>
      <w:pPr>
        <w:ind w:left="240" w:right="240" w:hanging="229"/>
        <w:spacing w:after="0" w:line="230" w:lineRule="auto"/>
        <w:rPr>
          <w:sz w:val="20"/>
          <w:szCs w:val="20"/>
          <w:color w:val="auto"/>
        </w:rPr>
      </w:pPr>
      <w:r>
        <w:rPr>
          <w:rFonts w:ascii="Arial" w:cs="Arial" w:eastAsia="Arial" w:hAnsi="Arial"/>
          <w:sz w:val="14"/>
          <w:szCs w:val="14"/>
          <w:color w:val="auto"/>
        </w:rPr>
        <w:t>(10)The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FIDUS INVESTMENT CORPORATION</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December 31, 2013</w:t>
      </w:r>
    </w:p>
    <w:p>
      <w:pPr>
        <w:jc w:val="center"/>
        <w:spacing w:after="0"/>
        <w:rPr>
          <w:sz w:val="20"/>
          <w:szCs w:val="20"/>
          <w:color w:val="auto"/>
        </w:rPr>
      </w:pPr>
      <w:r>
        <w:rPr>
          <w:rFonts w:ascii="Arial" w:cs="Arial" w:eastAsia="Arial" w:hAnsi="Arial"/>
          <w:sz w:val="14"/>
          <w:szCs w:val="14"/>
          <w:b w:val="1"/>
          <w:bCs w:val="1"/>
          <w:color w:val="auto"/>
        </w:rPr>
        <w:t>(In thousands, except shares)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vMerge w:val="restart"/>
          </w:tcPr>
          <w:p>
            <w:pPr>
              <w:jc w:val="center"/>
              <w:ind w:left="72"/>
              <w:spacing w:after="0"/>
              <w:rPr>
                <w:sz w:val="20"/>
                <w:szCs w:val="20"/>
                <w:color w:val="auto"/>
              </w:rPr>
            </w:pPr>
            <w:r>
              <w:rPr>
                <w:rFonts w:ascii="Arial" w:cs="Arial" w:eastAsia="Arial" w:hAnsi="Arial"/>
                <w:sz w:val="14"/>
                <w:szCs w:val="14"/>
                <w:b w:val="1"/>
                <w:bCs w:val="1"/>
                <w:color w:val="auto"/>
                <w:w w:val="80"/>
              </w:rPr>
              <w:t xml:space="preserve">Rate </w:t>
            </w:r>
            <w:r>
              <w:rPr>
                <w:rFonts w:ascii="Arial" w:cs="Arial" w:eastAsia="Arial" w:hAnsi="Arial"/>
                <w:sz w:val="22"/>
                <w:szCs w:val="22"/>
                <w:b w:val="1"/>
                <w:bCs w:val="1"/>
                <w:color w:val="auto"/>
                <w:w w:val="80"/>
                <w:vertAlign w:val="superscript"/>
              </w:rPr>
              <w:t>(4)</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1620" w:type="dxa"/>
            <w:vAlign w:val="bottom"/>
          </w:tcPr>
          <w:p>
            <w:pPr>
              <w:spacing w:after="0"/>
              <w:rPr>
                <w:sz w:val="12"/>
                <w:szCs w:val="12"/>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9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Fair</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215"/>
        </w:trPr>
        <w:tc>
          <w:tcPr>
            <w:tcW w:w="3240" w:type="dxa"/>
            <w:vAlign w:val="bottom"/>
            <w:gridSpan w:val="2"/>
            <w:vMerge w:val="continue"/>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Industry</w:t>
            </w:r>
          </w:p>
        </w:tc>
        <w:tc>
          <w:tcPr>
            <w:tcW w:w="2240" w:type="dxa"/>
            <w:vAlign w:val="bottom"/>
            <w:vMerge w:val="continue"/>
          </w:tcPr>
          <w:p>
            <w:pPr>
              <w:spacing w:after="0"/>
              <w:rPr>
                <w:sz w:val="18"/>
                <w:szCs w:val="18"/>
                <w:color w:val="auto"/>
              </w:rPr>
            </w:pPr>
          </w:p>
        </w:tc>
        <w:tc>
          <w:tcPr>
            <w:tcW w:w="960" w:type="dxa"/>
            <w:vAlign w:val="bottom"/>
          </w:tcPr>
          <w:p>
            <w:pPr>
              <w:jc w:val="center"/>
              <w:ind w:left="72"/>
              <w:spacing w:after="0"/>
              <w:rPr>
                <w:sz w:val="20"/>
                <w:szCs w:val="20"/>
                <w:color w:val="auto"/>
              </w:rPr>
            </w:pPr>
            <w:r>
              <w:rPr>
                <w:rFonts w:ascii="Arial" w:cs="Arial" w:eastAsia="Arial" w:hAnsi="Arial"/>
                <w:sz w:val="14"/>
                <w:szCs w:val="14"/>
                <w:b w:val="1"/>
                <w:bCs w:val="1"/>
                <w:color w:val="auto"/>
                <w:w w:val="94"/>
              </w:rPr>
              <w:t>Cash/PIK</w:t>
            </w: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Value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69"/>
        </w:trPr>
        <w:tc>
          <w:tcPr>
            <w:tcW w:w="32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2"/>
                <w:szCs w:val="12"/>
                <w:b w:val="1"/>
                <w:bCs w:val="1"/>
                <w:color w:val="auto"/>
              </w:rPr>
              <w:t xml:space="preserve">Affiliate Investments </w:t>
            </w:r>
            <w:r>
              <w:rPr>
                <w:rFonts w:ascii="Arial" w:cs="Arial" w:eastAsia="Arial" w:hAnsi="Arial"/>
                <w:sz w:val="19"/>
                <w:szCs w:val="19"/>
                <w:b w:val="1"/>
                <w:bCs w:val="1"/>
                <w:color w:val="auto"/>
                <w:vertAlign w:val="superscript"/>
              </w:rPr>
              <w:t>(5)</w:t>
            </w:r>
          </w:p>
        </w:tc>
        <w:tc>
          <w:tcPr>
            <w:tcW w:w="162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Apex Microtechnology, Inc.</w:t>
            </w:r>
          </w:p>
        </w:tc>
        <w:tc>
          <w:tcPr>
            <w:tcW w:w="1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Electronic</w:t>
            </w:r>
          </w:p>
        </w:tc>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Note</w:t>
            </w:r>
          </w:p>
        </w:tc>
        <w:tc>
          <w:tcPr>
            <w:tcW w:w="960" w:type="dxa"/>
            <w:vAlign w:val="bottom"/>
            <w:shd w:val="clear" w:color="auto" w:fill="CCEEFF"/>
          </w:tcPr>
          <w:p>
            <w:pPr>
              <w:jc w:val="center"/>
              <w:ind w:left="72"/>
              <w:spacing w:after="0"/>
              <w:rPr>
                <w:sz w:val="20"/>
                <w:szCs w:val="20"/>
                <w:color w:val="auto"/>
              </w:rPr>
            </w:pPr>
            <w:r>
              <w:rPr>
                <w:rFonts w:ascii="Arial" w:cs="Arial" w:eastAsia="Arial" w:hAnsi="Arial"/>
                <w:sz w:val="14"/>
                <w:szCs w:val="14"/>
                <w:color w:val="auto"/>
                <w:w w:val="87"/>
              </w:rPr>
              <w:t>12.0%/2.0%</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2/16/2018</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   6,200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$ 5,987</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$ 6,448</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Components Supplier</w:t>
            </w:r>
          </w:p>
        </w:tc>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 (2,294 units)</w:t>
            </w: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22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Equity (11,690 units)</w:t>
            </w:r>
          </w:p>
        </w:tc>
        <w:tc>
          <w:tcPr>
            <w:tcW w:w="9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1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1,299</w:t>
            </w:r>
          </w:p>
        </w:tc>
        <w:tc>
          <w:tcPr>
            <w:tcW w:w="1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7,376</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8,002</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9"/>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Avrio Technology Group, LLC</w:t>
            </w:r>
          </w:p>
        </w:tc>
        <w:tc>
          <w:tcPr>
            <w:tcW w:w="1620" w:type="dxa"/>
            <w:vAlign w:val="bottom"/>
          </w:tcPr>
          <w:p>
            <w:pPr>
              <w:ind w:left="100"/>
              <w:spacing w:after="0"/>
              <w:rPr>
                <w:sz w:val="20"/>
                <w:szCs w:val="20"/>
                <w:color w:val="auto"/>
              </w:rPr>
            </w:pPr>
            <w:r>
              <w:rPr>
                <w:rFonts w:ascii="Arial" w:cs="Arial" w:eastAsia="Arial" w:hAnsi="Arial"/>
                <w:sz w:val="14"/>
                <w:szCs w:val="14"/>
                <w:color w:val="auto"/>
              </w:rPr>
              <w:t>Electronic</w:t>
            </w:r>
          </w:p>
        </w:tc>
        <w:tc>
          <w:tcPr>
            <w:tcW w:w="2240" w:type="dxa"/>
            <w:vAlign w:val="bottom"/>
          </w:tcPr>
          <w:p>
            <w:pPr>
              <w:ind w:left="20"/>
              <w:spacing w:after="0"/>
              <w:rPr>
                <w:sz w:val="20"/>
                <w:szCs w:val="20"/>
                <w:color w:val="auto"/>
              </w:rPr>
            </w:pPr>
            <w:r>
              <w:rPr>
                <w:rFonts w:ascii="Arial" w:cs="Arial" w:eastAsia="Arial" w:hAnsi="Arial"/>
                <w:sz w:val="14"/>
                <w:szCs w:val="14"/>
                <w:color w:val="auto"/>
              </w:rPr>
              <w:t>Subordinated Note</w:t>
            </w:r>
          </w:p>
        </w:tc>
        <w:tc>
          <w:tcPr>
            <w:tcW w:w="960" w:type="dxa"/>
            <w:vAlign w:val="bottom"/>
          </w:tcPr>
          <w:p>
            <w:pPr>
              <w:jc w:val="center"/>
              <w:ind w:left="72"/>
              <w:spacing w:after="0"/>
              <w:rPr>
                <w:sz w:val="20"/>
                <w:szCs w:val="20"/>
                <w:color w:val="auto"/>
              </w:rPr>
            </w:pPr>
            <w:r>
              <w:rPr>
                <w:rFonts w:ascii="Arial" w:cs="Arial" w:eastAsia="Arial" w:hAnsi="Arial"/>
                <w:sz w:val="14"/>
                <w:szCs w:val="14"/>
                <w:color w:val="auto"/>
                <w:w w:val="87"/>
              </w:rPr>
              <w:t>0.0%/14.0%</w:t>
            </w: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10/15/2015</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6,291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6,291</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3,200</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20" w:type="dxa"/>
            <w:vAlign w:val="bottom"/>
          </w:tcPr>
          <w:p>
            <w:pPr>
              <w:ind w:left="100"/>
              <w:spacing w:after="0" w:line="133" w:lineRule="exact"/>
              <w:rPr>
                <w:sz w:val="20"/>
                <w:szCs w:val="20"/>
                <w:color w:val="auto"/>
              </w:rPr>
            </w:pPr>
            <w:r>
              <w:rPr>
                <w:rFonts w:ascii="Arial" w:cs="Arial" w:eastAsia="Arial" w:hAnsi="Arial"/>
                <w:sz w:val="14"/>
                <w:szCs w:val="14"/>
                <w:color w:val="auto"/>
              </w:rPr>
              <w:t>Components Supplier</w:t>
            </w:r>
          </w:p>
        </w:tc>
        <w:tc>
          <w:tcPr>
            <w:tcW w:w="2240" w:type="dxa"/>
            <w:vAlign w:val="bottom"/>
          </w:tcPr>
          <w:p>
            <w:pPr>
              <w:ind w:left="20"/>
              <w:spacing w:after="0" w:line="133" w:lineRule="exact"/>
              <w:rPr>
                <w:sz w:val="20"/>
                <w:szCs w:val="20"/>
                <w:color w:val="auto"/>
              </w:rPr>
            </w:pPr>
            <w:r>
              <w:rPr>
                <w:rFonts w:ascii="Arial" w:cs="Arial" w:eastAsia="Arial" w:hAnsi="Arial"/>
                <w:sz w:val="14"/>
                <w:szCs w:val="14"/>
                <w:color w:val="auto"/>
              </w:rPr>
              <w:t>Preferred Equity - Series B</w:t>
            </w: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3,704</w:t>
            </w:r>
          </w:p>
        </w:tc>
        <w:tc>
          <w:tcPr>
            <w:tcW w:w="160" w:type="dxa"/>
            <w:vAlign w:val="bottom"/>
          </w:tcPr>
          <w:p>
            <w:pPr>
              <w:spacing w:after="0"/>
              <w:rPr>
                <w:sz w:val="11"/>
                <w:szCs w:val="11"/>
                <w:color w:val="auto"/>
              </w:rPr>
            </w:pPr>
          </w:p>
        </w:tc>
        <w:tc>
          <w:tcPr>
            <w:tcW w:w="600" w:type="dxa"/>
            <w:vAlign w:val="bottom"/>
            <w:gridSpan w:val="2"/>
          </w:tcPr>
          <w:p>
            <w:pPr>
              <w:jc w:val="right"/>
              <w:ind w:right="220"/>
              <w:spacing w:after="0" w:line="133"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ind w:left="220"/>
              <w:spacing w:after="0" w:line="165" w:lineRule="exact"/>
              <w:rPr>
                <w:sz w:val="20"/>
                <w:szCs w:val="20"/>
                <w:color w:val="auto"/>
              </w:rPr>
            </w:pPr>
            <w:r>
              <w:rPr>
                <w:rFonts w:ascii="Arial" w:cs="Arial" w:eastAsia="Arial" w:hAnsi="Arial"/>
                <w:sz w:val="12"/>
                <w:szCs w:val="12"/>
                <w:color w:val="auto"/>
              </w:rPr>
              <w:t xml:space="preserve">(3,704 units) </w:t>
            </w:r>
            <w:r>
              <w:rPr>
                <w:rFonts w:ascii="Arial" w:cs="Arial" w:eastAsia="Arial" w:hAnsi="Arial"/>
                <w:sz w:val="19"/>
                <w:szCs w:val="19"/>
                <w:color w:val="auto"/>
                <w:vertAlign w:val="superscript"/>
              </w:rPr>
              <w:t>(7)</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40" w:type="dxa"/>
            <w:vAlign w:val="bottom"/>
          </w:tcPr>
          <w:p>
            <w:pPr>
              <w:ind w:left="20"/>
              <w:spacing w:after="0" w:line="133" w:lineRule="exact"/>
              <w:rPr>
                <w:sz w:val="20"/>
                <w:szCs w:val="20"/>
                <w:color w:val="auto"/>
              </w:rPr>
            </w:pPr>
            <w:r>
              <w:rPr>
                <w:rFonts w:ascii="Arial" w:cs="Arial" w:eastAsia="Arial" w:hAnsi="Arial"/>
                <w:sz w:val="14"/>
                <w:szCs w:val="14"/>
                <w:color w:val="auto"/>
              </w:rPr>
              <w:t>Preferred Equity - Series C</w:t>
            </w: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436</w:t>
            </w:r>
          </w:p>
        </w:tc>
        <w:tc>
          <w:tcPr>
            <w:tcW w:w="160" w:type="dxa"/>
            <w:vAlign w:val="bottom"/>
          </w:tcPr>
          <w:p>
            <w:pPr>
              <w:spacing w:after="0"/>
              <w:rPr>
                <w:sz w:val="11"/>
                <w:szCs w:val="11"/>
                <w:color w:val="auto"/>
              </w:rPr>
            </w:pPr>
          </w:p>
        </w:tc>
        <w:tc>
          <w:tcPr>
            <w:tcW w:w="600" w:type="dxa"/>
            <w:vAlign w:val="bottom"/>
            <w:gridSpan w:val="2"/>
          </w:tcPr>
          <w:p>
            <w:pPr>
              <w:jc w:val="right"/>
              <w:ind w:right="220"/>
              <w:spacing w:after="0" w:line="133"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ind w:left="220"/>
              <w:spacing w:after="0" w:line="165" w:lineRule="exact"/>
              <w:rPr>
                <w:sz w:val="20"/>
                <w:szCs w:val="20"/>
                <w:color w:val="auto"/>
              </w:rPr>
            </w:pPr>
            <w:r>
              <w:rPr>
                <w:rFonts w:ascii="Arial" w:cs="Arial" w:eastAsia="Arial" w:hAnsi="Arial"/>
                <w:sz w:val="12"/>
                <w:szCs w:val="12"/>
                <w:color w:val="auto"/>
              </w:rPr>
              <w:t xml:space="preserve">(872 units) </w:t>
            </w:r>
            <w:r>
              <w:rPr>
                <w:rFonts w:ascii="Arial" w:cs="Arial" w:eastAsia="Arial" w:hAnsi="Arial"/>
                <w:sz w:val="19"/>
                <w:szCs w:val="19"/>
                <w:color w:val="auto"/>
                <w:vertAlign w:val="superscript"/>
              </w:rPr>
              <w:t>(7)</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40" w:type="dxa"/>
            <w:vAlign w:val="bottom"/>
          </w:tcPr>
          <w:p>
            <w:pPr>
              <w:ind w:left="20"/>
              <w:spacing w:after="0" w:line="133" w:lineRule="exact"/>
              <w:rPr>
                <w:sz w:val="20"/>
                <w:szCs w:val="20"/>
                <w:color w:val="auto"/>
              </w:rPr>
            </w:pPr>
            <w:r>
              <w:rPr>
                <w:rFonts w:ascii="Arial" w:cs="Arial" w:eastAsia="Arial" w:hAnsi="Arial"/>
                <w:sz w:val="14"/>
                <w:szCs w:val="14"/>
                <w:color w:val="auto"/>
              </w:rPr>
              <w:t>Preferred Equity - Series D</w:t>
            </w: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639</w:t>
            </w:r>
          </w:p>
        </w:tc>
        <w:tc>
          <w:tcPr>
            <w:tcW w:w="160" w:type="dxa"/>
            <w:vAlign w:val="bottom"/>
          </w:tcPr>
          <w:p>
            <w:pPr>
              <w:spacing w:after="0"/>
              <w:rPr>
                <w:sz w:val="11"/>
                <w:szCs w:val="11"/>
                <w:color w:val="auto"/>
              </w:rPr>
            </w:pPr>
          </w:p>
        </w:tc>
        <w:tc>
          <w:tcPr>
            <w:tcW w:w="600" w:type="dxa"/>
            <w:vAlign w:val="bottom"/>
            <w:gridSpan w:val="2"/>
          </w:tcPr>
          <w:p>
            <w:pPr>
              <w:jc w:val="right"/>
              <w:ind w:right="220"/>
              <w:spacing w:after="0" w:line="133"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40" w:type="dxa"/>
            <w:vAlign w:val="bottom"/>
          </w:tcPr>
          <w:p>
            <w:pPr>
              <w:ind w:left="220"/>
              <w:spacing w:after="0" w:line="149" w:lineRule="exact"/>
              <w:rPr>
                <w:sz w:val="20"/>
                <w:szCs w:val="20"/>
                <w:color w:val="auto"/>
              </w:rPr>
            </w:pPr>
            <w:r>
              <w:rPr>
                <w:rFonts w:ascii="Arial" w:cs="Arial" w:eastAsia="Arial" w:hAnsi="Arial"/>
                <w:sz w:val="11"/>
                <w:szCs w:val="11"/>
                <w:color w:val="auto"/>
              </w:rPr>
              <w:t xml:space="preserve">(1,917 units) </w:t>
            </w:r>
            <w:r>
              <w:rPr>
                <w:rFonts w:ascii="Arial" w:cs="Arial" w:eastAsia="Arial" w:hAnsi="Arial"/>
                <w:sz w:val="17"/>
                <w:szCs w:val="17"/>
                <w:color w:val="auto"/>
                <w:vertAlign w:val="superscript"/>
              </w:rPr>
              <w:t>(7)</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40" w:type="dxa"/>
            <w:vAlign w:val="bottom"/>
          </w:tcPr>
          <w:p>
            <w:pPr>
              <w:ind w:left="20"/>
              <w:spacing w:after="0" w:line="176" w:lineRule="exact"/>
              <w:rPr>
                <w:sz w:val="20"/>
                <w:szCs w:val="20"/>
                <w:color w:val="auto"/>
              </w:rPr>
            </w:pPr>
            <w:r>
              <w:rPr>
                <w:rFonts w:ascii="Arial" w:cs="Arial" w:eastAsia="Arial" w:hAnsi="Arial"/>
                <w:sz w:val="13"/>
                <w:szCs w:val="13"/>
                <w:color w:val="auto"/>
              </w:rPr>
              <w:t xml:space="preserve">Common Equity (4,215 units) </w:t>
            </w:r>
            <w:r>
              <w:rPr>
                <w:rFonts w:ascii="Arial" w:cs="Arial" w:eastAsia="Arial" w:hAnsi="Arial"/>
                <w:sz w:val="20"/>
                <w:szCs w:val="20"/>
                <w:color w:val="auto"/>
                <w:vertAlign w:val="superscript"/>
              </w:rPr>
              <w:t>(7)</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12,070</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3,200</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220" w:type="dxa"/>
            <w:vAlign w:val="bottom"/>
            <w:shd w:val="clear" w:color="auto" w:fill="CCEEFF"/>
          </w:tcPr>
          <w:p>
            <w:pPr>
              <w:spacing w:after="0" w:line="133" w:lineRule="exact"/>
              <w:rPr>
                <w:sz w:val="20"/>
                <w:szCs w:val="20"/>
                <w:color w:val="auto"/>
              </w:rPr>
            </w:pPr>
            <w:r>
              <w:rPr>
                <w:rFonts w:ascii="Arial" w:cs="Arial" w:eastAsia="Arial" w:hAnsi="Arial"/>
                <w:sz w:val="14"/>
                <w:szCs w:val="14"/>
                <w:i w:val="1"/>
                <w:iCs w:val="1"/>
                <w:color w:val="auto"/>
              </w:rPr>
              <w:t>Malabar International</w:t>
            </w:r>
          </w:p>
        </w:tc>
        <w:tc>
          <w:tcPr>
            <w:tcW w:w="162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rPr>
              <w:t>Aerospace &amp; Defense</w:t>
            </w:r>
          </w:p>
        </w:tc>
        <w:tc>
          <w:tcPr>
            <w:tcW w:w="22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Subordinated Note</w:t>
            </w:r>
          </w:p>
        </w:tc>
        <w:tc>
          <w:tcPr>
            <w:tcW w:w="960" w:type="dxa"/>
            <w:vAlign w:val="bottom"/>
            <w:shd w:val="clear" w:color="auto" w:fill="CCEEFF"/>
          </w:tcPr>
          <w:p>
            <w:pPr>
              <w:jc w:val="center"/>
              <w:ind w:left="72"/>
              <w:spacing w:after="0" w:line="133" w:lineRule="exact"/>
              <w:rPr>
                <w:sz w:val="20"/>
                <w:szCs w:val="20"/>
                <w:color w:val="auto"/>
              </w:rPr>
            </w:pPr>
            <w:r>
              <w:rPr>
                <w:rFonts w:ascii="Arial" w:cs="Arial" w:eastAsia="Arial" w:hAnsi="Arial"/>
                <w:sz w:val="14"/>
                <w:szCs w:val="14"/>
                <w:color w:val="auto"/>
                <w:w w:val="87"/>
              </w:rPr>
              <w:t>12.5%/2.5%</w:t>
            </w:r>
          </w:p>
        </w:tc>
        <w:tc>
          <w:tcPr>
            <w:tcW w:w="7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6"/>
              </w:rPr>
              <w:t>5/21/2017</w:t>
            </w:r>
          </w:p>
        </w:tc>
        <w:tc>
          <w:tcPr>
            <w:tcW w:w="700" w:type="dxa"/>
            <w:vAlign w:val="bottom"/>
            <w:shd w:val="clear" w:color="auto" w:fill="CCEEFF"/>
          </w:tcPr>
          <w:p>
            <w:pPr>
              <w:jc w:val="right"/>
              <w:ind w:right="12"/>
              <w:spacing w:after="0" w:line="133" w:lineRule="exact"/>
              <w:rPr>
                <w:sz w:val="20"/>
                <w:szCs w:val="20"/>
                <w:color w:val="auto"/>
              </w:rPr>
            </w:pPr>
            <w:r>
              <w:rPr>
                <w:rFonts w:ascii="Arial" w:cs="Arial" w:eastAsia="Arial" w:hAnsi="Arial"/>
                <w:sz w:val="14"/>
                <w:szCs w:val="14"/>
                <w:color w:val="auto"/>
              </w:rPr>
              <w:t>5,116</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rPr>
              <w:t>5,093</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4"/>
                <w:szCs w:val="14"/>
                <w:color w:val="auto"/>
              </w:rPr>
              <w:t>5,116</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Manufacturing</w:t>
            </w:r>
          </w:p>
        </w:tc>
        <w:tc>
          <w:tcPr>
            <w:tcW w:w="224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Preferred Equity (1,494 shares) </w:t>
            </w:r>
            <w:r>
              <w:rPr>
                <w:rFonts w:ascii="Arial" w:cs="Arial" w:eastAsia="Arial" w:hAnsi="Arial"/>
                <w:sz w:val="20"/>
                <w:szCs w:val="20"/>
                <w:color w:val="auto"/>
                <w:vertAlign w:val="superscript"/>
              </w:rPr>
              <w:t>(6)</w:t>
            </w:r>
          </w:p>
        </w:tc>
        <w:tc>
          <w:tcPr>
            <w:tcW w:w="960" w:type="dxa"/>
            <w:vAlign w:val="bottom"/>
            <w:tcBorders>
              <w:bottom w:val="single" w:sz="8" w:color="CCEEFF"/>
            </w:tcBorders>
            <w:shd w:val="clear" w:color="auto" w:fill="CCEEFF"/>
          </w:tcPr>
          <w:p>
            <w:pPr>
              <w:jc w:val="center"/>
              <w:ind w:left="92"/>
              <w:spacing w:after="0"/>
              <w:rPr>
                <w:sz w:val="20"/>
                <w:szCs w:val="20"/>
                <w:color w:val="auto"/>
              </w:rPr>
            </w:pPr>
            <w:r>
              <w:rPr>
                <w:rFonts w:ascii="Arial" w:cs="Arial" w:eastAsia="Arial" w:hAnsi="Arial"/>
                <w:sz w:val="14"/>
                <w:szCs w:val="14"/>
                <w:color w:val="auto"/>
                <w:w w:val="88"/>
              </w:rPr>
              <w:t>6.0%/0.0%</w:t>
            </w: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3,616</w:t>
            </w: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7,083</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8,732</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1"/>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Medsurant Holdings, LLC</w:t>
            </w:r>
          </w:p>
        </w:tc>
        <w:tc>
          <w:tcPr>
            <w:tcW w:w="1620" w:type="dxa"/>
            <w:vAlign w:val="bottom"/>
          </w:tcPr>
          <w:p>
            <w:pPr>
              <w:ind w:left="100"/>
              <w:spacing w:after="0"/>
              <w:rPr>
                <w:sz w:val="20"/>
                <w:szCs w:val="20"/>
                <w:color w:val="auto"/>
              </w:rPr>
            </w:pPr>
            <w:r>
              <w:rPr>
                <w:rFonts w:ascii="Arial" w:cs="Arial" w:eastAsia="Arial" w:hAnsi="Arial"/>
                <w:sz w:val="14"/>
                <w:szCs w:val="14"/>
                <w:color w:val="auto"/>
              </w:rPr>
              <w:t>Healthcare Services</w:t>
            </w:r>
          </w:p>
        </w:tc>
        <w:tc>
          <w:tcPr>
            <w:tcW w:w="2240" w:type="dxa"/>
            <w:vAlign w:val="bottom"/>
          </w:tcPr>
          <w:p>
            <w:pPr>
              <w:ind w:left="20"/>
              <w:spacing w:after="0"/>
              <w:rPr>
                <w:sz w:val="20"/>
                <w:szCs w:val="20"/>
                <w:color w:val="auto"/>
              </w:rPr>
            </w:pPr>
            <w:r>
              <w:rPr>
                <w:rFonts w:ascii="Arial" w:cs="Arial" w:eastAsia="Arial" w:hAnsi="Arial"/>
                <w:sz w:val="14"/>
                <w:szCs w:val="14"/>
                <w:color w:val="auto"/>
              </w:rPr>
              <w:t>Subordinated Note</w:t>
            </w:r>
          </w:p>
        </w:tc>
        <w:tc>
          <w:tcPr>
            <w:tcW w:w="960" w:type="dxa"/>
            <w:vAlign w:val="bottom"/>
          </w:tcPr>
          <w:p>
            <w:pPr>
              <w:jc w:val="center"/>
              <w:ind w:left="72"/>
              <w:spacing w:after="0"/>
              <w:rPr>
                <w:sz w:val="20"/>
                <w:szCs w:val="20"/>
                <w:color w:val="auto"/>
              </w:rPr>
            </w:pPr>
            <w:r>
              <w:rPr>
                <w:rFonts w:ascii="Arial" w:cs="Arial" w:eastAsia="Arial" w:hAnsi="Arial"/>
                <w:sz w:val="14"/>
                <w:szCs w:val="14"/>
                <w:color w:val="auto"/>
                <w:w w:val="87"/>
              </w:rPr>
              <w:t>14.0%/0.0%</w:t>
            </w: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7/12/2016</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9,750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8,845</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9,541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40" w:type="dxa"/>
            <w:vAlign w:val="bottom"/>
          </w:tcPr>
          <w:p>
            <w:pPr>
              <w:ind w:left="20"/>
              <w:spacing w:after="0" w:line="151" w:lineRule="exact"/>
              <w:rPr>
                <w:sz w:val="20"/>
                <w:szCs w:val="20"/>
                <w:color w:val="auto"/>
              </w:rPr>
            </w:pPr>
            <w:r>
              <w:rPr>
                <w:rFonts w:ascii="Arial" w:cs="Arial" w:eastAsia="Arial" w:hAnsi="Arial"/>
                <w:sz w:val="11"/>
                <w:szCs w:val="11"/>
                <w:color w:val="auto"/>
              </w:rPr>
              <w:t xml:space="preserve">Preferred Equity (79,091 units) </w:t>
            </w:r>
            <w:r>
              <w:rPr>
                <w:rFonts w:ascii="Arial" w:cs="Arial" w:eastAsia="Arial" w:hAnsi="Arial"/>
                <w:sz w:val="17"/>
                <w:szCs w:val="17"/>
                <w:color w:val="auto"/>
                <w:vertAlign w:val="superscript"/>
              </w:rPr>
              <w:t>(7)</w:t>
            </w: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1,112</w:t>
            </w:r>
          </w:p>
        </w:tc>
        <w:tc>
          <w:tcPr>
            <w:tcW w:w="160" w:type="dxa"/>
            <w:vAlign w:val="bottom"/>
          </w:tcPr>
          <w:p>
            <w:pPr>
              <w:spacing w:after="0"/>
              <w:rPr>
                <w:sz w:val="13"/>
                <w:szCs w:val="13"/>
                <w:color w:val="auto"/>
              </w:rPr>
            </w:pPr>
          </w:p>
        </w:tc>
        <w:tc>
          <w:tcPr>
            <w:tcW w:w="440" w:type="dxa"/>
            <w:vAlign w:val="bottom"/>
          </w:tcPr>
          <w:p>
            <w:pPr>
              <w:jc w:val="right"/>
              <w:spacing w:after="0" w:line="151" w:lineRule="exact"/>
              <w:rPr>
                <w:sz w:val="20"/>
                <w:szCs w:val="20"/>
                <w:color w:val="auto"/>
              </w:rPr>
            </w:pPr>
            <w:r>
              <w:rPr>
                <w:rFonts w:ascii="Arial" w:cs="Arial" w:eastAsia="Arial" w:hAnsi="Arial"/>
                <w:sz w:val="14"/>
                <w:szCs w:val="14"/>
                <w:color w:val="auto"/>
              </w:rPr>
              <w:t>1,105</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40" w:type="dxa"/>
            <w:vAlign w:val="bottom"/>
          </w:tcPr>
          <w:p>
            <w:pPr>
              <w:ind w:left="20"/>
              <w:spacing w:after="0" w:line="176" w:lineRule="exact"/>
              <w:rPr>
                <w:sz w:val="20"/>
                <w:szCs w:val="20"/>
                <w:color w:val="auto"/>
              </w:rPr>
            </w:pPr>
            <w:r>
              <w:rPr>
                <w:rFonts w:ascii="Arial" w:cs="Arial" w:eastAsia="Arial" w:hAnsi="Arial"/>
                <w:sz w:val="13"/>
                <w:szCs w:val="13"/>
                <w:color w:val="auto"/>
              </w:rPr>
              <w:t xml:space="preserve">Warrant (288,239 units) </w:t>
            </w:r>
            <w:r>
              <w:rPr>
                <w:rFonts w:ascii="Arial" w:cs="Arial" w:eastAsia="Arial" w:hAnsi="Arial"/>
                <w:sz w:val="20"/>
                <w:szCs w:val="20"/>
                <w:color w:val="auto"/>
                <w:vertAlign w:val="superscript"/>
              </w:rPr>
              <w:t>(7)</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3,690</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13,647</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14,590</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2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Paramount Building Solutions, LLC</w:t>
            </w:r>
          </w:p>
        </w:tc>
        <w:tc>
          <w:tcPr>
            <w:tcW w:w="162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Retail Cleaning</w:t>
            </w:r>
          </w:p>
        </w:tc>
        <w:tc>
          <w:tcPr>
            <w:tcW w:w="2240" w:type="dxa"/>
            <w:vAlign w:val="bottom"/>
            <w:shd w:val="clear" w:color="auto" w:fill="CCEEFF"/>
          </w:tcPr>
          <w:p>
            <w:pPr>
              <w:ind w:left="20"/>
              <w:spacing w:after="0" w:line="122" w:lineRule="exact"/>
              <w:rPr>
                <w:sz w:val="20"/>
                <w:szCs w:val="20"/>
                <w:color w:val="auto"/>
              </w:rPr>
            </w:pPr>
            <w:r>
              <w:rPr>
                <w:rFonts w:ascii="Arial" w:cs="Arial" w:eastAsia="Arial" w:hAnsi="Arial"/>
                <w:sz w:val="14"/>
                <w:szCs w:val="14"/>
                <w:color w:val="auto"/>
              </w:rPr>
              <w:t>Subordinated Note</w:t>
            </w:r>
          </w:p>
        </w:tc>
        <w:tc>
          <w:tcPr>
            <w:tcW w:w="960" w:type="dxa"/>
            <w:vAlign w:val="bottom"/>
            <w:shd w:val="clear" w:color="auto" w:fill="CCEEFF"/>
          </w:tcPr>
          <w:p>
            <w:pPr>
              <w:jc w:val="center"/>
              <w:ind w:left="72"/>
              <w:spacing w:after="0" w:line="122" w:lineRule="exact"/>
              <w:rPr>
                <w:sz w:val="20"/>
                <w:szCs w:val="20"/>
                <w:color w:val="auto"/>
              </w:rPr>
            </w:pPr>
            <w:r>
              <w:rPr>
                <w:rFonts w:ascii="Arial" w:cs="Arial" w:eastAsia="Arial" w:hAnsi="Arial"/>
                <w:sz w:val="14"/>
                <w:szCs w:val="14"/>
                <w:color w:val="auto"/>
                <w:w w:val="87"/>
              </w:rPr>
              <w:t>5.0%/13.0%</w:t>
            </w:r>
          </w:p>
        </w:tc>
        <w:tc>
          <w:tcPr>
            <w:tcW w:w="7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12/31/2014</w:t>
            </w:r>
          </w:p>
        </w:tc>
        <w:tc>
          <w:tcPr>
            <w:tcW w:w="7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rPr>
              <w:t>7,253</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7,253</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7,091</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Common Equity (107,143 units) </w:t>
            </w:r>
            <w:r>
              <w:rPr>
                <w:rFonts w:ascii="Arial" w:cs="Arial" w:eastAsia="Arial" w:hAnsi="Arial"/>
                <w:sz w:val="20"/>
                <w:szCs w:val="20"/>
                <w:color w:val="auto"/>
                <w:vertAlign w:val="superscript"/>
              </w:rPr>
              <w:t>(7)</w:t>
            </w:r>
          </w:p>
        </w:tc>
        <w:tc>
          <w:tcPr>
            <w:tcW w:w="9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8,753</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7,091</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9"/>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Pfanstiehl, Inc.</w:t>
            </w:r>
          </w:p>
        </w:tc>
        <w:tc>
          <w:tcPr>
            <w:tcW w:w="1620" w:type="dxa"/>
            <w:vAlign w:val="bottom"/>
          </w:tcPr>
          <w:p>
            <w:pPr>
              <w:ind w:left="100"/>
              <w:spacing w:after="0"/>
              <w:rPr>
                <w:sz w:val="20"/>
                <w:szCs w:val="20"/>
                <w:color w:val="auto"/>
              </w:rPr>
            </w:pPr>
            <w:r>
              <w:rPr>
                <w:rFonts w:ascii="Arial" w:cs="Arial" w:eastAsia="Arial" w:hAnsi="Arial"/>
                <w:sz w:val="14"/>
                <w:szCs w:val="14"/>
                <w:color w:val="auto"/>
              </w:rPr>
              <w:t>Healthcare Products</w:t>
            </w:r>
          </w:p>
        </w:tc>
        <w:tc>
          <w:tcPr>
            <w:tcW w:w="2240" w:type="dxa"/>
            <w:vAlign w:val="bottom"/>
          </w:tcPr>
          <w:p>
            <w:pPr>
              <w:ind w:left="20"/>
              <w:spacing w:after="0"/>
              <w:rPr>
                <w:sz w:val="20"/>
                <w:szCs w:val="20"/>
                <w:color w:val="auto"/>
              </w:rPr>
            </w:pPr>
            <w:r>
              <w:rPr>
                <w:rFonts w:ascii="Arial" w:cs="Arial" w:eastAsia="Arial" w:hAnsi="Arial"/>
                <w:sz w:val="14"/>
                <w:szCs w:val="14"/>
                <w:color w:val="auto"/>
              </w:rPr>
              <w:t>Subordinated Note</w:t>
            </w:r>
          </w:p>
        </w:tc>
        <w:tc>
          <w:tcPr>
            <w:tcW w:w="960" w:type="dxa"/>
            <w:vAlign w:val="bottom"/>
          </w:tcPr>
          <w:p>
            <w:pPr>
              <w:jc w:val="center"/>
              <w:ind w:left="72"/>
              <w:spacing w:after="0"/>
              <w:rPr>
                <w:sz w:val="20"/>
                <w:szCs w:val="20"/>
                <w:color w:val="auto"/>
              </w:rPr>
            </w:pPr>
            <w:r>
              <w:rPr>
                <w:rFonts w:ascii="Arial" w:cs="Arial" w:eastAsia="Arial" w:hAnsi="Arial"/>
                <w:sz w:val="14"/>
                <w:szCs w:val="14"/>
                <w:color w:val="auto"/>
                <w:w w:val="87"/>
              </w:rPr>
              <w:t>12.0%/4.0%</w:t>
            </w: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9/29/2018</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6,082</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6,031</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6,082</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40" w:type="dxa"/>
            <w:vAlign w:val="bottom"/>
          </w:tcPr>
          <w:p>
            <w:pPr>
              <w:ind w:left="20"/>
              <w:spacing w:after="0" w:line="159" w:lineRule="exact"/>
              <w:rPr>
                <w:sz w:val="20"/>
                <w:szCs w:val="20"/>
                <w:color w:val="auto"/>
              </w:rPr>
            </w:pPr>
            <w:r>
              <w:rPr>
                <w:rFonts w:ascii="Arial" w:cs="Arial" w:eastAsia="Arial" w:hAnsi="Arial"/>
                <w:sz w:val="14"/>
                <w:szCs w:val="14"/>
                <w:color w:val="auto"/>
              </w:rPr>
              <w:t>Common Equity (8,500 shares)</w:t>
            </w: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850</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970</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6,881</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7,052</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shd w:val="clear" w:color="auto" w:fill="CCEEFF"/>
          </w:tcPr>
          <w:p>
            <w:pPr>
              <w:spacing w:after="0" w:line="135" w:lineRule="exact"/>
              <w:rPr>
                <w:sz w:val="20"/>
                <w:szCs w:val="20"/>
                <w:color w:val="auto"/>
              </w:rPr>
            </w:pPr>
            <w:r>
              <w:rPr>
                <w:rFonts w:ascii="Arial" w:cs="Arial" w:eastAsia="Arial" w:hAnsi="Arial"/>
                <w:sz w:val="14"/>
                <w:szCs w:val="14"/>
                <w:i w:val="1"/>
                <w:iCs w:val="1"/>
                <w:color w:val="auto"/>
              </w:rPr>
              <w:t>Safety Products Group, LLC</w:t>
            </w:r>
          </w:p>
        </w:tc>
        <w:tc>
          <w:tcPr>
            <w:tcW w:w="16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Safety Products</w:t>
            </w:r>
          </w:p>
        </w:tc>
        <w:tc>
          <w:tcPr>
            <w:tcW w:w="2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Subordinated Note</w:t>
            </w:r>
          </w:p>
        </w:tc>
        <w:tc>
          <w:tcPr>
            <w:tcW w:w="960" w:type="dxa"/>
            <w:vAlign w:val="bottom"/>
            <w:shd w:val="clear" w:color="auto" w:fill="CCEEFF"/>
          </w:tcPr>
          <w:p>
            <w:pPr>
              <w:jc w:val="center"/>
              <w:ind w:left="72"/>
              <w:spacing w:after="0" w:line="135" w:lineRule="exact"/>
              <w:rPr>
                <w:sz w:val="20"/>
                <w:szCs w:val="20"/>
                <w:color w:val="auto"/>
              </w:rPr>
            </w:pPr>
            <w:r>
              <w:rPr>
                <w:rFonts w:ascii="Arial" w:cs="Arial" w:eastAsia="Arial" w:hAnsi="Arial"/>
                <w:sz w:val="14"/>
                <w:szCs w:val="14"/>
                <w:color w:val="auto"/>
                <w:w w:val="87"/>
              </w:rPr>
              <w:t>12.0%/1.5%</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12/30/2018</w:t>
            </w:r>
          </w:p>
        </w:tc>
        <w:tc>
          <w:tcPr>
            <w:tcW w:w="700" w:type="dxa"/>
            <w:vAlign w:val="bottom"/>
            <w:shd w:val="clear" w:color="auto" w:fill="CCEEFF"/>
          </w:tcPr>
          <w:p>
            <w:pPr>
              <w:jc w:val="right"/>
              <w:ind w:right="12"/>
              <w:spacing w:after="0" w:line="135" w:lineRule="exact"/>
              <w:rPr>
                <w:sz w:val="20"/>
                <w:szCs w:val="20"/>
                <w:color w:val="auto"/>
              </w:rPr>
            </w:pPr>
            <w:r>
              <w:rPr>
                <w:rFonts w:ascii="Arial" w:cs="Arial" w:eastAsia="Arial" w:hAnsi="Arial"/>
                <w:sz w:val="14"/>
                <w:szCs w:val="14"/>
                <w:color w:val="auto"/>
              </w:rPr>
              <w:t>10,000</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9,957</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9,957</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Manufacturer</w:t>
            </w:r>
          </w:p>
        </w:tc>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1"/>
                <w:szCs w:val="11"/>
                <w:color w:val="auto"/>
              </w:rPr>
              <w:t xml:space="preserve">Preferred Equity (749 shares) </w:t>
            </w:r>
            <w:r>
              <w:rPr>
                <w:rFonts w:ascii="Arial" w:cs="Arial" w:eastAsia="Arial" w:hAnsi="Arial"/>
                <w:sz w:val="17"/>
                <w:szCs w:val="17"/>
                <w:color w:val="auto"/>
                <w:vertAlign w:val="superscript"/>
              </w:rPr>
              <w:t>(7)</w:t>
            </w: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3"/>
                <w:szCs w:val="13"/>
                <w:color w:val="auto"/>
              </w:rPr>
              <w:t xml:space="preserve">Common Equity (676 shares) </w:t>
            </w:r>
            <w:r>
              <w:rPr>
                <w:rFonts w:ascii="Arial" w:cs="Arial" w:eastAsia="Arial" w:hAnsi="Arial"/>
                <w:sz w:val="20"/>
                <w:szCs w:val="20"/>
                <w:color w:val="auto"/>
                <w:vertAlign w:val="superscript"/>
              </w:rPr>
              <w:t>(7)</w:t>
            </w:r>
          </w:p>
        </w:tc>
        <w:tc>
          <w:tcPr>
            <w:tcW w:w="9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10,707</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10,707</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9"/>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Trantech Radiator Products, Inc.</w:t>
            </w:r>
          </w:p>
        </w:tc>
        <w:tc>
          <w:tcPr>
            <w:tcW w:w="1620" w:type="dxa"/>
            <w:vAlign w:val="bottom"/>
          </w:tcPr>
          <w:p>
            <w:pPr>
              <w:ind w:left="100"/>
              <w:spacing w:after="0"/>
              <w:rPr>
                <w:sz w:val="20"/>
                <w:szCs w:val="20"/>
                <w:color w:val="auto"/>
              </w:rPr>
            </w:pPr>
            <w:r>
              <w:rPr>
                <w:rFonts w:ascii="Arial" w:cs="Arial" w:eastAsia="Arial" w:hAnsi="Arial"/>
                <w:sz w:val="14"/>
                <w:szCs w:val="14"/>
                <w:color w:val="auto"/>
              </w:rPr>
              <w:t>Utility Equipment</w:t>
            </w:r>
          </w:p>
        </w:tc>
        <w:tc>
          <w:tcPr>
            <w:tcW w:w="2240" w:type="dxa"/>
            <w:vAlign w:val="bottom"/>
          </w:tcPr>
          <w:p>
            <w:pPr>
              <w:ind w:left="20"/>
              <w:spacing w:after="0"/>
              <w:rPr>
                <w:sz w:val="20"/>
                <w:szCs w:val="20"/>
                <w:color w:val="auto"/>
              </w:rPr>
            </w:pPr>
            <w:r>
              <w:rPr>
                <w:rFonts w:ascii="Arial" w:cs="Arial" w:eastAsia="Arial" w:hAnsi="Arial"/>
                <w:sz w:val="14"/>
                <w:szCs w:val="14"/>
                <w:color w:val="auto"/>
              </w:rPr>
              <w:t>Subordinated Note</w:t>
            </w:r>
          </w:p>
        </w:tc>
        <w:tc>
          <w:tcPr>
            <w:tcW w:w="960" w:type="dxa"/>
            <w:vAlign w:val="bottom"/>
          </w:tcPr>
          <w:p>
            <w:pPr>
              <w:jc w:val="center"/>
              <w:ind w:left="72"/>
              <w:spacing w:after="0"/>
              <w:rPr>
                <w:sz w:val="20"/>
                <w:szCs w:val="20"/>
                <w:color w:val="auto"/>
              </w:rPr>
            </w:pPr>
            <w:r>
              <w:rPr>
                <w:rFonts w:ascii="Arial" w:cs="Arial" w:eastAsia="Arial" w:hAnsi="Arial"/>
                <w:sz w:val="14"/>
                <w:szCs w:val="14"/>
                <w:color w:val="auto"/>
                <w:w w:val="87"/>
              </w:rPr>
              <w:t>12.0%/1.8%</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5/4/2017</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9,351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9,323</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9,351</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20" w:type="dxa"/>
            <w:vAlign w:val="bottom"/>
          </w:tcPr>
          <w:p>
            <w:pPr>
              <w:ind w:left="100"/>
              <w:spacing w:after="0" w:line="159" w:lineRule="exact"/>
              <w:rPr>
                <w:sz w:val="20"/>
                <w:szCs w:val="20"/>
                <w:color w:val="auto"/>
              </w:rPr>
            </w:pPr>
            <w:r>
              <w:rPr>
                <w:rFonts w:ascii="Arial" w:cs="Arial" w:eastAsia="Arial" w:hAnsi="Arial"/>
                <w:sz w:val="14"/>
                <w:szCs w:val="14"/>
                <w:color w:val="auto"/>
              </w:rPr>
              <w:t>Manufacturer</w:t>
            </w:r>
          </w:p>
        </w:tc>
        <w:tc>
          <w:tcPr>
            <w:tcW w:w="2240" w:type="dxa"/>
            <w:vAlign w:val="bottom"/>
          </w:tcPr>
          <w:p>
            <w:pPr>
              <w:ind w:left="20"/>
              <w:spacing w:after="0" w:line="159" w:lineRule="exact"/>
              <w:rPr>
                <w:sz w:val="20"/>
                <w:szCs w:val="20"/>
                <w:color w:val="auto"/>
              </w:rPr>
            </w:pPr>
            <w:r>
              <w:rPr>
                <w:rFonts w:ascii="Arial" w:cs="Arial" w:eastAsia="Arial" w:hAnsi="Arial"/>
                <w:sz w:val="14"/>
                <w:szCs w:val="14"/>
                <w:color w:val="auto"/>
              </w:rPr>
              <w:t>Common Equity (6,875 shares)</w:t>
            </w: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688</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1,317</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10,011</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10,668</w:t>
            </w:r>
          </w:p>
        </w:tc>
        <w:tc>
          <w:tcPr>
            <w:tcW w:w="1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Westminster Cracker Company, Inc.</w:t>
            </w:r>
          </w:p>
        </w:tc>
        <w:tc>
          <w:tcPr>
            <w:tcW w:w="1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Specialty Cracker</w:t>
            </w:r>
          </w:p>
        </w:tc>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Equity (83,851 units)</w:t>
            </w: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Manufacturer</w:t>
            </w:r>
          </w:p>
        </w:tc>
        <w:tc>
          <w:tcPr>
            <w:tcW w:w="224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Equity (1,208,197 units)</w:t>
            </w:r>
          </w:p>
        </w:tc>
        <w:tc>
          <w:tcPr>
            <w:tcW w:w="9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1,208</w:t>
            </w:r>
          </w:p>
        </w:tc>
        <w:tc>
          <w:tcPr>
            <w:tcW w:w="1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1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1,278</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1,183</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World Wide Packaging, LLC</w:t>
            </w:r>
          </w:p>
        </w:tc>
        <w:tc>
          <w:tcPr>
            <w:tcW w:w="1620" w:type="dxa"/>
            <w:vAlign w:val="bottom"/>
          </w:tcPr>
          <w:p>
            <w:pPr>
              <w:ind w:left="100"/>
              <w:spacing w:after="0"/>
              <w:rPr>
                <w:sz w:val="20"/>
                <w:szCs w:val="20"/>
                <w:color w:val="auto"/>
              </w:rPr>
            </w:pPr>
            <w:r>
              <w:rPr>
                <w:rFonts w:ascii="Arial" w:cs="Arial" w:eastAsia="Arial" w:hAnsi="Arial"/>
                <w:sz w:val="14"/>
                <w:szCs w:val="14"/>
                <w:color w:val="auto"/>
              </w:rPr>
              <w:t>Consumer Products</w:t>
            </w:r>
          </w:p>
        </w:tc>
        <w:tc>
          <w:tcPr>
            <w:tcW w:w="2240" w:type="dxa"/>
            <w:vAlign w:val="bottom"/>
          </w:tcPr>
          <w:p>
            <w:pPr>
              <w:ind w:left="20"/>
              <w:spacing w:after="0"/>
              <w:rPr>
                <w:sz w:val="20"/>
                <w:szCs w:val="20"/>
                <w:color w:val="auto"/>
              </w:rPr>
            </w:pPr>
            <w:r>
              <w:rPr>
                <w:rFonts w:ascii="Arial" w:cs="Arial" w:eastAsia="Arial" w:hAnsi="Arial"/>
                <w:sz w:val="14"/>
                <w:szCs w:val="14"/>
                <w:color w:val="auto"/>
              </w:rPr>
              <w:t>Subordinated Note</w:t>
            </w:r>
          </w:p>
        </w:tc>
        <w:tc>
          <w:tcPr>
            <w:tcW w:w="960" w:type="dxa"/>
            <w:vAlign w:val="bottom"/>
          </w:tcPr>
          <w:p>
            <w:pPr>
              <w:jc w:val="center"/>
              <w:ind w:left="72"/>
              <w:spacing w:after="0"/>
              <w:rPr>
                <w:sz w:val="20"/>
                <w:szCs w:val="20"/>
                <w:color w:val="auto"/>
              </w:rPr>
            </w:pPr>
            <w:r>
              <w:rPr>
                <w:rFonts w:ascii="Arial" w:cs="Arial" w:eastAsia="Arial" w:hAnsi="Arial"/>
                <w:sz w:val="14"/>
                <w:szCs w:val="14"/>
                <w:color w:val="auto"/>
                <w:w w:val="87"/>
              </w:rPr>
              <w:t>12.0%/1.8%</w:t>
            </w: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10/26/2018</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9,919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9,877</w:t>
            </w: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9,919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40" w:type="dxa"/>
            <w:vAlign w:val="bottom"/>
          </w:tcPr>
          <w:p>
            <w:pPr>
              <w:ind w:left="20"/>
              <w:spacing w:after="0" w:line="176" w:lineRule="exact"/>
              <w:rPr>
                <w:sz w:val="20"/>
                <w:szCs w:val="20"/>
                <w:color w:val="auto"/>
              </w:rPr>
            </w:pPr>
            <w:r>
              <w:rPr>
                <w:rFonts w:ascii="Arial" w:cs="Arial" w:eastAsia="Arial" w:hAnsi="Arial"/>
                <w:sz w:val="13"/>
                <w:szCs w:val="13"/>
                <w:color w:val="auto"/>
              </w:rPr>
              <w:t xml:space="preserve">Common Equity (1,300,000 units) </w:t>
            </w:r>
            <w:r>
              <w:rPr>
                <w:rFonts w:ascii="Arial" w:cs="Arial" w:eastAsia="Arial" w:hAnsi="Arial"/>
                <w:sz w:val="20"/>
                <w:szCs w:val="20"/>
                <w:color w:val="auto"/>
                <w:vertAlign w:val="superscript"/>
              </w:rPr>
              <w:t>(7)</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11,177</w:t>
            </w:r>
          </w:p>
        </w:tc>
        <w:tc>
          <w:tcPr>
            <w:tcW w:w="160" w:type="dxa"/>
            <w:vAlign w:val="bottom"/>
          </w:tcPr>
          <w:p>
            <w:pPr>
              <w:spacing w:after="0"/>
              <w:rPr>
                <w:sz w:val="14"/>
                <w:szCs w:val="14"/>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11,219</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Affiliate Investments</w:t>
            </w:r>
          </w:p>
        </w:tc>
        <w:tc>
          <w:tcPr>
            <w:tcW w:w="162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88,983</w:t>
            </w:r>
          </w:p>
        </w:tc>
        <w:tc>
          <w:tcPr>
            <w:tcW w:w="16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82,444</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FIDUS INVESTMENT CORPORATION</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2013</w:t>
      </w:r>
    </w:p>
    <w:p>
      <w:pPr>
        <w:jc w:val="center"/>
        <w:spacing w:after="0"/>
        <w:rPr>
          <w:sz w:val="20"/>
          <w:szCs w:val="20"/>
          <w:color w:val="auto"/>
        </w:rPr>
      </w:pPr>
      <w:r>
        <w:rPr>
          <w:rFonts w:ascii="Arial" w:cs="Arial" w:eastAsia="Arial" w:hAnsi="Arial"/>
          <w:sz w:val="14"/>
          <w:szCs w:val="14"/>
          <w:b w:val="1"/>
          <w:bCs w:val="1"/>
          <w:color w:val="auto"/>
        </w:rPr>
        <w:t>(In thousands, except shares)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 xml:space="preserve">Rate </w:t>
            </w:r>
            <w:r>
              <w:rPr>
                <w:rFonts w:ascii="Arial" w:cs="Arial" w:eastAsia="Arial" w:hAnsi="Arial"/>
                <w:sz w:val="22"/>
                <w:szCs w:val="22"/>
                <w:b w:val="1"/>
                <w:bCs w:val="1"/>
                <w:color w:val="auto"/>
                <w:w w:val="80"/>
                <w:vertAlign w:val="superscript"/>
              </w:rPr>
              <w:t>(4)</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1500" w:type="dxa"/>
            <w:vAlign w:val="bottom"/>
          </w:tcPr>
          <w:p>
            <w:pPr>
              <w:spacing w:after="0"/>
              <w:rPr>
                <w:sz w:val="12"/>
                <w:szCs w:val="12"/>
                <w:color w:val="auto"/>
              </w:rPr>
            </w:pPr>
          </w:p>
        </w:tc>
        <w:tc>
          <w:tcPr>
            <w:tcW w:w="24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8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5"/>
        </w:trPr>
        <w:tc>
          <w:tcPr>
            <w:tcW w:w="3240" w:type="dxa"/>
            <w:vAlign w:val="bottom"/>
            <w:gridSpan w:val="2"/>
            <w:vMerge w:val="continue"/>
          </w:tcPr>
          <w:p>
            <w:pPr>
              <w:spacing w:after="0"/>
              <w:rPr>
                <w:sz w:val="15"/>
                <w:szCs w:val="15"/>
                <w:color w:val="auto"/>
              </w:rPr>
            </w:pPr>
          </w:p>
        </w:tc>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Industry</w:t>
            </w:r>
          </w:p>
        </w:tc>
        <w:tc>
          <w:tcPr>
            <w:tcW w:w="246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Cash/PIK</w:t>
            </w: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9"/>
        </w:trPr>
        <w:tc>
          <w:tcPr>
            <w:tcW w:w="32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50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22"/>
                <w:szCs w:val="22"/>
                <w:b w:val="1"/>
                <w:bCs w:val="1"/>
                <w:color w:val="auto"/>
                <w:vertAlign w:val="superscript"/>
              </w:rPr>
              <w:t>(5)</w:t>
            </w:r>
          </w:p>
        </w:tc>
        <w:tc>
          <w:tcPr>
            <w:tcW w:w="1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20" w:type="dxa"/>
            <w:vAlign w:val="bottom"/>
            <w:shd w:val="clear" w:color="auto" w:fill="CCEEFF"/>
          </w:tcPr>
          <w:p>
            <w:pPr>
              <w:spacing w:after="0" w:line="124" w:lineRule="exact"/>
              <w:rPr>
                <w:sz w:val="20"/>
                <w:szCs w:val="20"/>
                <w:color w:val="auto"/>
              </w:rPr>
            </w:pPr>
            <w:r>
              <w:rPr>
                <w:rFonts w:ascii="Arial" w:cs="Arial" w:eastAsia="Arial" w:hAnsi="Arial"/>
                <w:sz w:val="14"/>
                <w:szCs w:val="14"/>
                <w:i w:val="1"/>
                <w:iCs w:val="1"/>
                <w:color w:val="auto"/>
              </w:rPr>
              <w:t>Anatrace Products, LLC</w:t>
            </w:r>
          </w:p>
        </w:tc>
        <w:tc>
          <w:tcPr>
            <w:tcW w:w="1500" w:type="dxa"/>
            <w:vAlign w:val="bottom"/>
            <w:shd w:val="clear" w:color="auto" w:fill="CCEEFF"/>
          </w:tcPr>
          <w:p>
            <w:pPr>
              <w:ind w:left="100"/>
              <w:spacing w:after="0" w:line="124" w:lineRule="exact"/>
              <w:rPr>
                <w:sz w:val="20"/>
                <w:szCs w:val="20"/>
                <w:color w:val="auto"/>
              </w:rPr>
            </w:pPr>
            <w:r>
              <w:rPr>
                <w:rFonts w:ascii="Arial" w:cs="Arial" w:eastAsia="Arial" w:hAnsi="Arial"/>
                <w:sz w:val="14"/>
                <w:szCs w:val="14"/>
                <w:color w:val="auto"/>
              </w:rPr>
              <w:t>Healthcare Products</w:t>
            </w:r>
          </w:p>
        </w:tc>
        <w:tc>
          <w:tcPr>
            <w:tcW w:w="2460" w:type="dxa"/>
            <w:vAlign w:val="bottom"/>
            <w:shd w:val="clear" w:color="auto" w:fill="CCEEFF"/>
          </w:tcPr>
          <w:p>
            <w:pPr>
              <w:ind w:left="80"/>
              <w:spacing w:after="0" w:line="124" w:lineRule="exact"/>
              <w:rPr>
                <w:sz w:val="20"/>
                <w:szCs w:val="20"/>
                <w:color w:val="auto"/>
              </w:rPr>
            </w:pPr>
            <w:r>
              <w:rPr>
                <w:rFonts w:ascii="Arial" w:cs="Arial" w:eastAsia="Arial" w:hAnsi="Arial"/>
                <w:sz w:val="14"/>
                <w:szCs w:val="14"/>
                <w:color w:val="auto"/>
              </w:rPr>
              <w:t>Senior Secured Loan</w:t>
            </w:r>
          </w:p>
        </w:tc>
        <w:tc>
          <w:tcPr>
            <w:tcW w:w="840" w:type="dxa"/>
            <w:vAlign w:val="bottom"/>
            <w:shd w:val="clear" w:color="auto" w:fill="CCEEFF"/>
          </w:tcPr>
          <w:p>
            <w:pPr>
              <w:jc w:val="center"/>
              <w:spacing w:after="0" w:line="124" w:lineRule="exact"/>
              <w:rPr>
                <w:sz w:val="20"/>
                <w:szCs w:val="20"/>
                <w:color w:val="auto"/>
              </w:rPr>
            </w:pPr>
            <w:r>
              <w:rPr>
                <w:rFonts w:ascii="Arial" w:cs="Arial" w:eastAsia="Arial" w:hAnsi="Arial"/>
                <w:sz w:val="14"/>
                <w:szCs w:val="14"/>
                <w:color w:val="auto"/>
                <w:w w:val="87"/>
              </w:rPr>
              <w:t>11.5%/1.5%</w:t>
            </w:r>
          </w:p>
        </w:tc>
        <w:tc>
          <w:tcPr>
            <w:tcW w:w="760" w:type="dxa"/>
            <w:vAlign w:val="bottom"/>
            <w:shd w:val="clear" w:color="auto" w:fill="CCEEFF"/>
          </w:tcPr>
          <w:p>
            <w:pPr>
              <w:jc w:val="right"/>
              <w:ind w:right="12"/>
              <w:spacing w:after="0" w:line="124" w:lineRule="exact"/>
              <w:rPr>
                <w:sz w:val="20"/>
                <w:szCs w:val="20"/>
                <w:color w:val="auto"/>
              </w:rPr>
            </w:pPr>
            <w:r>
              <w:rPr>
                <w:rFonts w:ascii="Arial" w:cs="Arial" w:eastAsia="Arial" w:hAnsi="Arial"/>
                <w:sz w:val="14"/>
                <w:szCs w:val="14"/>
                <w:color w:val="auto"/>
                <w:w w:val="94"/>
              </w:rPr>
              <w:t>10/11/2018</w:t>
            </w:r>
          </w:p>
        </w:tc>
        <w:tc>
          <w:tcPr>
            <w:tcW w:w="700" w:type="dxa"/>
            <w:vAlign w:val="bottom"/>
            <w:shd w:val="clear" w:color="auto" w:fill="CCEEFF"/>
          </w:tcPr>
          <w:p>
            <w:pPr>
              <w:jc w:val="right"/>
              <w:ind w:right="12"/>
              <w:spacing w:after="0" w:line="124" w:lineRule="exact"/>
              <w:rPr>
                <w:sz w:val="20"/>
                <w:szCs w:val="20"/>
                <w:color w:val="auto"/>
              </w:rPr>
            </w:pPr>
            <w:r>
              <w:rPr>
                <w:rFonts w:ascii="Arial" w:cs="Arial" w:eastAsia="Arial" w:hAnsi="Arial"/>
                <w:sz w:val="14"/>
                <w:szCs w:val="14"/>
                <w:color w:val="auto"/>
              </w:rPr>
              <w:t>$   9,533</w:t>
            </w: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4"/>
                <w:szCs w:val="14"/>
                <w:color w:val="auto"/>
              </w:rPr>
              <w:t>$ 9,493</w:t>
            </w:r>
          </w:p>
        </w:tc>
        <w:tc>
          <w:tcPr>
            <w:tcW w:w="12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00"/>
              <w:spacing w:after="0" w:line="124" w:lineRule="exact"/>
              <w:rPr>
                <w:sz w:val="20"/>
                <w:szCs w:val="20"/>
                <w:color w:val="auto"/>
              </w:rPr>
            </w:pPr>
            <w:r>
              <w:rPr>
                <w:rFonts w:ascii="Arial" w:cs="Arial" w:eastAsia="Arial" w:hAnsi="Arial"/>
                <w:sz w:val="14"/>
                <w:szCs w:val="14"/>
                <w:color w:val="auto"/>
              </w:rPr>
              <w:t>$ 9,493</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Revolving Loan ($500 commitment) </w:t>
            </w:r>
            <w:r>
              <w:rPr>
                <w:rFonts w:ascii="Arial" w:cs="Arial" w:eastAsia="Arial" w:hAnsi="Arial"/>
                <w:sz w:val="20"/>
                <w:szCs w:val="20"/>
                <w:color w:val="auto"/>
                <w:vertAlign w:val="superscript"/>
              </w:rPr>
              <w:t>(9)</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4"/>
              </w:rPr>
              <w:t>10/11/2018</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Equity (360,000 shares)</w:t>
            </w:r>
          </w:p>
        </w:tc>
        <w:tc>
          <w:tcPr>
            <w:tcW w:w="8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9,851</w:t>
            </w: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9,851</w:t>
            </w: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Acentia, LLC (f/k/a ITSolutions)</w:t>
            </w:r>
          </w:p>
        </w:tc>
        <w:tc>
          <w:tcPr>
            <w:tcW w:w="1500" w:type="dxa"/>
            <w:vAlign w:val="bottom"/>
          </w:tcPr>
          <w:p>
            <w:pPr>
              <w:ind w:left="100"/>
              <w:spacing w:after="0"/>
              <w:rPr>
                <w:sz w:val="20"/>
                <w:szCs w:val="20"/>
                <w:color w:val="auto"/>
              </w:rPr>
            </w:pPr>
            <w:r>
              <w:rPr>
                <w:rFonts w:ascii="Arial" w:cs="Arial" w:eastAsia="Arial" w:hAnsi="Arial"/>
                <w:sz w:val="14"/>
                <w:szCs w:val="14"/>
                <w:color w:val="auto"/>
              </w:rPr>
              <w:t>IT Services</w:t>
            </w:r>
          </w:p>
        </w:tc>
        <w:tc>
          <w:tcPr>
            <w:tcW w:w="2460" w:type="dxa"/>
            <w:vAlign w:val="bottom"/>
          </w:tcPr>
          <w:p>
            <w:pPr>
              <w:ind w:left="80"/>
              <w:spacing w:after="0"/>
              <w:rPr>
                <w:sz w:val="20"/>
                <w:szCs w:val="20"/>
                <w:color w:val="auto"/>
              </w:rPr>
            </w:pPr>
            <w:r>
              <w:rPr>
                <w:rFonts w:ascii="Arial" w:cs="Arial" w:eastAsia="Arial" w:hAnsi="Arial"/>
                <w:sz w:val="14"/>
                <w:szCs w:val="14"/>
                <w:color w:val="auto"/>
              </w:rPr>
              <w:t>Common Units (499 units)</w:t>
            </w: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267</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ACFP Management, Inc.</w:t>
            </w:r>
          </w:p>
        </w:tc>
        <w:tc>
          <w:tcPr>
            <w:tcW w:w="1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Restaurants</w:t>
            </w:r>
          </w:p>
        </w:tc>
        <w:tc>
          <w:tcPr>
            <w:tcW w:w="2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Units (1,000,000 units)</w:t>
            </w:r>
          </w:p>
        </w:tc>
        <w:tc>
          <w:tcPr>
            <w:tcW w:w="8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1,140</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6"/>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Brook &amp; Whittle Limited</w:t>
            </w:r>
          </w:p>
        </w:tc>
        <w:tc>
          <w:tcPr>
            <w:tcW w:w="1500" w:type="dxa"/>
            <w:vAlign w:val="bottom"/>
          </w:tcPr>
          <w:p>
            <w:pPr>
              <w:ind w:left="100"/>
              <w:spacing w:after="0"/>
              <w:rPr>
                <w:sz w:val="20"/>
                <w:szCs w:val="20"/>
                <w:color w:val="auto"/>
              </w:rPr>
            </w:pPr>
            <w:r>
              <w:rPr>
                <w:rFonts w:ascii="Arial" w:cs="Arial" w:eastAsia="Arial" w:hAnsi="Arial"/>
                <w:sz w:val="14"/>
                <w:szCs w:val="14"/>
                <w:color w:val="auto"/>
              </w:rPr>
              <w:t>Specialty Printing</w:t>
            </w:r>
          </w:p>
        </w:tc>
        <w:tc>
          <w:tcPr>
            <w:tcW w:w="2460" w:type="dxa"/>
            <w:vAlign w:val="bottom"/>
          </w:tcPr>
          <w:p>
            <w:pPr>
              <w:ind w:left="8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12.0%/4.8%</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w w:val="94"/>
              </w:rPr>
              <w:t>12/31/2016</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6,954</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6,954</w:t>
            </w:r>
          </w:p>
        </w:tc>
        <w:tc>
          <w:tcPr>
            <w:tcW w:w="120" w:type="dxa"/>
            <w:vAlign w:val="bottom"/>
          </w:tcPr>
          <w:p>
            <w:pPr>
              <w:spacing w:after="0"/>
              <w:rPr>
                <w:sz w:val="21"/>
                <w:szCs w:val="2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6,954</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7"/>
              </w:rPr>
              <w:t>12.0%/2.0%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12/31/2016</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2,206</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2,199</w:t>
            </w:r>
          </w:p>
        </w:tc>
        <w:tc>
          <w:tcPr>
            <w:tcW w:w="12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2,206</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Warrant (1,051 shares)</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w:t>
            </w:r>
          </w:p>
        </w:tc>
        <w:tc>
          <w:tcPr>
            <w:tcW w:w="12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367</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Equity -Series A (148 shares)</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60" w:type="dxa"/>
            <w:vAlign w:val="bottom"/>
          </w:tcPr>
          <w:p>
            <w:pPr>
              <w:ind w:left="80"/>
              <w:spacing w:after="0" w:line="159" w:lineRule="exact"/>
              <w:rPr>
                <w:sz w:val="20"/>
                <w:szCs w:val="20"/>
                <w:color w:val="auto"/>
              </w:rPr>
            </w:pPr>
            <w:r>
              <w:rPr>
                <w:rFonts w:ascii="Arial" w:cs="Arial" w:eastAsia="Arial" w:hAnsi="Arial"/>
                <w:sz w:val="14"/>
                <w:szCs w:val="14"/>
                <w:color w:val="auto"/>
                <w:w w:val="96"/>
              </w:rPr>
              <w:t>Common Equity -Series D (527 shares)</w:t>
            </w: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9,601</w:t>
            </w:r>
          </w:p>
        </w:tc>
        <w:tc>
          <w:tcPr>
            <w:tcW w:w="12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9,632</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Brook Furniture Rental, Inc.</w:t>
            </w:r>
          </w:p>
        </w:tc>
        <w:tc>
          <w:tcPr>
            <w:tcW w:w="1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Furniture Rental</w:t>
            </w:r>
          </w:p>
        </w:tc>
        <w:tc>
          <w:tcPr>
            <w:tcW w:w="2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12.0%/1.5%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9/30/2016</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7,865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7,573</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7,944</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Warrants (2.5%)</w:t>
            </w:r>
          </w:p>
        </w:tc>
        <w:tc>
          <w:tcPr>
            <w:tcW w:w="8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8,058</w:t>
            </w: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8,695</w:t>
            </w: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6"/>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Caldwell &amp; Gregory, LLC</w:t>
            </w:r>
          </w:p>
        </w:tc>
        <w:tc>
          <w:tcPr>
            <w:tcW w:w="1500" w:type="dxa"/>
            <w:vAlign w:val="bottom"/>
          </w:tcPr>
          <w:p>
            <w:pPr>
              <w:ind w:left="100"/>
              <w:spacing w:after="0"/>
              <w:rPr>
                <w:sz w:val="20"/>
                <w:szCs w:val="20"/>
                <w:color w:val="auto"/>
              </w:rPr>
            </w:pPr>
            <w:r>
              <w:rPr>
                <w:rFonts w:ascii="Arial" w:cs="Arial" w:eastAsia="Arial" w:hAnsi="Arial"/>
                <w:sz w:val="14"/>
                <w:szCs w:val="14"/>
                <w:color w:val="auto"/>
              </w:rPr>
              <w:t>Laundry Services</w:t>
            </w:r>
          </w:p>
        </w:tc>
        <w:tc>
          <w:tcPr>
            <w:tcW w:w="2460" w:type="dxa"/>
            <w:vAlign w:val="bottom"/>
          </w:tcPr>
          <w:p>
            <w:pPr>
              <w:ind w:left="8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11.5%/1.0%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w w:val="94"/>
              </w:rPr>
              <w:t>11/30/2018</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1,509</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21"/>
                <w:szCs w:val="2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1,509</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60" w:type="dxa"/>
            <w:vAlign w:val="bottom"/>
          </w:tcPr>
          <w:p>
            <w:pPr>
              <w:ind w:left="80"/>
              <w:spacing w:after="0" w:line="133" w:lineRule="exact"/>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line="133" w:lineRule="exact"/>
              <w:rPr>
                <w:sz w:val="20"/>
                <w:szCs w:val="20"/>
                <w:color w:val="auto"/>
              </w:rPr>
            </w:pPr>
            <w:r>
              <w:rPr>
                <w:rFonts w:ascii="Arial" w:cs="Arial" w:eastAsia="Arial" w:hAnsi="Arial"/>
                <w:sz w:val="14"/>
                <w:szCs w:val="14"/>
                <w:color w:val="auto"/>
                <w:w w:val="87"/>
              </w:rPr>
              <w:t>0.0%/12.0%</w:t>
            </w:r>
          </w:p>
        </w:tc>
        <w:tc>
          <w:tcPr>
            <w:tcW w:w="760" w:type="dxa"/>
            <w:vAlign w:val="bottom"/>
          </w:tcPr>
          <w:p>
            <w:pPr>
              <w:jc w:val="right"/>
              <w:ind w:right="52"/>
              <w:spacing w:after="0" w:line="133" w:lineRule="exact"/>
              <w:rPr>
                <w:sz w:val="20"/>
                <w:szCs w:val="20"/>
                <w:color w:val="auto"/>
              </w:rPr>
            </w:pPr>
            <w:r>
              <w:rPr>
                <w:rFonts w:ascii="Arial" w:cs="Arial" w:eastAsia="Arial" w:hAnsi="Arial"/>
                <w:sz w:val="14"/>
                <w:szCs w:val="14"/>
                <w:color w:val="auto"/>
                <w:w w:val="99"/>
              </w:rPr>
              <w:t>5/31/2019</w:t>
            </w:r>
          </w:p>
        </w:tc>
        <w:tc>
          <w:tcPr>
            <w:tcW w:w="700" w:type="dxa"/>
            <w:vAlign w:val="bottom"/>
          </w:tcPr>
          <w:p>
            <w:pPr>
              <w:jc w:val="right"/>
              <w:ind w:right="12"/>
              <w:spacing w:after="0" w:line="133" w:lineRule="exact"/>
              <w:rPr>
                <w:sz w:val="20"/>
                <w:szCs w:val="20"/>
                <w:color w:val="auto"/>
              </w:rPr>
            </w:pPr>
            <w:r>
              <w:rPr>
                <w:rFonts w:ascii="Arial" w:cs="Arial" w:eastAsia="Arial" w:hAnsi="Arial"/>
                <w:sz w:val="14"/>
                <w:szCs w:val="14"/>
                <w:color w:val="auto"/>
              </w:rPr>
              <w:t>3,215</w:t>
            </w:r>
          </w:p>
        </w:tc>
        <w:tc>
          <w:tcPr>
            <w:tcW w:w="5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2,941</w:t>
            </w:r>
          </w:p>
        </w:tc>
        <w:tc>
          <w:tcPr>
            <w:tcW w:w="120" w:type="dxa"/>
            <w:vAlign w:val="bottom"/>
          </w:tcPr>
          <w:p>
            <w:pPr>
              <w:spacing w:after="0"/>
              <w:rPr>
                <w:sz w:val="11"/>
                <w:szCs w:val="11"/>
                <w:color w:val="auto"/>
              </w:rPr>
            </w:pPr>
          </w:p>
        </w:tc>
        <w:tc>
          <w:tcPr>
            <w:tcW w:w="620" w:type="dxa"/>
            <w:vAlign w:val="bottom"/>
            <w:gridSpan w:val="3"/>
          </w:tcPr>
          <w:p>
            <w:pPr>
              <w:jc w:val="right"/>
              <w:ind w:right="100"/>
              <w:spacing w:after="0" w:line="133" w:lineRule="exact"/>
              <w:rPr>
                <w:sz w:val="20"/>
                <w:szCs w:val="20"/>
                <w:color w:val="auto"/>
              </w:rPr>
            </w:pPr>
            <w:r>
              <w:rPr>
                <w:rFonts w:ascii="Arial" w:cs="Arial" w:eastAsia="Arial" w:hAnsi="Arial"/>
                <w:sz w:val="14"/>
                <w:szCs w:val="14"/>
                <w:color w:val="auto"/>
              </w:rPr>
              <w:t>3,215</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60" w:type="dxa"/>
            <w:vAlign w:val="bottom"/>
          </w:tcPr>
          <w:p>
            <w:pPr>
              <w:ind w:left="80"/>
              <w:spacing w:after="0" w:line="149" w:lineRule="exact"/>
              <w:rPr>
                <w:sz w:val="20"/>
                <w:szCs w:val="20"/>
                <w:color w:val="auto"/>
              </w:rPr>
            </w:pPr>
            <w:r>
              <w:rPr>
                <w:rFonts w:ascii="Arial" w:cs="Arial" w:eastAsia="Arial" w:hAnsi="Arial"/>
                <w:sz w:val="11"/>
                <w:szCs w:val="11"/>
                <w:color w:val="auto"/>
              </w:rPr>
              <w:t xml:space="preserve">Common Equity (500,000 units) </w:t>
            </w:r>
            <w:r>
              <w:rPr>
                <w:rFonts w:ascii="Arial" w:cs="Arial" w:eastAsia="Arial" w:hAnsi="Arial"/>
                <w:sz w:val="17"/>
                <w:szCs w:val="17"/>
                <w:color w:val="auto"/>
                <w:vertAlign w:val="superscript"/>
              </w:rPr>
              <w:t>(7)</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511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60" w:type="dxa"/>
            <w:vAlign w:val="bottom"/>
          </w:tcPr>
          <w:p>
            <w:pPr>
              <w:ind w:left="80"/>
              <w:spacing w:after="0" w:line="176" w:lineRule="exact"/>
              <w:rPr>
                <w:sz w:val="20"/>
                <w:szCs w:val="20"/>
                <w:color w:val="auto"/>
              </w:rPr>
            </w:pPr>
            <w:r>
              <w:rPr>
                <w:rFonts w:ascii="Arial" w:cs="Arial" w:eastAsia="Arial" w:hAnsi="Arial"/>
                <w:sz w:val="13"/>
                <w:szCs w:val="13"/>
                <w:color w:val="auto"/>
              </w:rPr>
              <w:t xml:space="preserve">Warrant (242,121 units) </w:t>
            </w:r>
            <w:r>
              <w:rPr>
                <w:rFonts w:ascii="Arial" w:cs="Arial" w:eastAsia="Arial" w:hAnsi="Arial"/>
                <w:sz w:val="20"/>
                <w:szCs w:val="20"/>
                <w:color w:val="auto"/>
                <w:vertAlign w:val="superscript"/>
              </w:rPr>
              <w:t>(7)</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5,165</w:t>
            </w:r>
          </w:p>
        </w:tc>
        <w:tc>
          <w:tcPr>
            <w:tcW w:w="12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5,482</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2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Channel Technologies Group, LLC</w:t>
            </w:r>
          </w:p>
        </w:tc>
        <w:tc>
          <w:tcPr>
            <w:tcW w:w="150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Component</w:t>
            </w:r>
          </w:p>
        </w:tc>
        <w:tc>
          <w:tcPr>
            <w:tcW w:w="2460" w:type="dxa"/>
            <w:vAlign w:val="bottom"/>
            <w:shd w:val="clear" w:color="auto" w:fill="CCEEFF"/>
          </w:tcPr>
          <w:p>
            <w:pPr>
              <w:ind w:left="80"/>
              <w:spacing w:after="0" w:line="122"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7"/>
              </w:rPr>
              <w:t>11.0%/1.3%</w:t>
            </w:r>
          </w:p>
        </w:tc>
        <w:tc>
          <w:tcPr>
            <w:tcW w:w="760" w:type="dxa"/>
            <w:vAlign w:val="bottom"/>
            <w:shd w:val="clear" w:color="auto" w:fill="CCEEFF"/>
          </w:tcPr>
          <w:p>
            <w:pPr>
              <w:jc w:val="right"/>
              <w:ind w:right="52"/>
              <w:spacing w:after="0" w:line="122" w:lineRule="exact"/>
              <w:rPr>
                <w:sz w:val="20"/>
                <w:szCs w:val="20"/>
                <w:color w:val="auto"/>
              </w:rPr>
            </w:pPr>
            <w:r>
              <w:rPr>
                <w:rFonts w:ascii="Arial" w:cs="Arial" w:eastAsia="Arial" w:hAnsi="Arial"/>
                <w:sz w:val="14"/>
                <w:szCs w:val="14"/>
                <w:color w:val="auto"/>
                <w:w w:val="99"/>
              </w:rPr>
              <w:t>4/10/2019</w:t>
            </w:r>
          </w:p>
        </w:tc>
        <w:tc>
          <w:tcPr>
            <w:tcW w:w="7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rPr>
              <w:t>7,000</w:t>
            </w:r>
          </w:p>
        </w:tc>
        <w:tc>
          <w:tcPr>
            <w:tcW w:w="5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6,941</w:t>
            </w:r>
          </w:p>
        </w:tc>
        <w:tc>
          <w:tcPr>
            <w:tcW w:w="12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6,941</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Manufacturer</w:t>
            </w:r>
          </w:p>
        </w:tc>
        <w:tc>
          <w:tcPr>
            <w:tcW w:w="2460" w:type="dxa"/>
            <w:vAlign w:val="bottom"/>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Preferred Equity (538 units) </w:t>
            </w:r>
            <w:r>
              <w:rPr>
                <w:rFonts w:ascii="Arial" w:cs="Arial" w:eastAsia="Arial" w:hAnsi="Arial"/>
                <w:sz w:val="20"/>
                <w:szCs w:val="20"/>
                <w:color w:val="auto"/>
                <w:vertAlign w:val="superscript"/>
              </w:rPr>
              <w:t>(7)</w:t>
            </w:r>
          </w:p>
        </w:tc>
        <w:tc>
          <w:tcPr>
            <w:tcW w:w="8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1"/>
                <w:szCs w:val="11"/>
                <w:color w:val="auto"/>
              </w:rPr>
              <w:t xml:space="preserve">Common Equity (537,817 units) </w:t>
            </w:r>
            <w:r>
              <w:rPr>
                <w:rFonts w:ascii="Arial" w:cs="Arial" w:eastAsia="Arial" w:hAnsi="Arial"/>
                <w:sz w:val="17"/>
                <w:szCs w:val="17"/>
                <w:color w:val="auto"/>
                <w:vertAlign w:val="superscript"/>
              </w:rPr>
              <w:t>(7)</w:t>
            </w:r>
          </w:p>
        </w:tc>
        <w:tc>
          <w:tcPr>
            <w:tcW w:w="8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7,941</w:t>
            </w: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7,941</w:t>
            </w: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6"/>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Connect-Air International, Inc.</w:t>
            </w:r>
          </w:p>
        </w:tc>
        <w:tc>
          <w:tcPr>
            <w:tcW w:w="1500" w:type="dxa"/>
            <w:vAlign w:val="bottom"/>
          </w:tcPr>
          <w:p>
            <w:pPr>
              <w:ind w:left="100"/>
              <w:spacing w:after="0"/>
              <w:rPr>
                <w:sz w:val="20"/>
                <w:szCs w:val="20"/>
                <w:color w:val="auto"/>
              </w:rPr>
            </w:pPr>
            <w:r>
              <w:rPr>
                <w:rFonts w:ascii="Arial" w:cs="Arial" w:eastAsia="Arial" w:hAnsi="Arial"/>
                <w:sz w:val="14"/>
                <w:szCs w:val="14"/>
                <w:color w:val="auto"/>
              </w:rPr>
              <w:t>Specialty Distribution</w:t>
            </w:r>
          </w:p>
        </w:tc>
        <w:tc>
          <w:tcPr>
            <w:tcW w:w="2460" w:type="dxa"/>
            <w:vAlign w:val="bottom"/>
          </w:tcPr>
          <w:p>
            <w:pPr>
              <w:ind w:left="8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12.8%/0.0%</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11/5/2018</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11,400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11,394</w:t>
            </w:r>
          </w:p>
        </w:tc>
        <w:tc>
          <w:tcPr>
            <w:tcW w:w="120" w:type="dxa"/>
            <w:vAlign w:val="bottom"/>
          </w:tcPr>
          <w:p>
            <w:pPr>
              <w:spacing w:after="0"/>
              <w:rPr>
                <w:sz w:val="21"/>
                <w:szCs w:val="2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11,394</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60" w:type="dxa"/>
            <w:vAlign w:val="bottom"/>
          </w:tcPr>
          <w:p>
            <w:pPr>
              <w:ind w:left="80"/>
              <w:spacing w:after="0" w:line="159" w:lineRule="exact"/>
              <w:rPr>
                <w:sz w:val="20"/>
                <w:szCs w:val="20"/>
                <w:color w:val="auto"/>
              </w:rPr>
            </w:pPr>
            <w:r>
              <w:rPr>
                <w:rFonts w:ascii="Arial" w:cs="Arial" w:eastAsia="Arial" w:hAnsi="Arial"/>
                <w:sz w:val="14"/>
                <w:szCs w:val="14"/>
                <w:color w:val="auto"/>
              </w:rPr>
              <w:t>Common Equity</w:t>
            </w: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1,800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11,394</w:t>
            </w:r>
          </w:p>
        </w:tc>
        <w:tc>
          <w:tcPr>
            <w:tcW w:w="12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13,194</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Continental Anesthesia Management, LLC</w:t>
            </w:r>
          </w:p>
        </w:tc>
        <w:tc>
          <w:tcPr>
            <w:tcW w:w="1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Services</w:t>
            </w:r>
          </w:p>
        </w:tc>
        <w:tc>
          <w:tcPr>
            <w:tcW w:w="2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Senior Secured Loan</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14.0%/0.0%</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9/15/2014</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9,825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9,777</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9,717</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Warrant (263 shares)</w:t>
            </w:r>
          </w:p>
        </w:tc>
        <w:tc>
          <w:tcPr>
            <w:tcW w:w="8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10,053</w:t>
            </w: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9,717</w:t>
            </w: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6"/>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Convergent Resources, Inc.</w:t>
            </w:r>
          </w:p>
        </w:tc>
        <w:tc>
          <w:tcPr>
            <w:tcW w:w="1500" w:type="dxa"/>
            <w:vAlign w:val="bottom"/>
          </w:tcPr>
          <w:p>
            <w:pPr>
              <w:ind w:left="100"/>
              <w:spacing w:after="0"/>
              <w:rPr>
                <w:sz w:val="20"/>
                <w:szCs w:val="20"/>
                <w:color w:val="auto"/>
              </w:rPr>
            </w:pPr>
            <w:r>
              <w:rPr>
                <w:rFonts w:ascii="Arial" w:cs="Arial" w:eastAsia="Arial" w:hAnsi="Arial"/>
                <w:sz w:val="14"/>
                <w:szCs w:val="14"/>
                <w:color w:val="auto"/>
              </w:rPr>
              <w:t>Debt Collection</w:t>
            </w:r>
          </w:p>
        </w:tc>
        <w:tc>
          <w:tcPr>
            <w:tcW w:w="2460" w:type="dxa"/>
            <w:vAlign w:val="bottom"/>
          </w:tcPr>
          <w:p>
            <w:pPr>
              <w:ind w:left="8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13.0%/3.0%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w w:val="94"/>
              </w:rPr>
              <w:t>12/27/2017</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5,758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5,719</w:t>
            </w:r>
          </w:p>
        </w:tc>
        <w:tc>
          <w:tcPr>
            <w:tcW w:w="120" w:type="dxa"/>
            <w:vAlign w:val="bottom"/>
          </w:tcPr>
          <w:p>
            <w:pPr>
              <w:spacing w:after="0"/>
              <w:rPr>
                <w:sz w:val="21"/>
                <w:szCs w:val="2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5,759</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ind w:left="100"/>
              <w:spacing w:after="0"/>
              <w:rPr>
                <w:sz w:val="20"/>
                <w:szCs w:val="20"/>
                <w:color w:val="auto"/>
              </w:rPr>
            </w:pPr>
            <w:r>
              <w:rPr>
                <w:rFonts w:ascii="Arial" w:cs="Arial" w:eastAsia="Arial" w:hAnsi="Arial"/>
                <w:sz w:val="14"/>
                <w:szCs w:val="14"/>
                <w:color w:val="auto"/>
              </w:rPr>
              <w:t>Services</w:t>
            </w: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22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EBL, LLC (EbLens)</w:t>
            </w:r>
          </w:p>
        </w:tc>
        <w:tc>
          <w:tcPr>
            <w:tcW w:w="150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Retail</w:t>
            </w:r>
          </w:p>
        </w:tc>
        <w:tc>
          <w:tcPr>
            <w:tcW w:w="2460" w:type="dxa"/>
            <w:vAlign w:val="bottom"/>
            <w:shd w:val="clear" w:color="auto" w:fill="CCEEFF"/>
          </w:tcPr>
          <w:p>
            <w:pPr>
              <w:ind w:left="80"/>
              <w:spacing w:after="0" w:line="122"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7"/>
              </w:rPr>
              <w:t>12.0%/3.0%</w:t>
            </w:r>
          </w:p>
        </w:tc>
        <w:tc>
          <w:tcPr>
            <w:tcW w:w="76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rPr>
              <w:t>2/2/2018</w:t>
            </w:r>
          </w:p>
        </w:tc>
        <w:tc>
          <w:tcPr>
            <w:tcW w:w="7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rPr>
              <w:t>9,323</w:t>
            </w:r>
          </w:p>
        </w:tc>
        <w:tc>
          <w:tcPr>
            <w:tcW w:w="5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9,288</w:t>
            </w:r>
          </w:p>
        </w:tc>
        <w:tc>
          <w:tcPr>
            <w:tcW w:w="12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9,323</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3"/>
                <w:szCs w:val="13"/>
                <w:color w:val="auto"/>
              </w:rPr>
              <w:t xml:space="preserve">Common Equity (750,000 units) </w:t>
            </w:r>
            <w:r>
              <w:rPr>
                <w:rFonts w:ascii="Arial" w:cs="Arial" w:eastAsia="Arial" w:hAnsi="Arial"/>
                <w:sz w:val="20"/>
                <w:szCs w:val="20"/>
                <w:color w:val="auto"/>
                <w:vertAlign w:val="superscript"/>
              </w:rPr>
              <w:t>(7)</w:t>
            </w:r>
          </w:p>
        </w:tc>
        <w:tc>
          <w:tcPr>
            <w:tcW w:w="8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10,038</w:t>
            </w: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10,101</w:t>
            </w: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FCA, LLC</w:t>
            </w:r>
          </w:p>
        </w:tc>
        <w:tc>
          <w:tcPr>
            <w:tcW w:w="1500" w:type="dxa"/>
            <w:vAlign w:val="bottom"/>
          </w:tcPr>
          <w:p>
            <w:pPr>
              <w:ind w:left="100"/>
              <w:spacing w:after="0"/>
              <w:rPr>
                <w:sz w:val="20"/>
                <w:szCs w:val="20"/>
                <w:color w:val="auto"/>
              </w:rPr>
            </w:pPr>
            <w:r>
              <w:rPr>
                <w:rFonts w:ascii="Arial" w:cs="Arial" w:eastAsia="Arial" w:hAnsi="Arial"/>
                <w:sz w:val="14"/>
                <w:szCs w:val="14"/>
                <w:color w:val="auto"/>
              </w:rPr>
              <w:t>Industrial Products</w:t>
            </w:r>
          </w:p>
        </w:tc>
        <w:tc>
          <w:tcPr>
            <w:tcW w:w="2460" w:type="dxa"/>
            <w:vAlign w:val="bottom"/>
          </w:tcPr>
          <w:p>
            <w:pPr>
              <w:ind w:left="8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12.5%/1.5%</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6/18/2018</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1,512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1,512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60" w:type="dxa"/>
            <w:vAlign w:val="bottom"/>
          </w:tcPr>
          <w:p>
            <w:pPr>
              <w:ind w:left="80"/>
              <w:spacing w:after="0" w:line="176" w:lineRule="exact"/>
              <w:rPr>
                <w:sz w:val="20"/>
                <w:szCs w:val="20"/>
                <w:color w:val="auto"/>
              </w:rPr>
            </w:pPr>
            <w:r>
              <w:rPr>
                <w:rFonts w:ascii="Arial" w:cs="Arial" w:eastAsia="Arial" w:hAnsi="Arial"/>
                <w:sz w:val="13"/>
                <w:szCs w:val="13"/>
                <w:color w:val="auto"/>
              </w:rPr>
              <w:t xml:space="preserve">Preferred Equity (4,500,000 units) </w:t>
            </w:r>
            <w:r>
              <w:rPr>
                <w:rFonts w:ascii="Arial" w:cs="Arial" w:eastAsia="Arial" w:hAnsi="Arial"/>
                <w:sz w:val="20"/>
                <w:szCs w:val="20"/>
                <w:color w:val="auto"/>
                <w:vertAlign w:val="superscript"/>
              </w:rPr>
              <w:t>(6)</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11.5%/5.0%</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6/18/2018</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6,110</w:t>
            </w:r>
          </w:p>
        </w:tc>
        <w:tc>
          <w:tcPr>
            <w:tcW w:w="12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6,135</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FocusVision Worldwide, Inc.</w:t>
            </w:r>
          </w:p>
        </w:tc>
        <w:tc>
          <w:tcPr>
            <w:tcW w:w="15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2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12.0%/1.0%</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1/29/2019</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7,519</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7,487</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7,519</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6"/>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FTH Acquisition Corp. VII</w:t>
            </w:r>
          </w:p>
        </w:tc>
        <w:tc>
          <w:tcPr>
            <w:tcW w:w="1500" w:type="dxa"/>
            <w:vAlign w:val="bottom"/>
          </w:tcPr>
          <w:p>
            <w:pPr>
              <w:ind w:left="100"/>
              <w:spacing w:after="0"/>
              <w:rPr>
                <w:sz w:val="20"/>
                <w:szCs w:val="20"/>
                <w:color w:val="auto"/>
              </w:rPr>
            </w:pPr>
            <w:r>
              <w:rPr>
                <w:rFonts w:ascii="Arial" w:cs="Arial" w:eastAsia="Arial" w:hAnsi="Arial"/>
                <w:sz w:val="14"/>
                <w:szCs w:val="14"/>
                <w:color w:val="auto"/>
              </w:rPr>
              <w:t>IT Services</w:t>
            </w:r>
          </w:p>
        </w:tc>
        <w:tc>
          <w:tcPr>
            <w:tcW w:w="2460" w:type="dxa"/>
            <w:vAlign w:val="bottom"/>
          </w:tcPr>
          <w:p>
            <w:pPr>
              <w:ind w:left="8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13.0%/0.0%</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2/27/2015</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8,511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8,511</w:t>
            </w:r>
          </w:p>
        </w:tc>
        <w:tc>
          <w:tcPr>
            <w:tcW w:w="120" w:type="dxa"/>
            <w:vAlign w:val="bottom"/>
          </w:tcPr>
          <w:p>
            <w:pPr>
              <w:spacing w:after="0"/>
              <w:rPr>
                <w:sz w:val="21"/>
                <w:szCs w:val="2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7,741</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60" w:type="dxa"/>
            <w:vAlign w:val="bottom"/>
          </w:tcPr>
          <w:p>
            <w:pPr>
              <w:ind w:left="80"/>
              <w:spacing w:after="0" w:line="159" w:lineRule="exact"/>
              <w:rPr>
                <w:sz w:val="20"/>
                <w:szCs w:val="20"/>
                <w:color w:val="auto"/>
              </w:rPr>
            </w:pPr>
            <w:r>
              <w:rPr>
                <w:rFonts w:ascii="Arial" w:cs="Arial" w:eastAsia="Arial" w:hAnsi="Arial"/>
                <w:sz w:val="14"/>
                <w:szCs w:val="14"/>
                <w:color w:val="auto"/>
              </w:rPr>
              <w:t>Preferred Equity (887,122 shares)</w:t>
            </w: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887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9,398</w:t>
            </w:r>
          </w:p>
        </w:tc>
        <w:tc>
          <w:tcPr>
            <w:tcW w:w="12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7,741</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 xml:space="preserve">Rate </w:t>
            </w:r>
            <w:r>
              <w:rPr>
                <w:rFonts w:ascii="Arial" w:cs="Arial" w:eastAsia="Arial" w:hAnsi="Arial"/>
                <w:sz w:val="22"/>
                <w:szCs w:val="22"/>
                <w:b w:val="1"/>
                <w:bCs w:val="1"/>
                <w:color w:val="auto"/>
                <w:w w:val="84"/>
                <w:vertAlign w:val="superscript"/>
              </w:rPr>
              <w:t>(4)</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1540" w:type="dxa"/>
            <w:vAlign w:val="bottom"/>
          </w:tcPr>
          <w:p>
            <w:pPr>
              <w:spacing w:after="0"/>
              <w:rPr>
                <w:sz w:val="12"/>
                <w:szCs w:val="12"/>
                <w:color w:val="auto"/>
              </w:rPr>
            </w:pPr>
          </w:p>
        </w:tc>
        <w:tc>
          <w:tcPr>
            <w:tcW w:w="2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8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Fair</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2"/>
        </w:trPr>
        <w:tc>
          <w:tcPr>
            <w:tcW w:w="3120" w:type="dxa"/>
            <w:vAlign w:val="bottom"/>
            <w:gridSpan w:val="2"/>
            <w:vMerge w:val="continue"/>
          </w:tcPr>
          <w:p>
            <w:pPr>
              <w:spacing w:after="0"/>
              <w:rPr>
                <w:sz w:val="15"/>
                <w:szCs w:val="15"/>
                <w:color w:val="auto"/>
              </w:rPr>
            </w:pP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Industry</w:t>
            </w:r>
          </w:p>
        </w:tc>
        <w:tc>
          <w:tcPr>
            <w:tcW w:w="246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Cash/PIK</w:t>
            </w: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rPr>
              <w:t>Maturity</w:t>
            </w:r>
          </w:p>
        </w:tc>
        <w:tc>
          <w:tcPr>
            <w:tcW w:w="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IOS Acquisition, Inc.</w:t>
            </w:r>
          </w:p>
        </w:tc>
        <w:tc>
          <w:tcPr>
            <w:tcW w:w="154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2460" w:type="dxa"/>
            <w:vAlign w:val="bottom"/>
            <w:tcBorders>
              <w:top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84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12.0%/3.5%</w:t>
            </w:r>
          </w:p>
        </w:tc>
        <w:tc>
          <w:tcPr>
            <w:tcW w:w="80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6/26/2018</w:t>
            </w:r>
          </w:p>
        </w:tc>
        <w:tc>
          <w:tcPr>
            <w:tcW w:w="20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13,766</w:t>
            </w:r>
          </w:p>
        </w:tc>
        <w:tc>
          <w:tcPr>
            <w:tcW w:w="5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$13,654</w:t>
            </w: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$13,766</w:t>
            </w: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Equity (2,152 shares)</w:t>
            </w:r>
          </w:p>
        </w:tc>
        <w:tc>
          <w:tcPr>
            <w:tcW w:w="8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14,154</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14,145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6"/>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Jacob Ash Holdings, Inc.</w:t>
            </w:r>
          </w:p>
        </w:tc>
        <w:tc>
          <w:tcPr>
            <w:tcW w:w="1540" w:type="dxa"/>
            <w:vAlign w:val="bottom"/>
          </w:tcPr>
          <w:p>
            <w:pPr>
              <w:ind w:left="80"/>
              <w:spacing w:after="0"/>
              <w:rPr>
                <w:sz w:val="20"/>
                <w:szCs w:val="20"/>
                <w:color w:val="auto"/>
              </w:rPr>
            </w:pPr>
            <w:r>
              <w:rPr>
                <w:rFonts w:ascii="Arial" w:cs="Arial" w:eastAsia="Arial" w:hAnsi="Arial"/>
                <w:sz w:val="14"/>
                <w:szCs w:val="14"/>
                <w:color w:val="auto"/>
              </w:rPr>
              <w:t>Apparel Distribution</w:t>
            </w:r>
          </w:p>
        </w:tc>
        <w:tc>
          <w:tcPr>
            <w:tcW w:w="2460" w:type="dxa"/>
            <w:vAlign w:val="bottom"/>
          </w:tcPr>
          <w:p>
            <w:pPr>
              <w:ind w:left="10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13.0%/5.0%</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8/11/2016</w:t>
            </w:r>
          </w:p>
        </w:tc>
        <w:tc>
          <w:tcPr>
            <w:tcW w:w="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3,500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3,491</w:t>
            </w: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60" w:type="dxa"/>
            <w:vAlign w:val="bottom"/>
          </w:tcPr>
          <w:p>
            <w:pPr>
              <w:ind w:left="100"/>
              <w:spacing w:after="0" w:line="146" w:lineRule="exact"/>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line="146" w:lineRule="exact"/>
              <w:rPr>
                <w:sz w:val="20"/>
                <w:szCs w:val="20"/>
                <w:color w:val="auto"/>
              </w:rPr>
            </w:pPr>
            <w:r>
              <w:rPr>
                <w:rFonts w:ascii="Arial" w:cs="Arial" w:eastAsia="Arial" w:hAnsi="Arial"/>
                <w:sz w:val="14"/>
                <w:szCs w:val="14"/>
                <w:color w:val="auto"/>
                <w:w w:val="90"/>
              </w:rPr>
              <w:t>13.0%/1.0%</w:t>
            </w:r>
          </w:p>
        </w:tc>
        <w:tc>
          <w:tcPr>
            <w:tcW w:w="800" w:type="dxa"/>
            <w:vAlign w:val="bottom"/>
          </w:tcPr>
          <w:p>
            <w:pPr>
              <w:jc w:val="center"/>
              <w:spacing w:after="0" w:line="146" w:lineRule="exact"/>
              <w:rPr>
                <w:sz w:val="20"/>
                <w:szCs w:val="20"/>
                <w:color w:val="auto"/>
              </w:rPr>
            </w:pPr>
            <w:r>
              <w:rPr>
                <w:rFonts w:ascii="Arial" w:cs="Arial" w:eastAsia="Arial" w:hAnsi="Arial"/>
                <w:sz w:val="14"/>
                <w:szCs w:val="14"/>
                <w:color w:val="auto"/>
                <w:w w:val="86"/>
              </w:rPr>
              <w:t>8/11/2016</w:t>
            </w:r>
          </w:p>
        </w:tc>
        <w:tc>
          <w:tcPr>
            <w:tcW w:w="200" w:type="dxa"/>
            <w:vAlign w:val="bottom"/>
          </w:tcPr>
          <w:p>
            <w:pPr>
              <w:spacing w:after="0"/>
              <w:rPr>
                <w:sz w:val="12"/>
                <w:szCs w:val="12"/>
                <w:color w:val="auto"/>
              </w:rPr>
            </w:pPr>
          </w:p>
        </w:tc>
        <w:tc>
          <w:tcPr>
            <w:tcW w:w="500" w:type="dxa"/>
            <w:vAlign w:val="bottom"/>
          </w:tcPr>
          <w:p>
            <w:pPr>
              <w:jc w:val="right"/>
              <w:ind w:right="12"/>
              <w:spacing w:after="0" w:line="146" w:lineRule="exact"/>
              <w:rPr>
                <w:sz w:val="20"/>
                <w:szCs w:val="20"/>
                <w:color w:val="auto"/>
              </w:rPr>
            </w:pPr>
            <w:r>
              <w:rPr>
                <w:rFonts w:ascii="Arial" w:cs="Arial" w:eastAsia="Arial" w:hAnsi="Arial"/>
                <w:sz w:val="14"/>
                <w:szCs w:val="14"/>
                <w:color w:val="auto"/>
              </w:rPr>
              <w:t>1,147</w:t>
            </w:r>
          </w:p>
        </w:tc>
        <w:tc>
          <w:tcPr>
            <w:tcW w:w="54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1,132</w:t>
            </w:r>
          </w:p>
        </w:tc>
        <w:tc>
          <w:tcPr>
            <w:tcW w:w="20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4"/>
                <w:szCs w:val="14"/>
                <w:color w:val="auto"/>
              </w:rPr>
              <w:t>1,147</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60" w:type="dxa"/>
            <w:vAlign w:val="bottom"/>
          </w:tcPr>
          <w:p>
            <w:pPr>
              <w:ind w:left="100"/>
              <w:spacing w:after="0" w:line="179" w:lineRule="exact"/>
              <w:rPr>
                <w:sz w:val="20"/>
                <w:szCs w:val="20"/>
                <w:color w:val="auto"/>
              </w:rPr>
            </w:pPr>
            <w:r>
              <w:rPr>
                <w:rFonts w:ascii="Arial" w:cs="Arial" w:eastAsia="Arial" w:hAnsi="Arial"/>
                <w:sz w:val="13"/>
                <w:szCs w:val="13"/>
                <w:color w:val="auto"/>
              </w:rPr>
              <w:t>Preferred Equity (500 shares)</w:t>
            </w:r>
            <w:r>
              <w:rPr>
                <w:rFonts w:ascii="Arial" w:cs="Arial" w:eastAsia="Arial" w:hAnsi="Arial"/>
                <w:sz w:val="20"/>
                <w:szCs w:val="20"/>
                <w:color w:val="auto"/>
                <w:vertAlign w:val="superscript"/>
              </w:rPr>
              <w:t>(6)</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0.0%/15.0%</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8/11/2016</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685</w:t>
            </w: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Arial" w:cs="Arial" w:eastAsia="Arial" w:hAnsi="Arial"/>
                <w:sz w:val="14"/>
                <w:szCs w:val="14"/>
                <w:color w:val="auto"/>
              </w:rPr>
              <w:t>Warrant (129,630 shares)</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5,375</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4,961</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K2 Industrial Services, Inc.</w:t>
            </w:r>
          </w:p>
        </w:tc>
        <w:tc>
          <w:tcPr>
            <w:tcW w:w="15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Cleaning</w:t>
            </w:r>
          </w:p>
        </w:tc>
        <w:tc>
          <w:tcPr>
            <w:tcW w:w="2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11.8%/2.8%</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5/23/2017</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14,797</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14,722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14,798</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&amp; Coatings</w:t>
            </w:r>
          </w:p>
        </w:tc>
        <w:tc>
          <w:tcPr>
            <w:tcW w:w="24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89"/>
              </w:rPr>
              <w:t>Preferred Equity - Series A (1,200 shares)</w:t>
            </w:r>
          </w:p>
        </w:tc>
        <w:tc>
          <w:tcPr>
            <w:tcW w:w="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w w:val="96"/>
              </w:rPr>
              <w:t>Preferred Equity - Series B (69 shares)</w:t>
            </w:r>
          </w:p>
        </w:tc>
        <w:tc>
          <w:tcPr>
            <w:tcW w:w="8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15,990</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15,802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6"/>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Lightning Diversion Systems, LLC</w:t>
            </w:r>
          </w:p>
        </w:tc>
        <w:tc>
          <w:tcPr>
            <w:tcW w:w="1540" w:type="dxa"/>
            <w:vAlign w:val="bottom"/>
          </w:tcPr>
          <w:p>
            <w:pPr>
              <w:ind w:left="80"/>
              <w:spacing w:after="0"/>
              <w:rPr>
                <w:sz w:val="20"/>
                <w:szCs w:val="20"/>
                <w:color w:val="auto"/>
              </w:rPr>
            </w:pPr>
            <w:r>
              <w:rPr>
                <w:rFonts w:ascii="Arial" w:cs="Arial" w:eastAsia="Arial" w:hAnsi="Arial"/>
                <w:sz w:val="14"/>
                <w:szCs w:val="14"/>
                <w:color w:val="auto"/>
              </w:rPr>
              <w:t>Aerospace &amp; Defense</w:t>
            </w:r>
          </w:p>
        </w:tc>
        <w:tc>
          <w:tcPr>
            <w:tcW w:w="2460" w:type="dxa"/>
            <w:vAlign w:val="bottom"/>
          </w:tcPr>
          <w:p>
            <w:pPr>
              <w:ind w:left="100"/>
              <w:spacing w:after="0"/>
              <w:rPr>
                <w:sz w:val="20"/>
                <w:szCs w:val="20"/>
                <w:color w:val="auto"/>
              </w:rPr>
            </w:pPr>
            <w:r>
              <w:rPr>
                <w:rFonts w:ascii="Arial" w:cs="Arial" w:eastAsia="Arial" w:hAnsi="Arial"/>
                <w:sz w:val="14"/>
                <w:szCs w:val="14"/>
                <w:color w:val="auto"/>
              </w:rPr>
              <w:t>Senior Secured Loan</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10.5%/0.0%</w:t>
            </w: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12/20/2018</w:t>
            </w:r>
          </w:p>
        </w:tc>
        <w:tc>
          <w:tcPr>
            <w:tcW w:w="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w w:val="93"/>
              </w:rPr>
              <w:t>12,198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12,143</w:t>
            </w: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12,197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540" w:type="dxa"/>
            <w:vAlign w:val="bottom"/>
          </w:tcPr>
          <w:p>
            <w:pPr>
              <w:ind w:left="80"/>
              <w:spacing w:after="0" w:line="133" w:lineRule="exact"/>
              <w:rPr>
                <w:sz w:val="20"/>
                <w:szCs w:val="20"/>
                <w:color w:val="auto"/>
              </w:rPr>
            </w:pPr>
            <w:r>
              <w:rPr>
                <w:rFonts w:ascii="Arial" w:cs="Arial" w:eastAsia="Arial" w:hAnsi="Arial"/>
                <w:sz w:val="14"/>
                <w:szCs w:val="14"/>
                <w:color w:val="auto"/>
              </w:rPr>
              <w:t>Manufacturing</w:t>
            </w:r>
          </w:p>
        </w:tc>
        <w:tc>
          <w:tcPr>
            <w:tcW w:w="2460" w:type="dxa"/>
            <w:vAlign w:val="bottom"/>
          </w:tcPr>
          <w:p>
            <w:pPr>
              <w:ind w:left="100"/>
              <w:spacing w:after="0" w:line="133" w:lineRule="exact"/>
              <w:rPr>
                <w:sz w:val="20"/>
                <w:szCs w:val="20"/>
                <w:color w:val="auto"/>
              </w:rPr>
            </w:pPr>
            <w:r>
              <w:rPr>
                <w:rFonts w:ascii="Arial" w:cs="Arial" w:eastAsia="Arial" w:hAnsi="Arial"/>
                <w:sz w:val="14"/>
                <w:szCs w:val="14"/>
                <w:color w:val="auto"/>
              </w:rPr>
              <w:t>Revolving Loan</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60" w:type="dxa"/>
            <w:vAlign w:val="bottom"/>
          </w:tcPr>
          <w:p>
            <w:pPr>
              <w:ind w:left="320"/>
              <w:spacing w:after="0" w:line="179" w:lineRule="exact"/>
              <w:rPr>
                <w:sz w:val="20"/>
                <w:szCs w:val="20"/>
                <w:color w:val="auto"/>
              </w:rPr>
            </w:pPr>
            <w:r>
              <w:rPr>
                <w:rFonts w:ascii="Arial" w:cs="Arial" w:eastAsia="Arial" w:hAnsi="Arial"/>
                <w:sz w:val="13"/>
                <w:szCs w:val="13"/>
                <w:color w:val="auto"/>
              </w:rPr>
              <w:t xml:space="preserve">($1,000 commitment) </w:t>
            </w:r>
            <w:r>
              <w:rPr>
                <w:rFonts w:ascii="Arial" w:cs="Arial" w:eastAsia="Arial" w:hAnsi="Arial"/>
                <w:sz w:val="20"/>
                <w:szCs w:val="20"/>
                <w:color w:val="auto"/>
                <w:vertAlign w:val="superscript"/>
              </w:rPr>
              <w:t>(9)</w:t>
            </w:r>
          </w:p>
        </w:tc>
        <w:tc>
          <w:tcPr>
            <w:tcW w:w="840" w:type="dxa"/>
            <w:vAlign w:val="bottom"/>
          </w:tcPr>
          <w:p>
            <w:pPr>
              <w:jc w:val="center"/>
              <w:spacing w:after="0"/>
              <w:rPr>
                <w:sz w:val="20"/>
                <w:szCs w:val="20"/>
                <w:color w:val="auto"/>
              </w:rPr>
            </w:pPr>
            <w:r>
              <w:rPr>
                <w:rFonts w:ascii="Arial" w:cs="Arial" w:eastAsia="Arial" w:hAnsi="Arial"/>
                <w:sz w:val="14"/>
                <w:szCs w:val="14"/>
                <w:color w:val="auto"/>
              </w:rPr>
              <w:t>N/A</w:t>
            </w: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12/20/2018</w:t>
            </w:r>
          </w:p>
        </w:tc>
        <w:tc>
          <w:tcPr>
            <w:tcW w:w="2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(3)</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Arial" w:cs="Arial" w:eastAsia="Arial" w:hAnsi="Arial"/>
                <w:sz w:val="14"/>
                <w:szCs w:val="14"/>
                <w:color w:val="auto"/>
              </w:rPr>
              <w:t>Common Equity (600,000 units)</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12,140</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13,243</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00" w:type="dxa"/>
            <w:vAlign w:val="bottom"/>
            <w:shd w:val="clear" w:color="auto" w:fill="CCEEFF"/>
          </w:tcPr>
          <w:p>
            <w:pPr>
              <w:spacing w:after="0" w:line="122" w:lineRule="exact"/>
              <w:rPr>
                <w:sz w:val="20"/>
                <w:szCs w:val="20"/>
                <w:color w:val="auto"/>
              </w:rPr>
            </w:pPr>
            <w:r>
              <w:rPr>
                <w:rFonts w:ascii="Arial" w:cs="Arial" w:eastAsia="Arial" w:hAnsi="Arial"/>
                <w:sz w:val="14"/>
                <w:szCs w:val="14"/>
                <w:i w:val="1"/>
                <w:iCs w:val="1"/>
                <w:color w:val="auto"/>
              </w:rPr>
              <w:t>MedPlast, LLC</w:t>
            </w:r>
          </w:p>
        </w:tc>
        <w:tc>
          <w:tcPr>
            <w:tcW w:w="1540" w:type="dxa"/>
            <w:vAlign w:val="bottom"/>
            <w:shd w:val="clear" w:color="auto" w:fill="CCEEFF"/>
          </w:tcPr>
          <w:p>
            <w:pPr>
              <w:ind w:left="80"/>
              <w:spacing w:after="0" w:line="122" w:lineRule="exact"/>
              <w:rPr>
                <w:sz w:val="20"/>
                <w:szCs w:val="20"/>
                <w:color w:val="auto"/>
              </w:rPr>
            </w:pPr>
            <w:r>
              <w:rPr>
                <w:rFonts w:ascii="Arial" w:cs="Arial" w:eastAsia="Arial" w:hAnsi="Arial"/>
                <w:sz w:val="14"/>
                <w:szCs w:val="14"/>
                <w:color w:val="auto"/>
              </w:rPr>
              <w:t>Healthcare Products</w:t>
            </w:r>
          </w:p>
        </w:tc>
        <w:tc>
          <w:tcPr>
            <w:tcW w:w="246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7"/>
              </w:rPr>
              <w:t>11.0%/1.5%</w:t>
            </w: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6"/>
              </w:rPr>
              <w:t>3/31/2019</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2"/>
              <w:spacing w:after="0" w:line="122" w:lineRule="exact"/>
              <w:rPr>
                <w:sz w:val="20"/>
                <w:szCs w:val="20"/>
                <w:color w:val="auto"/>
              </w:rPr>
            </w:pPr>
            <w:r>
              <w:rPr>
                <w:rFonts w:ascii="Arial" w:cs="Arial" w:eastAsia="Arial" w:hAnsi="Arial"/>
                <w:sz w:val="14"/>
                <w:szCs w:val="14"/>
                <w:color w:val="auto"/>
                <w:w w:val="93"/>
              </w:rPr>
              <w:t>10,033</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9,961</w:t>
            </w: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9,961</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Products</w:t>
            </w:r>
          </w:p>
        </w:tc>
        <w:tc>
          <w:tcPr>
            <w:tcW w:w="2460" w:type="dxa"/>
            <w:vAlign w:val="bottom"/>
            <w:shd w:val="clear" w:color="auto" w:fill="CCEEFF"/>
          </w:tcPr>
          <w:p>
            <w:pPr>
              <w:ind w:left="100"/>
              <w:spacing w:after="0" w:line="189" w:lineRule="exact"/>
              <w:rPr>
                <w:sz w:val="20"/>
                <w:szCs w:val="20"/>
                <w:color w:val="auto"/>
              </w:rPr>
            </w:pPr>
            <w:r>
              <w:rPr>
                <w:rFonts w:ascii="Arial" w:cs="Arial" w:eastAsia="Arial" w:hAnsi="Arial"/>
                <w:sz w:val="13"/>
                <w:szCs w:val="13"/>
                <w:color w:val="auto"/>
              </w:rPr>
              <w:t xml:space="preserve">Preferred Equity (188 shares) </w:t>
            </w:r>
            <w:r>
              <w:rPr>
                <w:rFonts w:ascii="Arial" w:cs="Arial" w:eastAsia="Arial" w:hAnsi="Arial"/>
                <w:sz w:val="21"/>
                <w:szCs w:val="21"/>
                <w:color w:val="auto"/>
                <w:vertAlign w:val="superscript"/>
              </w:rPr>
              <w:t>(6)</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0.0%/8.0%</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Common Equity (3,728 shares)</w:t>
            </w:r>
          </w:p>
        </w:tc>
        <w:tc>
          <w:tcPr>
            <w:tcW w:w="8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10,214</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10,214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54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2460" w:type="dxa"/>
            <w:vAlign w:val="bottom"/>
          </w:tcPr>
          <w:p>
            <w:pPr>
              <w:ind w:left="100"/>
              <w:spacing w:after="0"/>
              <w:rPr>
                <w:sz w:val="20"/>
                <w:szCs w:val="20"/>
                <w:color w:val="auto"/>
              </w:rPr>
            </w:pPr>
            <w:r>
              <w:rPr>
                <w:rFonts w:ascii="Arial" w:cs="Arial" w:eastAsia="Arial" w:hAnsi="Arial"/>
                <w:sz w:val="14"/>
                <w:szCs w:val="14"/>
                <w:color w:val="auto"/>
              </w:rPr>
              <w:t>Senior Secured Loan</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13.5%/2.0%</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9/13/2018</w:t>
            </w:r>
          </w:p>
        </w:tc>
        <w:tc>
          <w:tcPr>
            <w:tcW w:w="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w w:val="93"/>
              </w:rPr>
              <w:t>13,500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13,418</w:t>
            </w: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13,500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National Truck Protection Co., Inc.</w:t>
            </w:r>
          </w:p>
        </w:tc>
        <w:tc>
          <w:tcPr>
            <w:tcW w:w="154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Arial" w:cs="Arial" w:eastAsia="Arial" w:hAnsi="Arial"/>
                <w:sz w:val="14"/>
                <w:szCs w:val="14"/>
                <w:color w:val="auto"/>
              </w:rPr>
              <w:t>Common Units (1,109 units)</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14,155</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14,618</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Nobles Manufacturing, Inc.</w:t>
            </w:r>
          </w:p>
        </w:tc>
        <w:tc>
          <w:tcPr>
            <w:tcW w:w="15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&amp; Defense</w:t>
            </w:r>
          </w:p>
        </w:tc>
        <w:tc>
          <w:tcPr>
            <w:tcW w:w="2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12.0%/2.5%</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10/6/2018</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4,550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4,550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4,550</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Manufacturing</w:t>
            </w:r>
          </w:p>
        </w:tc>
        <w:tc>
          <w:tcPr>
            <w:tcW w:w="2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Equity (1,300,000 shares)</w:t>
            </w:r>
          </w:p>
        </w:tc>
        <w:tc>
          <w:tcPr>
            <w:tcW w:w="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Common Equity (1,300,000 shares)</w:t>
            </w:r>
          </w:p>
        </w:tc>
        <w:tc>
          <w:tcPr>
            <w:tcW w:w="8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5,417</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6,835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9"/>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Premium Franchise Brands, LLC</w:t>
            </w:r>
          </w:p>
        </w:tc>
        <w:tc>
          <w:tcPr>
            <w:tcW w:w="1540" w:type="dxa"/>
            <w:vAlign w:val="bottom"/>
          </w:tcPr>
          <w:p>
            <w:pPr>
              <w:ind w:left="80"/>
              <w:spacing w:after="0"/>
              <w:rPr>
                <w:sz w:val="20"/>
                <w:szCs w:val="20"/>
                <w:color w:val="auto"/>
              </w:rPr>
            </w:pPr>
            <w:r>
              <w:rPr>
                <w:rFonts w:ascii="Arial" w:cs="Arial" w:eastAsia="Arial" w:hAnsi="Arial"/>
                <w:sz w:val="14"/>
                <w:szCs w:val="14"/>
                <w:color w:val="auto"/>
              </w:rPr>
              <w:t>Commercial Cleaning</w:t>
            </w:r>
          </w:p>
        </w:tc>
        <w:tc>
          <w:tcPr>
            <w:tcW w:w="2460" w:type="dxa"/>
            <w:vAlign w:val="bottom"/>
          </w:tcPr>
          <w:p>
            <w:pPr>
              <w:ind w:left="100"/>
              <w:spacing w:after="0"/>
              <w:rPr>
                <w:sz w:val="20"/>
                <w:szCs w:val="20"/>
                <w:color w:val="auto"/>
              </w:rPr>
            </w:pPr>
            <w:r>
              <w:rPr>
                <w:rFonts w:ascii="Arial" w:cs="Arial" w:eastAsia="Arial" w:hAnsi="Arial"/>
                <w:sz w:val="14"/>
                <w:szCs w:val="14"/>
                <w:color w:val="auto"/>
              </w:rPr>
              <w:t>Subordinated Note</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12.0%/2.0%</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3/18/2017</w:t>
            </w:r>
          </w:p>
        </w:tc>
        <w:tc>
          <w:tcPr>
            <w:tcW w:w="200" w:type="dxa"/>
            <w:vAlign w:val="bottom"/>
          </w:tcPr>
          <w:p>
            <w:pPr>
              <w:spacing w:after="0"/>
              <w:rPr>
                <w:sz w:val="22"/>
                <w:szCs w:val="22"/>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7,833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7,833</w:t>
            </w:r>
          </w:p>
        </w:tc>
        <w:tc>
          <w:tcPr>
            <w:tcW w:w="2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7,833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(f/k/a Jan-Pro Holdings, LLC)</w:t>
            </w:r>
          </w:p>
        </w:tc>
        <w:tc>
          <w:tcPr>
            <w:tcW w:w="1540" w:type="dxa"/>
            <w:vAlign w:val="bottom"/>
          </w:tcPr>
          <w:p>
            <w:pPr>
              <w:spacing w:after="0"/>
              <w:rPr>
                <w:sz w:val="15"/>
                <w:szCs w:val="15"/>
                <w:color w:val="auto"/>
              </w:rPr>
            </w:pPr>
          </w:p>
        </w:tc>
        <w:tc>
          <w:tcPr>
            <w:tcW w:w="2460" w:type="dxa"/>
            <w:vAlign w:val="bottom"/>
          </w:tcPr>
          <w:p>
            <w:pPr>
              <w:ind w:left="100"/>
              <w:spacing w:after="0"/>
              <w:rPr>
                <w:sz w:val="20"/>
                <w:szCs w:val="20"/>
                <w:color w:val="auto"/>
              </w:rPr>
            </w:pPr>
            <w:r>
              <w:rPr>
                <w:rFonts w:ascii="Arial" w:cs="Arial" w:eastAsia="Arial" w:hAnsi="Arial"/>
                <w:sz w:val="14"/>
                <w:szCs w:val="14"/>
                <w:color w:val="auto"/>
              </w:rPr>
              <w:t>Preferred Equity (1,054,619 shares)</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8,665</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8,298</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00" w:type="dxa"/>
            <w:vAlign w:val="bottom"/>
            <w:shd w:val="clear" w:color="auto" w:fill="CCEEFF"/>
          </w:tcPr>
          <w:p>
            <w:pPr>
              <w:spacing w:after="0" w:line="138" w:lineRule="exact"/>
              <w:rPr>
                <w:sz w:val="20"/>
                <w:szCs w:val="20"/>
                <w:color w:val="auto"/>
              </w:rPr>
            </w:pPr>
            <w:r>
              <w:rPr>
                <w:rFonts w:ascii="Arial" w:cs="Arial" w:eastAsia="Arial" w:hAnsi="Arial"/>
                <w:sz w:val="14"/>
                <w:szCs w:val="14"/>
                <w:i w:val="1"/>
                <w:iCs w:val="1"/>
                <w:color w:val="auto"/>
              </w:rPr>
              <w:t>Restaurant Finance Co, LLC</w:t>
            </w:r>
          </w:p>
        </w:tc>
        <w:tc>
          <w:tcPr>
            <w:tcW w:w="15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Restaurants</w:t>
            </w:r>
          </w:p>
        </w:tc>
        <w:tc>
          <w:tcPr>
            <w:tcW w:w="24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Senior Secured Loan</w:t>
            </w:r>
          </w:p>
        </w:tc>
        <w:tc>
          <w:tcPr>
            <w:tcW w:w="8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6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rPr>
              <w:t>($6,000 commitment)</w:t>
            </w:r>
          </w:p>
        </w:tc>
        <w:tc>
          <w:tcPr>
            <w:tcW w:w="8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11.0%/2.0%</w:t>
            </w:r>
          </w:p>
        </w:tc>
        <w:tc>
          <w:tcPr>
            <w:tcW w:w="8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11/25/2019</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1,664</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1,652</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1,652</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Royalty Rights</w:t>
            </w:r>
          </w:p>
        </w:tc>
        <w:tc>
          <w:tcPr>
            <w:tcW w:w="8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1,652</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1,652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6"/>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S.B. Restaurant Co. (dba Elephant Bar)</w:t>
            </w:r>
          </w:p>
        </w:tc>
        <w:tc>
          <w:tcPr>
            <w:tcW w:w="1540" w:type="dxa"/>
            <w:vAlign w:val="bottom"/>
          </w:tcPr>
          <w:p>
            <w:pPr>
              <w:ind w:left="80"/>
              <w:spacing w:after="0"/>
              <w:rPr>
                <w:sz w:val="20"/>
                <w:szCs w:val="20"/>
                <w:color w:val="auto"/>
              </w:rPr>
            </w:pPr>
            <w:r>
              <w:rPr>
                <w:rFonts w:ascii="Arial" w:cs="Arial" w:eastAsia="Arial" w:hAnsi="Arial"/>
                <w:sz w:val="14"/>
                <w:szCs w:val="14"/>
                <w:color w:val="auto"/>
              </w:rPr>
              <w:t>Restaurants</w:t>
            </w:r>
          </w:p>
        </w:tc>
        <w:tc>
          <w:tcPr>
            <w:tcW w:w="2460" w:type="dxa"/>
            <w:vAlign w:val="bottom"/>
          </w:tcPr>
          <w:p>
            <w:pPr>
              <w:ind w:left="100"/>
              <w:spacing w:after="0" w:line="246" w:lineRule="exact"/>
              <w:rPr>
                <w:sz w:val="20"/>
                <w:szCs w:val="20"/>
                <w:color w:val="auto"/>
              </w:rPr>
            </w:pPr>
            <w:r>
              <w:rPr>
                <w:rFonts w:ascii="Arial" w:cs="Arial" w:eastAsia="Arial" w:hAnsi="Arial"/>
                <w:sz w:val="14"/>
                <w:szCs w:val="14"/>
                <w:color w:val="auto"/>
              </w:rPr>
              <w:t xml:space="preserve">Subordinated Note </w:t>
            </w:r>
            <w:r>
              <w:rPr>
                <w:rFonts w:ascii="Arial" w:cs="Arial" w:eastAsia="Arial" w:hAnsi="Arial"/>
                <w:sz w:val="22"/>
                <w:szCs w:val="22"/>
                <w:color w:val="auto"/>
                <w:vertAlign w:val="superscript"/>
              </w:rPr>
              <w:t>(8)</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13.0%/1.0%</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1/10/2018</w:t>
            </w:r>
          </w:p>
        </w:tc>
        <w:tc>
          <w:tcPr>
            <w:tcW w:w="20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7,594</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7,256</w:t>
            </w: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Arial" w:cs="Arial" w:eastAsia="Arial" w:hAnsi="Arial"/>
                <w:sz w:val="14"/>
                <w:szCs w:val="14"/>
                <w:color w:val="auto"/>
                <w:w w:val="96"/>
              </w:rPr>
              <w:t>Subordinated Note ($500 commitment)</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8"/>
              </w:rPr>
              <w:t>0.0%/0.0%</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6"/>
              </w:rPr>
              <w:t>1/10/2018</w:t>
            </w:r>
          </w:p>
        </w:tc>
        <w:tc>
          <w:tcPr>
            <w:tcW w:w="20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60" w:type="dxa"/>
            <w:vAlign w:val="bottom"/>
          </w:tcPr>
          <w:p>
            <w:pPr>
              <w:ind w:left="100"/>
              <w:spacing w:after="0" w:line="159" w:lineRule="exact"/>
              <w:rPr>
                <w:sz w:val="20"/>
                <w:szCs w:val="20"/>
                <w:color w:val="auto"/>
              </w:rPr>
            </w:pPr>
            <w:r>
              <w:rPr>
                <w:rFonts w:ascii="Arial" w:cs="Arial" w:eastAsia="Arial" w:hAnsi="Arial"/>
                <w:sz w:val="14"/>
                <w:szCs w:val="14"/>
                <w:color w:val="auto"/>
              </w:rPr>
              <w:t>Warrant (652 shares)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416</w:t>
            </w:r>
          </w:p>
        </w:tc>
        <w:tc>
          <w:tcPr>
            <w:tcW w:w="200" w:type="dxa"/>
            <w:vAlign w:val="bottom"/>
          </w:tcPr>
          <w:p>
            <w:pPr>
              <w:spacing w:after="0"/>
              <w:rPr>
                <w:sz w:val="13"/>
                <w:szCs w:val="13"/>
                <w:color w:val="auto"/>
              </w:rPr>
            </w:pPr>
          </w:p>
        </w:tc>
        <w:tc>
          <w:tcPr>
            <w:tcW w:w="4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7,837</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3,139</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Simplex Manufacturing Co.</w:t>
            </w:r>
          </w:p>
        </w:tc>
        <w:tc>
          <w:tcPr>
            <w:tcW w:w="15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&amp; Defense</w:t>
            </w:r>
          </w:p>
        </w:tc>
        <w:tc>
          <w:tcPr>
            <w:tcW w:w="2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Subordinated Note</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14.0%/0.0%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11/1/2015</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4,550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4,550</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Manufacturing</w:t>
            </w:r>
          </w:p>
        </w:tc>
        <w:tc>
          <w:tcPr>
            <w:tcW w:w="246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 (24 shares)</w:t>
            </w:r>
          </w:p>
        </w:tc>
        <w:tc>
          <w:tcPr>
            <w:tcW w:w="8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5,232</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5,308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United Biologics, LLC</w:t>
            </w:r>
          </w:p>
        </w:tc>
        <w:tc>
          <w:tcPr>
            <w:tcW w:w="1540" w:type="dxa"/>
            <w:vAlign w:val="bottom"/>
          </w:tcPr>
          <w:p>
            <w:pPr>
              <w:ind w:left="80"/>
              <w:spacing w:after="0"/>
              <w:rPr>
                <w:sz w:val="20"/>
                <w:szCs w:val="20"/>
                <w:color w:val="auto"/>
              </w:rPr>
            </w:pPr>
            <w:r>
              <w:rPr>
                <w:rFonts w:ascii="Arial" w:cs="Arial" w:eastAsia="Arial" w:hAnsi="Arial"/>
                <w:sz w:val="14"/>
                <w:szCs w:val="14"/>
                <w:color w:val="auto"/>
              </w:rPr>
              <w:t>Healthcare Services</w:t>
            </w:r>
          </w:p>
        </w:tc>
        <w:tc>
          <w:tcPr>
            <w:tcW w:w="2460" w:type="dxa"/>
            <w:vAlign w:val="bottom"/>
          </w:tcPr>
          <w:p>
            <w:pPr>
              <w:ind w:left="100"/>
              <w:spacing w:after="0"/>
              <w:rPr>
                <w:sz w:val="20"/>
                <w:szCs w:val="20"/>
                <w:color w:val="auto"/>
              </w:rPr>
            </w:pPr>
            <w:r>
              <w:rPr>
                <w:rFonts w:ascii="Arial" w:cs="Arial" w:eastAsia="Arial" w:hAnsi="Arial"/>
                <w:sz w:val="14"/>
                <w:szCs w:val="14"/>
                <w:color w:val="auto"/>
              </w:rPr>
              <w:t>Senior Secured Loan</w:t>
            </w:r>
          </w:p>
        </w:tc>
        <w:tc>
          <w:tcPr>
            <w:tcW w:w="840" w:type="dxa"/>
            <w:vAlign w:val="bottom"/>
          </w:tcPr>
          <w:p>
            <w:pPr>
              <w:jc w:val="center"/>
              <w:spacing w:after="0"/>
              <w:rPr>
                <w:sz w:val="20"/>
                <w:szCs w:val="20"/>
                <w:color w:val="auto"/>
              </w:rPr>
            </w:pPr>
            <w:r>
              <w:rPr>
                <w:rFonts w:ascii="Arial" w:cs="Arial" w:eastAsia="Arial" w:hAnsi="Arial"/>
                <w:sz w:val="14"/>
                <w:szCs w:val="14"/>
                <w:color w:val="auto"/>
                <w:w w:val="90"/>
              </w:rPr>
              <w:t>12.0%/2.0%</w:t>
            </w: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3/5/2017</w:t>
            </w:r>
          </w:p>
        </w:tc>
        <w:tc>
          <w:tcPr>
            <w:tcW w:w="20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6,833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6,425</w:t>
            </w: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6,833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ind w:left="100"/>
              <w:spacing w:after="0" w:line="165" w:lineRule="exact"/>
              <w:rPr>
                <w:sz w:val="20"/>
                <w:szCs w:val="20"/>
                <w:color w:val="auto"/>
              </w:rPr>
            </w:pPr>
            <w:r>
              <w:rPr>
                <w:rFonts w:ascii="Arial" w:cs="Arial" w:eastAsia="Arial" w:hAnsi="Arial"/>
                <w:sz w:val="12"/>
                <w:szCs w:val="12"/>
                <w:color w:val="auto"/>
              </w:rPr>
              <w:t xml:space="preserve">Preferred Equity (98,377 units) </w:t>
            </w:r>
            <w:r>
              <w:rPr>
                <w:rFonts w:ascii="Arial" w:cs="Arial" w:eastAsia="Arial" w:hAnsi="Arial"/>
                <w:sz w:val="19"/>
                <w:szCs w:val="19"/>
                <w:color w:val="auto"/>
                <w:vertAlign w:val="superscript"/>
              </w:rPr>
              <w:t>(7)</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1,069</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60" w:type="dxa"/>
            <w:vAlign w:val="bottom"/>
          </w:tcPr>
          <w:p>
            <w:pPr>
              <w:ind w:left="100"/>
              <w:spacing w:after="0" w:line="159" w:lineRule="exact"/>
              <w:rPr>
                <w:sz w:val="20"/>
                <w:szCs w:val="20"/>
                <w:color w:val="auto"/>
              </w:rPr>
            </w:pPr>
            <w:r>
              <w:rPr>
                <w:rFonts w:ascii="Arial" w:cs="Arial" w:eastAsia="Arial" w:hAnsi="Arial"/>
                <w:sz w:val="14"/>
                <w:szCs w:val="14"/>
                <w:color w:val="auto"/>
              </w:rPr>
              <w:t>Warrant (57,469 units)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566</w:t>
            </w:r>
          </w:p>
        </w:tc>
        <w:tc>
          <w:tcPr>
            <w:tcW w:w="2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312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8,060</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8,214</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vMerge w:val="restart"/>
          </w:tcPr>
          <w:p>
            <w:pPr>
              <w:jc w:val="center"/>
              <w:ind w:left="272"/>
              <w:spacing w:after="0"/>
              <w:rPr>
                <w:sz w:val="20"/>
                <w:szCs w:val="20"/>
                <w:color w:val="auto"/>
              </w:rPr>
            </w:pPr>
            <w:r>
              <w:rPr>
                <w:rFonts w:ascii="Arial" w:cs="Arial" w:eastAsia="Arial" w:hAnsi="Arial"/>
                <w:sz w:val="14"/>
                <w:szCs w:val="14"/>
                <w:b w:val="1"/>
                <w:bCs w:val="1"/>
                <w:color w:val="auto"/>
                <w:w w:val="84"/>
              </w:rPr>
              <w:t xml:space="preserve">Rate </w:t>
            </w:r>
            <w:r>
              <w:rPr>
                <w:rFonts w:ascii="Arial" w:cs="Arial" w:eastAsia="Arial" w:hAnsi="Arial"/>
                <w:sz w:val="22"/>
                <w:szCs w:val="22"/>
                <w:b w:val="1"/>
                <w:bCs w:val="1"/>
                <w:color w:val="auto"/>
                <w:w w:val="84"/>
                <w:vertAlign w:val="superscript"/>
              </w:rPr>
              <w:t>(4)</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 (2)</w:t>
            </w:r>
          </w:p>
        </w:tc>
        <w:tc>
          <w:tcPr>
            <w:tcW w:w="2260" w:type="dxa"/>
            <w:vAlign w:val="bottom"/>
          </w:tcPr>
          <w:p>
            <w:pPr>
              <w:spacing w:after="0"/>
              <w:rPr>
                <w:sz w:val="12"/>
                <w:szCs w:val="12"/>
                <w:color w:val="auto"/>
              </w:rPr>
            </w:pPr>
          </w:p>
        </w:tc>
        <w:tc>
          <w:tcPr>
            <w:tcW w:w="1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Investment Type </w:t>
            </w:r>
            <w:r>
              <w:rPr>
                <w:rFonts w:ascii="Arial" w:cs="Arial" w:eastAsia="Arial" w:hAnsi="Arial"/>
                <w:sz w:val="22"/>
                <w:szCs w:val="22"/>
                <w:b w:val="1"/>
                <w:bCs w:val="1"/>
                <w:color w:val="auto"/>
                <w:vertAlign w:val="superscript"/>
              </w:rPr>
              <w:t>(3)</w:t>
            </w:r>
          </w:p>
        </w:tc>
        <w:tc>
          <w:tcPr>
            <w:tcW w:w="12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of Net</w:t>
            </w:r>
          </w:p>
        </w:tc>
        <w:tc>
          <w:tcPr>
            <w:tcW w:w="0" w:type="dxa"/>
            <w:vAlign w:val="bottom"/>
          </w:tcPr>
          <w:p>
            <w:pPr>
              <w:spacing w:after="0"/>
              <w:rPr>
                <w:sz w:val="1"/>
                <w:szCs w:val="1"/>
                <w:color w:val="auto"/>
              </w:rPr>
            </w:pPr>
          </w:p>
        </w:tc>
      </w:tr>
      <w:tr>
        <w:trPr>
          <w:trHeight w:val="202"/>
        </w:trPr>
        <w:tc>
          <w:tcPr>
            <w:tcW w:w="2780" w:type="dxa"/>
            <w:vAlign w:val="bottom"/>
            <w:gridSpan w:val="2"/>
            <w:vMerge w:val="continue"/>
          </w:tcPr>
          <w:p>
            <w:pPr>
              <w:spacing w:after="0"/>
              <w:rPr>
                <w:sz w:val="17"/>
                <w:szCs w:val="17"/>
                <w:color w:val="auto"/>
              </w:rPr>
            </w:pPr>
          </w:p>
        </w:tc>
        <w:tc>
          <w:tcPr>
            <w:tcW w:w="2260" w:type="dxa"/>
            <w:vAlign w:val="bottom"/>
          </w:tcPr>
          <w:p>
            <w:pPr>
              <w:ind w:left="780"/>
              <w:spacing w:after="0"/>
              <w:rPr>
                <w:sz w:val="20"/>
                <w:szCs w:val="20"/>
                <w:color w:val="auto"/>
              </w:rPr>
            </w:pPr>
            <w:r>
              <w:rPr>
                <w:rFonts w:ascii="Arial" w:cs="Arial" w:eastAsia="Arial" w:hAnsi="Arial"/>
                <w:sz w:val="14"/>
                <w:szCs w:val="14"/>
                <w:b w:val="1"/>
                <w:bCs w:val="1"/>
                <w:color w:val="auto"/>
              </w:rPr>
              <w:t>Industry</w:t>
            </w:r>
          </w:p>
        </w:tc>
        <w:tc>
          <w:tcPr>
            <w:tcW w:w="1740" w:type="dxa"/>
            <w:vAlign w:val="bottom"/>
            <w:vMerge w:val="continue"/>
          </w:tcPr>
          <w:p>
            <w:pPr>
              <w:spacing w:after="0"/>
              <w:rPr>
                <w:sz w:val="17"/>
                <w:szCs w:val="17"/>
                <w:color w:val="auto"/>
              </w:rPr>
            </w:pPr>
          </w:p>
        </w:tc>
        <w:tc>
          <w:tcPr>
            <w:tcW w:w="1220" w:type="dxa"/>
            <w:vAlign w:val="bottom"/>
          </w:tcPr>
          <w:p>
            <w:pPr>
              <w:jc w:val="center"/>
              <w:ind w:left="272"/>
              <w:spacing w:after="0"/>
              <w:rPr>
                <w:sz w:val="20"/>
                <w:szCs w:val="20"/>
                <w:color w:val="auto"/>
              </w:rPr>
            </w:pPr>
            <w:r>
              <w:rPr>
                <w:rFonts w:ascii="Arial" w:cs="Arial" w:eastAsia="Arial" w:hAnsi="Arial"/>
                <w:sz w:val="14"/>
                <w:szCs w:val="14"/>
                <w:b w:val="1"/>
                <w:bCs w:val="1"/>
                <w:color w:val="auto"/>
                <w:w w:val="91"/>
              </w:rPr>
              <w:t>Cash/PIK</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6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Worldwide Express Operations, LLC</w:t>
            </w:r>
          </w:p>
        </w:tc>
        <w:tc>
          <w:tcPr>
            <w:tcW w:w="226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98"/>
              </w:rPr>
              <w:t>Transportation Services</w:t>
            </w:r>
          </w:p>
        </w:tc>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Subordinated Note</w:t>
            </w:r>
          </w:p>
        </w:tc>
        <w:tc>
          <w:tcPr>
            <w:tcW w:w="1220" w:type="dxa"/>
            <w:vAlign w:val="bottom"/>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7"/>
              </w:rPr>
              <w:t>11.5%/1.0%</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8/1/2020</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  12,552</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$ 12,434</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$ 12,434</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740" w:type="dxa"/>
            <w:vAlign w:val="bottom"/>
          </w:tcPr>
          <w:p>
            <w:pPr>
              <w:ind w:left="180"/>
              <w:spacing w:after="0" w:line="129" w:lineRule="exact"/>
              <w:rPr>
                <w:sz w:val="20"/>
                <w:szCs w:val="20"/>
                <w:color w:val="auto"/>
              </w:rPr>
            </w:pPr>
            <w:r>
              <w:rPr>
                <w:rFonts w:ascii="Arial" w:cs="Arial" w:eastAsia="Arial" w:hAnsi="Arial"/>
                <w:sz w:val="14"/>
                <w:szCs w:val="14"/>
                <w:color w:val="auto"/>
              </w:rPr>
              <w:t>Common Equity</w:t>
            </w: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411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880" w:type="dxa"/>
            <w:vAlign w:val="bottom"/>
          </w:tcPr>
          <w:p>
            <w:pPr>
              <w:ind w:left="1880"/>
              <w:spacing w:after="0" w:line="168" w:lineRule="exact"/>
              <w:rPr>
                <w:sz w:val="20"/>
                <w:szCs w:val="20"/>
                <w:color w:val="auto"/>
              </w:rPr>
            </w:pPr>
            <w:r>
              <w:rPr>
                <w:rFonts w:ascii="Arial" w:cs="Arial" w:eastAsia="Arial" w:hAnsi="Arial"/>
                <w:sz w:val="12"/>
                <w:szCs w:val="12"/>
                <w:color w:val="auto"/>
              </w:rPr>
              <w:t xml:space="preserve">(2,500,000 units) </w:t>
            </w:r>
            <w:r>
              <w:rPr>
                <w:rFonts w:ascii="Arial" w:cs="Arial" w:eastAsia="Arial" w:hAnsi="Arial"/>
                <w:sz w:val="19"/>
                <w:szCs w:val="19"/>
                <w:color w:val="auto"/>
                <w:vertAlign w:val="superscript"/>
              </w:rPr>
              <w:t>(7)</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2,500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2,500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8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14,934</w:t>
            </w:r>
          </w:p>
        </w:tc>
        <w:tc>
          <w:tcPr>
            <w:tcW w:w="6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14,934</w:t>
            </w:r>
          </w:p>
        </w:tc>
        <w:tc>
          <w:tcPr>
            <w:tcW w:w="60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Total Non-Control/Non-Affiliate Investments</w:t>
            </w:r>
          </w:p>
        </w:tc>
        <w:tc>
          <w:tcPr>
            <w:tcW w:w="58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226,231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224,537</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5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58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315,214</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306,981</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All debt investments are income producing. Equity investments are non-income producing unless otherwise noted.</w:t>
      </w:r>
    </w:p>
    <w:p>
      <w:pPr>
        <w:ind w:left="340" w:hanging="332"/>
        <w:spacing w:after="0"/>
        <w:tabs>
          <w:tab w:leader="none" w:pos="3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Rate includes the cash interest or dividend rate and paid-in-kind interest or dividend rate, if any, as of December 31, 2013. Generally, payment-in-kind interest can be paid-in-kind or all in cash.</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See Note 2 - Significant Accounting Policies, Investment Classification for definitions of Control and Affiliate classifications. (6) Income producing. Maturity date, if any, represents mandatory redemption date.</w:t>
      </w:r>
    </w:p>
    <w:p>
      <w:pPr>
        <w:ind w:left="340" w:hanging="332"/>
        <w:spacing w:after="0" w:line="222"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Investment is held by a wholly-owned subsidiary of the Company.</w:t>
      </w:r>
    </w:p>
    <w:p>
      <w:pPr>
        <w:ind w:left="340" w:hanging="332"/>
        <w:spacing w:after="0" w:line="22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Investment was on non-accrual status as of December 31, 2013, meaning the Company has ceased recognizing interest income on the investment.</w:t>
      </w: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entire commitment was unfunded at December 31, 2013. As such, no interest is being earned on this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Fidus Investment Corporation, a Maryland corporation (“FIC,” and together with its subsidiaries, the “Company”), was formed on February 14, 2011 for the purposes of (i) acquiring 100% of the limited partnership interests of Fidus Mezzanine Capital, L.P. and its consolidated subsidiaries (collectively, “Fund I”) and 100% of the membership interests of Fund I’s general partner, Fidus Mezzanine Capital GP, LLC (“FMCGP”), (ii) raising capital in an initial public offering that was completed in June 2011 (the “IPO”) and (iii) thereafter operating as an externally managed, closed-end, non-diversified management investment company that has elected to be regulated as a business development company (“BDC”) under the Investment Company Act of 1940, as amended (the “1940 Act”).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20, 2011, FIC acquired 100% of the limited partnership interests in Fund I and 100% of the equity interests in FMCGP, in exchange for 4,056,521 shares of common stock in FIC (the “Formation Transactions”). Fund I became FIC’s wholly-owned subsidiary, retained its license to operate as a Small Business Investment Company (“SBIC”), and continues to hold investments and make new investments. The IPO consisted of the sale of 5,370,500 shares of the Company’s common stock, including shares purchased by the underwriters pursuant to their exercise of the over-allotment option, at a price of $15.00 per share resulting in net proceeds of $73,626, after deducting underwriting fees and commissions and offering costs totaling $6,932.</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customized debt and equity financing solutions to lower middle-market companies. Fund I commenced operations on May 1, 2007, and on October 22, 2007, was granted a license to operate as a SBIC under the authority of the U.S. Small Business Administration (“SBA”). On March 29, 2013, the Company commenced operations of a new wholly-owned subsidiary, Fidus Mezzanine Capital II, L.P. (“Fund II”) and on May 28, 2013, was granted a second license to operate Fund II as an SBIC. Collectively, Fund I and Fund II are referred to as the “Funds”.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Fund I has also elected to be regulated as a BDC under the 1940 Act. Fund II will not be registered under the 1940 Act and will rely on the exclusion from the definition of investment company contained in Section 3(c)(7) of the 1940 Act. In addition, for federal income tax purposes, the Company elected to be treated as a regulated investment company (“RIC”) under Subchapter M of the Internal Revenue Code of 1986, as amended (the “Code”), commencing with its taxable year ended December 31, 2011.</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all periods subsequent to the consummation of the Formation Transactions and the IPO, the Company pays a quarterly base management fee and an incentive fee to Fidus Investment Advisors, LLC (the “Investment Advisor”) under an investment advisory agreement (the “Investment Advisory Agreement”). The initial investment professionals of the Investment Advisor were previously employed by Fidus Capital, LLC, who was the investment adviser to Fund I prior to consummation of the Formation Transactions.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September 11, 2012, the Company issued 2,472,500 shares in a follow-on public offering, including shares purchased by the underwriters pursuant to their exercise of the over-allotment option, at an offering price of $16.10 per share resulting in net proceeds of $37,952 after deducting underwriting fees and commissions and offering costs totaling $1,855.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8, 2013, the Company issued 1,725,000 shares in a follow-on public offering, including shares purchased by the underwriters pursuant to their exercise of the over-allotment option, at an offering price of $17.60 per share resulting in net proceeds to the Company of $28,857, after deducting underwriting fees and commissions and offering costs totaling $1,504.</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During the period from August 21, 2014 through December 31, 2014, 158,353 shares of the Company’s common stock were sold at an average offering price of $18.51 per share resulting in net proceeds of $2,871, after commissions to the sales agent on shares sold and offering costs of $59.</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30, 2014, the Company issued 2,000,000 shares in a follow-on public offering at an offering price of $17.00 per share. On October 21, 2014, the Company issued an additional 83,414 shares to the underwriters pursuant to their exercise of the over-allotment option. Such share issuances resulted in net proceeds of $33,671, after deducting underwriting fees and commissions and offering costs totaling $1,747.</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the Company had 16,051,037 and 13,755,232 shares of common stock outstanding,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principles in the United States of America (“GAAP”) pursuant to the requirements for reporting on Form 10-K,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 operating unit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w:t>
      </w:r>
    </w:p>
    <w:p>
      <w:pPr>
        <w:spacing w:after="0" w:line="13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and cash equivalents are highly liquid investments with an original maturity of three months or less at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Deferred financing costs: </w:t>
      </w:r>
      <w:r>
        <w:rPr>
          <w:rFonts w:ascii="Arial" w:cs="Arial" w:eastAsia="Arial" w:hAnsi="Arial"/>
          <w:sz w:val="16"/>
          <w:szCs w:val="16"/>
          <w:color w:val="auto"/>
        </w:rPr>
        <w:t>Deferred financing costs consist of fees and expenses paid in connection with the Credit Facility (as defined in Note 6) and SBA</w:t>
      </w:r>
      <w:r>
        <w:rPr>
          <w:rFonts w:ascii="Arial" w:cs="Arial" w:eastAsia="Arial" w:hAnsi="Arial"/>
          <w:sz w:val="16"/>
          <w:szCs w:val="16"/>
          <w:i w:val="1"/>
          <w:iCs w:val="1"/>
          <w:color w:val="auto"/>
        </w:rPr>
        <w:t xml:space="preserve"> </w:t>
      </w:r>
      <w:r>
        <w:rPr>
          <w:rFonts w:ascii="Arial" w:cs="Arial" w:eastAsia="Arial" w:hAnsi="Arial"/>
          <w:sz w:val="16"/>
          <w:szCs w:val="16"/>
          <w:color w:val="auto"/>
        </w:rPr>
        <w:t>debentures. Deferred financing costs are capitalized and amortized over the term of the debt agreement using the effective interest method.</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Deferred equity financing costs: </w:t>
      </w:r>
      <w:r>
        <w:rPr>
          <w:rFonts w:ascii="Arial" w:cs="Arial" w:eastAsia="Arial" w:hAnsi="Arial"/>
          <w:sz w:val="18"/>
          <w:szCs w:val="18"/>
          <w:color w:val="auto"/>
        </w:rPr>
        <w:t>Deferred equity financing costs include registration expenses related to shelf filings, including expenses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launch of the ATM Program. These expenses primarily consist of Securities and Exchange Commission (“SEC”) registration fees, legal fees and accounting fees incurred. These expenses are included in prepaid assets and are charged to additional paid in capital upon the receipt of proceeds from an equity offering or charged to expense if no offering is completed.</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Realized gains or losses and unrealized appreciation or depreciation on investments: </w:t>
      </w:r>
      <w:r>
        <w:rPr>
          <w:rFonts w:ascii="Arial" w:cs="Arial" w:eastAsia="Arial" w:hAnsi="Arial"/>
          <w:sz w:val="16"/>
          <w:szCs w:val="16"/>
          <w:color w:val="auto"/>
        </w:rPr>
        <w:t>Realized gains or losses on investments are recorded upon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Interest, fee and dividend income: </w:t>
      </w:r>
      <w:r>
        <w:rPr>
          <w:rFonts w:ascii="Arial" w:cs="Arial" w:eastAsia="Arial" w:hAnsi="Arial"/>
          <w:sz w:val="16"/>
          <w:szCs w:val="16"/>
          <w:color w:val="auto"/>
        </w:rPr>
        <w:t>Interest and dividend income is recorded on the accrual basis to the extent that the Company expects to collect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Interest and dividend income is accrued daily based on the outstanding principal amount and the contractual terms of the debt or preferred equity investment. Dividend income is recorded on the declaration date or at the point an obligation exists for the portfolio company to make a distribution. Distributions from portfolio companies are evaluated to determine if the distribution is a distribution of earnings or a return of capital.</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PIK income is included in the Company’s taxable income and, therefore, affects the amount the Company is required to pay to shareholders in the form of dividends in order to maintain the Company’s status as a RIC and to avoid corporate federal income tax, even though the Company has not yet collected the cash.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Loans or preferred equity investments are placed on non-accrual status and the Company will generally cease recognizing interest or dividend income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Transaction fees earned in connection with the Company’s investments are recognized as fee income.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loan or debt security, any prepayment penalties are recorded as fee income when earned.</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also typically receives upfront loan origination or closing fees in connection with investments. Such upfront loan origination and closing fees are capitalized as unearned income and offset against investment cost basis on the consolidated statements of assets and liabilities and accreted into income over the life of the investment. Upfront loan origination and closing fees received for the years ended December 31, 2014, 2013 and 2012 totaled $807, $863, and $637, respectively.</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participations and other partial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has elected to be treated as a RIC under Subchapter M of the Code, which will generally relieve the Company from U.S.</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income taxes with respect to all income distributed to stockholders. In order to qualify as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filing the final tax return related to the year in which the Company generated such taxable income or the 15</w:t>
      </w:r>
      <w:r>
        <w:rPr>
          <w:rFonts w:ascii="Arial" w:cs="Arial" w:eastAsia="Arial" w:hAnsi="Arial"/>
          <w:sz w:val="10"/>
          <w:szCs w:val="10"/>
          <w:color w:val="auto"/>
        </w:rPr>
        <w:t>th</w:t>
      </w:r>
      <w:r>
        <w:rPr>
          <w:rFonts w:ascii="Arial" w:cs="Arial" w:eastAsia="Arial" w:hAnsi="Arial"/>
          <w:sz w:val="16"/>
          <w:szCs w:val="16"/>
          <w:color w:val="auto"/>
        </w:rPr>
        <w:t xml:space="preserve"> day of the 9</w:t>
      </w:r>
      <w:r>
        <w:rPr>
          <w:rFonts w:ascii="Arial" w:cs="Arial" w:eastAsia="Arial" w:hAnsi="Arial"/>
          <w:sz w:val="10"/>
          <w:szCs w:val="10"/>
          <w:color w:val="auto"/>
        </w:rPr>
        <w:t>th</w:t>
      </w:r>
      <w:r>
        <w:rPr>
          <w:rFonts w:ascii="Arial" w:cs="Arial" w:eastAsia="Arial" w:hAnsi="Arial"/>
          <w:sz w:val="16"/>
          <w:szCs w:val="16"/>
          <w:color w:val="auto"/>
        </w:rPr>
        <w:t xml:space="preserve"> month following the close of such taxable year. In addition, the Company will be subject to federal excise tax if it does not distribute at least 98.2% of the net capital gains realized, computed for any one year period ending October 31.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future, the Funds may be limited by provisions of the SBIC Act and SBA regulations governing SBICs from making certain distributions to FIC that may be necessary to enable FIC to make the minimum distributions required to qualify as a RIC.</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certain indirect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companies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ASC Topic 740 —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 income tax provision, if any. There were no material uncertain income tax positions at December 31, 2014 and 2013. The 2011 through 2013 tax years remain subject to examination by U.S. federal and most state tax authorities.</w:t>
      </w:r>
    </w:p>
    <w:p>
      <w:pPr>
        <w:spacing w:after="0" w:line="12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i w:val="1"/>
          <w:iCs w:val="1"/>
          <w:color w:val="auto"/>
        </w:rPr>
        <w:t xml:space="preserve">Distributions to stockholders: </w:t>
      </w:r>
      <w:r>
        <w:rPr>
          <w:rFonts w:ascii="Arial" w:cs="Arial" w:eastAsia="Arial" w:hAnsi="Arial"/>
          <w:sz w:val="16"/>
          <w:szCs w:val="16"/>
          <w:color w:val="auto"/>
        </w:rPr>
        <w:t>Distributions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least three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years ended December 31, 2014, 2013 and 2012, are computed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shares outstanding for the period. Net asset value per share is calculated using the number of shares outstanding as of December 31, 2014 and 2013.</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Recent accounting pronouncements: </w:t>
      </w:r>
      <w:r>
        <w:rPr>
          <w:rFonts w:ascii="Arial" w:cs="Arial" w:eastAsia="Arial" w:hAnsi="Arial"/>
          <w:sz w:val="16"/>
          <w:szCs w:val="16"/>
          <w:color w:val="auto"/>
        </w:rPr>
        <w:t>In June 2013, the FASB issued Accounting Standards Update (“ASU”) 2013-08,</w:t>
      </w:r>
      <w:r>
        <w:rPr>
          <w:rFonts w:ascii="Arial" w:cs="Arial" w:eastAsia="Arial" w:hAnsi="Arial"/>
          <w:sz w:val="16"/>
          <w:szCs w:val="16"/>
          <w:i w:val="1"/>
          <w:iCs w:val="1"/>
          <w:color w:val="auto"/>
        </w:rPr>
        <w:t xml:space="preserve"> Financial Services — Investment Companies (Topic 946) Amendments to the Scope, Measurement and Disclosure Requirements </w:t>
      </w:r>
      <w:r>
        <w:rPr>
          <w:rFonts w:ascii="Arial" w:cs="Arial" w:eastAsia="Arial" w:hAnsi="Arial"/>
          <w:sz w:val="16"/>
          <w:szCs w:val="16"/>
          <w:color w:val="auto"/>
        </w:rPr>
        <w:t>(“ASU 2013-08”), containing new guidance on assessing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an entity is an investment company, requiring non-controlling ownership interest in investment companies to be measured at fair value and requiring certain additional disclosures. This guidance is effective for annual and interim periods beginning on or after December 15, 2013. The adoption of ASU 2013-08 did not have a material impact on the Company’s consolidated financial position or disclosures.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Company is currently evaluating the impact this ASU will have on the Company’s consolidated financial position or disclosures.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Amendments to the Consolidation Analysis</w:t>
      </w:r>
      <w:r>
        <w:rPr>
          <w:rFonts w:ascii="Arial" w:cs="Arial" w:eastAsia="Arial" w:hAnsi="Arial"/>
          <w:sz w:val="18"/>
          <w:szCs w:val="18"/>
          <w:color w:val="auto"/>
        </w:rPr>
        <w:t>, which amends the criteria for determining which entities are considered variable interest entities (“VIEs”), amends the criteria for determining if a service provider possesses a variable interest in a VIE and ends the deferral granted to investment companies for application of the VIE consolidation model. This guidance is effective for annual and interim reporting periods of public entities beginning after December 15, 2015 and early adoption is permitted. The Company is currently evaluating the impact this ASU will have on the Company’s consolidated financial position or disclosures.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Portfolio Company Investments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makes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reported under the name of the operating company on the consolidated schedules of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December 31, 2014, the Company had investments in 42 portfolio companies with an aggregate fair value of $396,355 and a weighted average effective yield on its debt investments of 13.4%. As of December 31, 2014, the Company held equity investments in 85.7% of its portfolio companies and the average fully diluted equity ownership in those portfolio companies was 8.7%. As of December 31, 2013, the Company had investments in 37 portfolio companies with an aggregate fair value of $306,981 and a weighted average effective yield on its debt investments of 14.5%. As of December 31, 2013, the Company held equity investments in 91.9% of its portfolio companies and the average fully diluted equity ownership in those portfolio companies was 7.3%. The weighted average yields were computed using the effective interest rates for debt investments at cost as of December 31, 2014 and 2013, including accretion of original issue discount and loan origination fees, but excluding investments on non-accrual status, if 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Purchases of debt and equity investments for the years ended December 31, 2014, 2013 and 2012 totaled $149,814, $149,095 and $85,519,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sales and repayments, including principal, return of capital distributions and realized gains, of portfolio investments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 totaled $62,643, $131,199 and $25,204,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w w:val="99"/>
              </w:rPr>
              <w:t>December 31, 2014</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December 31, 2013</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December 31, 2013</w:t>
            </w:r>
          </w:p>
        </w:tc>
        <w:tc>
          <w:tcPr>
            <w:tcW w:w="2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Subordinated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$ 273,711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$214,400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273,347</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$220,372</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Senior secured loans</w:t>
            </w:r>
          </w:p>
        </w:tc>
        <w:tc>
          <w:tcPr>
            <w:tcW w:w="680" w:type="dxa"/>
            <w:vAlign w:val="bottom"/>
          </w:tcPr>
          <w:p>
            <w:pPr>
              <w:jc w:val="right"/>
              <w:spacing w:after="0"/>
              <w:rPr>
                <w:sz w:val="20"/>
                <w:szCs w:val="20"/>
                <w:color w:val="auto"/>
              </w:rPr>
            </w:pPr>
            <w:r>
              <w:rPr>
                <w:rFonts w:ascii="Arial" w:cs="Arial" w:eastAsia="Arial" w:hAnsi="Arial"/>
                <w:sz w:val="18"/>
                <w:szCs w:val="18"/>
                <w:color w:val="auto"/>
              </w:rPr>
              <w:t>74,286</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53,387</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74,486</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19.0%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52,903</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16.8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32,560</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36,623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34,982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Warrants</w:t>
            </w:r>
          </w:p>
        </w:tc>
        <w:tc>
          <w:tcPr>
            <w:tcW w:w="680" w:type="dxa"/>
            <w:vAlign w:val="bottom"/>
          </w:tcPr>
          <w:p>
            <w:pPr>
              <w:jc w:val="right"/>
              <w:spacing w:after="0"/>
              <w:rPr>
                <w:sz w:val="20"/>
                <w:szCs w:val="20"/>
                <w:color w:val="auto"/>
              </w:rPr>
            </w:pPr>
            <w:r>
              <w:rPr>
                <w:rFonts w:ascii="Arial" w:cs="Arial" w:eastAsia="Arial" w:hAnsi="Arial"/>
                <w:sz w:val="18"/>
                <w:szCs w:val="18"/>
                <w:color w:val="auto"/>
              </w:rPr>
              <w:t>5,472</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6,634</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6,882</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6,957</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Royalty rights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396,355</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100.0%</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306,981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391,338</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w w:val="94"/>
              </w:rPr>
              <w:t>100.0%</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315,214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4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All investments made by the Company as of December 31, 2014 and 2013 were made in portfolio companies located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8"/>
              </w:rPr>
              <w:t>December 31, 2014</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8"/>
              </w:rPr>
              <w:t>December 31, 2013</w:t>
            </w:r>
          </w:p>
        </w:tc>
        <w:tc>
          <w:tcPr>
            <w:tcW w:w="4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December 31, 2014</w:t>
            </w: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Southeast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$ 113,516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54,885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$ 113,725</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Midwest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94,572</w:t>
            </w:r>
          </w:p>
        </w:tc>
        <w:tc>
          <w:tcPr>
            <w:tcW w:w="2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79"/>
              </w:rPr>
              <w:t>23.9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67,287</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21.9</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92,721</w:t>
            </w:r>
          </w:p>
        </w:tc>
        <w:tc>
          <w:tcPr>
            <w:tcW w:w="460" w:type="dxa"/>
            <w:vAlign w:val="bottom"/>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74,430</w:t>
            </w: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78,904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76,361</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71,975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75,488</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Northeast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66,900</w:t>
            </w:r>
          </w:p>
        </w:tc>
        <w:tc>
          <w:tcPr>
            <w:tcW w:w="28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79"/>
              </w:rPr>
              <w:t>16.9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59,500</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19.4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65,248</w:t>
            </w: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59,611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48,948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396,355</w:t>
            </w:r>
          </w:p>
        </w:tc>
        <w:tc>
          <w:tcPr>
            <w:tcW w:w="28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306,981</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391,338</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w w:val="94"/>
              </w:rPr>
              <w:t>100.0%</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315,214</w:t>
            </w:r>
          </w:p>
        </w:tc>
        <w:tc>
          <w:tcPr>
            <w:tcW w:w="3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2014 and 2013, the Company had no portfolio company investments that represented more than 10% of the total investment portfolio. As of December 31, 2014, there were no investments on non-accrual status. As of December 31, 2013, the Company had debt investments in one portfolio company on non-accrual status, which had a cost and fair value of $7,256 and $2,974,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active and inputs that are observable, either directly or indirectly, for substantially the full term, if applicable, of the investment.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51" w:lineRule="exact"/>
        <w:rPr>
          <w:sz w:val="20"/>
          <w:szCs w:val="20"/>
          <w:color w:val="auto"/>
        </w:rPr>
      </w:pPr>
    </w:p>
    <w:p>
      <w:pPr>
        <w:ind w:left="900" w:right="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investment committee of the Investment Advisor;</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Board also engages one or more independent valuation firm(s) to conduct independent appraisals of a selection of our investments for which market quotations are not readily available. The Company will consult with independent valuation firm(s) relative to each portfolio company at least once in every calendar year, and for new portfolio companies, at least once in the twelve-month period subsequent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left="920" w:right="20"/>
        <w:spacing w:after="0" w:line="253" w:lineRule="auto"/>
        <w:rPr>
          <w:sz w:val="20"/>
          <w:szCs w:val="20"/>
          <w:color w:val="auto"/>
        </w:rPr>
      </w:pPr>
      <w:r>
        <w:rPr>
          <w:rFonts w:ascii="Arial" w:cs="Arial" w:eastAsia="Arial" w:hAnsi="Arial"/>
          <w:sz w:val="18"/>
          <w:szCs w:val="18"/>
          <w:color w:val="auto"/>
        </w:rPr>
        <w:t>the initial investment. In certain instances, the Company may determine that it is not cost-effective, and as a result it is not in the Company’s stockholders’ best interest, to request the valuation firm(s) to perform independent valuations on one or more portfolio companies. Such instances include, but are not limited to, situations where the fair value of the investment in the portfolio company is determined to be insignificant relative to the total investment portfolio. The Board consulted with the independent valuation firm in arriving at the Company’s determination of fair value on 9 and 13 of its portfolio company investments representing 20.7% and 47.1% of the total portfolio investments at fair value (exclusive of new portfolio company investments made during the three months ended December 31, 2014 and 2013, respectively) as of December 31, 2014 and 2013, respectively.</w:t>
      </w:r>
    </w:p>
    <w:p>
      <w:pPr>
        <w:spacing w:after="0" w:line="66" w:lineRule="exact"/>
        <w:rPr>
          <w:sz w:val="20"/>
          <w:szCs w:val="20"/>
          <w:color w:val="auto"/>
        </w:rPr>
      </w:pPr>
    </w:p>
    <w:p>
      <w:pPr>
        <w:ind w:left="90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the Company’s debt investments, including senior secured loans and subordinated notes,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loan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following factors when determining the fair value of debt investments: the portfolio company’s ability to make future scheduled payments; prepayment penalties;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loans to maturity. However, if the Company has information available to it that the loan is expected to be repaid in the near term, it would use an estimated remaining life based on the expected repayment date.</w:t>
      </w:r>
    </w:p>
    <w:p>
      <w:pPr>
        <w:spacing w:after="0" w:line="10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Where applicable, the Company considers the Company’s ability to influence the capital structure of the portfolio company, as well as the timing of a potential exit.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85"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years ended December 31, 2014 and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years ended December 31,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Senior</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Subordinated</w:t>
            </w: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Royalty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Notes</w:t>
            </w:r>
          </w:p>
        </w:tc>
        <w:tc>
          <w:tcPr>
            <w:tcW w:w="1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Warrants</w:t>
            </w: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Rights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193,691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$ 32,736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26,430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274,249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Realized gain on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4,926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30,588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(7,305)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(14,057)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111,473</w:t>
            </w:r>
          </w:p>
        </w:tc>
        <w:tc>
          <w:tcPr>
            <w:tcW w:w="1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22,668</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149,095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(89,387)</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(26,212)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(131,199)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4,984</w:t>
            </w:r>
          </w:p>
        </w:tc>
        <w:tc>
          <w:tcPr>
            <w:tcW w:w="1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2013</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214,400</w:t>
            </w:r>
          </w:p>
        </w:tc>
        <w:tc>
          <w:tcPr>
            <w:tcW w:w="18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$ 53,387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32,560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6,634</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306,981</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gains on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(13,742)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(17,029)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5,928</w:t>
            </w:r>
          </w:p>
        </w:tc>
        <w:tc>
          <w:tcPr>
            <w:tcW w:w="18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Non-cash conversion of security types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103,663</w:t>
            </w:r>
          </w:p>
        </w:tc>
        <w:tc>
          <w:tcPr>
            <w:tcW w:w="1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33,086</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149,814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(43,356)</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(5,592)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(62,643)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4,577</w:t>
            </w:r>
          </w:p>
        </w:tc>
        <w:tc>
          <w:tcPr>
            <w:tcW w:w="1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2014</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273,711</w:t>
            </w:r>
          </w:p>
        </w:tc>
        <w:tc>
          <w:tcPr>
            <w:tcW w:w="18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$ 74,286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42,886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5,472</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396,355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Net change in unrealized appreciation of $2,294 and $(7,588) for the years ended December 31, 2014 and 2013 were attributable to Level 3 investments held at December 31, 2014 and 2013,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December 31, 2014 and 2013. The tables are not intended to be all-inclusive, but instead capture the significant unobservable inputs relevant to the Company’s determination of fair values.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December 31,</w:t>
            </w: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5"/>
                <w:szCs w:val="15"/>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3240" w:type="dxa"/>
            <w:vAlign w:val="bottom"/>
            <w:gridSpan w:val="2"/>
          </w:tcPr>
          <w:p>
            <w:pPr>
              <w:ind w:left="960"/>
              <w:spacing w:after="0"/>
              <w:rPr>
                <w:sz w:val="20"/>
                <w:szCs w:val="20"/>
                <w:color w:val="auto"/>
              </w:rPr>
            </w:pPr>
            <w:r>
              <w:rPr>
                <w:rFonts w:ascii="Arial" w:cs="Arial" w:eastAsia="Arial" w:hAnsi="Arial"/>
                <w:sz w:val="14"/>
                <w:szCs w:val="14"/>
                <w:b w:val="1"/>
                <w:bCs w:val="1"/>
                <w:color w:val="auto"/>
              </w:rPr>
              <w:t>Unobservable Inputs</w:t>
            </w:r>
          </w:p>
        </w:tc>
        <w:tc>
          <w:tcPr>
            <w:tcW w:w="240" w:type="dxa"/>
            <w:vAlign w:val="bottom"/>
          </w:tcPr>
          <w:p>
            <w:pPr>
              <w:spacing w:after="0"/>
              <w:rPr>
                <w:sz w:val="15"/>
                <w:szCs w:val="15"/>
                <w:color w:val="auto"/>
              </w:rPr>
            </w:pPr>
          </w:p>
        </w:tc>
        <w:tc>
          <w:tcPr>
            <w:tcW w:w="166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29"/>
        </w:trPr>
        <w:tc>
          <w:tcPr>
            <w:tcW w:w="3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440"/>
              <w:spacing w:after="0" w:line="149" w:lineRule="exact"/>
              <w:rPr>
                <w:sz w:val="20"/>
                <w:szCs w:val="20"/>
                <w:color w:val="auto"/>
              </w:rPr>
            </w:pPr>
            <w:r>
              <w:rPr>
                <w:rFonts w:ascii="Arial" w:cs="Arial" w:eastAsia="Arial" w:hAnsi="Arial"/>
                <w:sz w:val="14"/>
                <w:szCs w:val="14"/>
                <w:color w:val="auto"/>
              </w:rPr>
              <w:t>Subordinated notes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273,711</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Discounted cash flow</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cost of capital</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11.4% - 18.1% (13.6%)</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Senior secured loans</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74,286</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Discounted cash flow</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cost of capital</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6.7% - 17.0% (14.0%)</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42,886</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Enterprise value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 multiples</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4.5x</w:t>
            </w:r>
          </w:p>
        </w:tc>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- 10.4x (6.8x)</w:t>
            </w:r>
          </w:p>
        </w:tc>
        <w:tc>
          <w:tcPr>
            <w:tcW w:w="0" w:type="dxa"/>
            <w:vAlign w:val="bottom"/>
          </w:tcPr>
          <w:p>
            <w:pPr>
              <w:spacing w:after="0"/>
              <w:rPr>
                <w:sz w:val="1"/>
                <w:szCs w:val="1"/>
                <w:color w:val="auto"/>
              </w:rPr>
            </w:pPr>
          </w:p>
        </w:tc>
      </w:tr>
      <w:tr>
        <w:trPr>
          <w:trHeight w:val="172"/>
        </w:trPr>
        <w:tc>
          <w:tcPr>
            <w:tcW w:w="3420" w:type="dxa"/>
            <w:vAlign w:val="bottom"/>
          </w:tcPr>
          <w:p>
            <w:pPr>
              <w:ind w:left="440"/>
              <w:spacing w:after="0"/>
              <w:rPr>
                <w:sz w:val="20"/>
                <w:szCs w:val="20"/>
                <w:color w:val="auto"/>
              </w:rPr>
            </w:pPr>
            <w:r>
              <w:rPr>
                <w:rFonts w:ascii="Arial" w:cs="Arial" w:eastAsia="Arial" w:hAnsi="Arial"/>
                <w:sz w:val="14"/>
                <w:szCs w:val="14"/>
                <w:color w:val="auto"/>
              </w:rPr>
              <w:t>Warrants</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5,472</w:t>
            </w:r>
          </w:p>
        </w:tc>
        <w:tc>
          <w:tcPr>
            <w:tcW w:w="1900" w:type="dxa"/>
            <w:vAlign w:val="bottom"/>
            <w:gridSpan w:val="2"/>
          </w:tcPr>
          <w:p>
            <w:pPr>
              <w:spacing w:after="0"/>
              <w:rPr>
                <w:sz w:val="20"/>
                <w:szCs w:val="20"/>
                <w:color w:val="auto"/>
              </w:rPr>
            </w:pPr>
            <w:r>
              <w:rPr>
                <w:rFonts w:ascii="Arial" w:cs="Arial" w:eastAsia="Arial" w:hAnsi="Arial"/>
                <w:sz w:val="14"/>
                <w:szCs w:val="14"/>
                <w:color w:val="auto"/>
              </w:rPr>
              <w:t>Enterprise value</w:t>
            </w:r>
          </w:p>
        </w:tc>
        <w:tc>
          <w:tcPr>
            <w:tcW w:w="3240" w:type="dxa"/>
            <w:vAlign w:val="bottom"/>
            <w:gridSpan w:val="2"/>
          </w:tcPr>
          <w:p>
            <w:pPr>
              <w:spacing w:after="0"/>
              <w:rPr>
                <w:sz w:val="20"/>
                <w:szCs w:val="20"/>
                <w:color w:val="auto"/>
              </w:rPr>
            </w:pPr>
            <w:r>
              <w:rPr>
                <w:rFonts w:ascii="Arial" w:cs="Arial" w:eastAsia="Arial" w:hAnsi="Arial"/>
                <w:sz w:val="14"/>
                <w:szCs w:val="14"/>
                <w:color w:val="auto"/>
              </w:rPr>
              <w:t>EBITDA multiples</w:t>
            </w:r>
          </w:p>
        </w:tc>
        <w:tc>
          <w:tcPr>
            <w:tcW w:w="240" w:type="dxa"/>
            <w:vAlign w:val="bottom"/>
          </w:tcPr>
          <w:p>
            <w:pPr>
              <w:spacing w:after="0"/>
              <w:rPr>
                <w:sz w:val="20"/>
                <w:szCs w:val="20"/>
                <w:color w:val="auto"/>
              </w:rPr>
            </w:pPr>
            <w:r>
              <w:rPr>
                <w:rFonts w:ascii="Arial" w:cs="Arial" w:eastAsia="Arial" w:hAnsi="Arial"/>
                <w:sz w:val="14"/>
                <w:szCs w:val="14"/>
                <w:color w:val="auto"/>
                <w:w w:val="82"/>
              </w:rPr>
              <w:t>5.0x</w:t>
            </w:r>
          </w:p>
        </w:tc>
        <w:tc>
          <w:tcPr>
            <w:tcW w:w="1660" w:type="dxa"/>
            <w:vAlign w:val="bottom"/>
          </w:tcPr>
          <w:p>
            <w:pPr>
              <w:ind w:left="20"/>
              <w:spacing w:after="0"/>
              <w:rPr>
                <w:sz w:val="20"/>
                <w:szCs w:val="20"/>
                <w:color w:val="auto"/>
              </w:rPr>
            </w:pPr>
            <w:r>
              <w:rPr>
                <w:rFonts w:ascii="Arial" w:cs="Arial" w:eastAsia="Arial" w:hAnsi="Arial"/>
                <w:sz w:val="14"/>
                <w:szCs w:val="14"/>
                <w:color w:val="auto"/>
              </w:rPr>
              <w:t>- 9.5x (7.0x)</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December 31,</w:t>
            </w: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20" w:type="dxa"/>
            <w:vAlign w:val="bottom"/>
            <w:vMerge w:val="restart"/>
          </w:tcPr>
          <w:p>
            <w:pPr>
              <w:spacing w:after="0"/>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5"/>
                <w:szCs w:val="15"/>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3240" w:type="dxa"/>
            <w:vAlign w:val="bottom"/>
            <w:gridSpan w:val="2"/>
          </w:tcPr>
          <w:p>
            <w:pPr>
              <w:ind w:left="960"/>
              <w:spacing w:after="0"/>
              <w:rPr>
                <w:sz w:val="20"/>
                <w:szCs w:val="20"/>
                <w:color w:val="auto"/>
              </w:rPr>
            </w:pPr>
            <w:r>
              <w:rPr>
                <w:rFonts w:ascii="Arial" w:cs="Arial" w:eastAsia="Arial" w:hAnsi="Arial"/>
                <w:sz w:val="14"/>
                <w:szCs w:val="14"/>
                <w:b w:val="1"/>
                <w:bCs w:val="1"/>
                <w:color w:val="auto"/>
              </w:rPr>
              <w:t>Unobservable Inputs</w:t>
            </w:r>
          </w:p>
        </w:tc>
        <w:tc>
          <w:tcPr>
            <w:tcW w:w="240" w:type="dxa"/>
            <w:vAlign w:val="bottom"/>
          </w:tcPr>
          <w:p>
            <w:pPr>
              <w:spacing w:after="0"/>
              <w:rPr>
                <w:sz w:val="15"/>
                <w:szCs w:val="15"/>
                <w:color w:val="auto"/>
              </w:rPr>
            </w:pPr>
          </w:p>
        </w:tc>
        <w:tc>
          <w:tcPr>
            <w:tcW w:w="1660" w:type="dxa"/>
            <w:vAlign w:val="bottom"/>
          </w:tcPr>
          <w:p>
            <w:pPr>
              <w:ind w:left="1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34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Subordinated notes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208,226</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Discounted cash flow</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cost of capital</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10.9% - 24.0% (15.5 %)</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6,174</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Enterprise value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EBITDA multiples</w:t>
            </w:r>
          </w:p>
        </w:tc>
        <w:tc>
          <w:tcPr>
            <w:tcW w:w="240" w:type="dxa"/>
            <w:vAlign w:val="bottom"/>
          </w:tcPr>
          <w:p>
            <w:pPr>
              <w:spacing w:after="0" w:line="149" w:lineRule="exact"/>
              <w:rPr>
                <w:sz w:val="20"/>
                <w:szCs w:val="20"/>
                <w:color w:val="auto"/>
              </w:rPr>
            </w:pPr>
            <w:r>
              <w:rPr>
                <w:rFonts w:ascii="Arial" w:cs="Arial" w:eastAsia="Arial" w:hAnsi="Arial"/>
                <w:sz w:val="14"/>
                <w:szCs w:val="14"/>
                <w:color w:val="auto"/>
                <w:w w:val="82"/>
              </w:rPr>
              <w:t>4.5x</w:t>
            </w:r>
          </w:p>
        </w:tc>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- 5.5x (4.9x)</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 multiples</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0.3x</w:t>
            </w:r>
          </w:p>
        </w:tc>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0.5x (0.5x)</w:t>
            </w:r>
          </w:p>
        </w:tc>
        <w:tc>
          <w:tcPr>
            <w:tcW w:w="0" w:type="dxa"/>
            <w:vAlign w:val="bottom"/>
          </w:tcPr>
          <w:p>
            <w:pPr>
              <w:spacing w:after="0"/>
              <w:rPr>
                <w:sz w:val="1"/>
                <w:szCs w:val="1"/>
                <w:color w:val="auto"/>
              </w:rPr>
            </w:pPr>
          </w:p>
        </w:tc>
      </w:tr>
      <w:tr>
        <w:trPr>
          <w:trHeight w:val="149"/>
        </w:trPr>
        <w:tc>
          <w:tcPr>
            <w:tcW w:w="3420" w:type="dxa"/>
            <w:vAlign w:val="bottom"/>
          </w:tcPr>
          <w:p>
            <w:pPr>
              <w:ind w:left="440"/>
              <w:spacing w:after="0" w:line="149" w:lineRule="exact"/>
              <w:rPr>
                <w:sz w:val="20"/>
                <w:szCs w:val="20"/>
                <w:color w:val="auto"/>
              </w:rPr>
            </w:pPr>
            <w:r>
              <w:rPr>
                <w:rFonts w:ascii="Arial" w:cs="Arial" w:eastAsia="Arial" w:hAnsi="Arial"/>
                <w:sz w:val="14"/>
                <w:szCs w:val="14"/>
                <w:color w:val="auto"/>
              </w:rPr>
              <w:t>Senior secured loans</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53,387</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Discounted cash flow</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cost of capital</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10.9% - 16.6% (14.4%)</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440"/>
              <w:spacing w:after="0" w:line="149" w:lineRule="exact"/>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32,560</w:t>
            </w: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Enterprise value</w:t>
            </w: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EBITDA multiples</w:t>
            </w:r>
          </w:p>
        </w:tc>
        <w:tc>
          <w:tcPr>
            <w:tcW w:w="240" w:type="dxa"/>
            <w:vAlign w:val="bottom"/>
          </w:tcPr>
          <w:p>
            <w:pPr>
              <w:spacing w:after="0" w:line="149" w:lineRule="exact"/>
              <w:rPr>
                <w:sz w:val="20"/>
                <w:szCs w:val="20"/>
                <w:color w:val="auto"/>
              </w:rPr>
            </w:pPr>
            <w:r>
              <w:rPr>
                <w:rFonts w:ascii="Arial" w:cs="Arial" w:eastAsia="Arial" w:hAnsi="Arial"/>
                <w:sz w:val="14"/>
                <w:szCs w:val="14"/>
                <w:color w:val="auto"/>
                <w:w w:val="82"/>
              </w:rPr>
              <w:t>4.5x</w:t>
            </w:r>
          </w:p>
        </w:tc>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- 10.4x (6.6x)</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Warrants</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6,634</w:t>
            </w: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Enterprise value</w:t>
            </w: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 multiples</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4.7x</w:t>
            </w:r>
          </w:p>
        </w:tc>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- 9.5x (6.3x)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a significantly lower (or higher) fair value estimate.</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significant unobservable inputs used in determining fair value under the enterprise value technique are revenue and EBITDA multiples. Significant increases (or decreases) in this input could result in a significantly higher (or lower) fair value estimate.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ASC Topic 820 requires disclosure of the fair value of financial instruments for which it is practical to estimate such value. The Company believes that the carrying amounts of its other financial instruments such as cash and cash equivalents, receivables and payables approximate the fair value of such items due to the short maturity of such instruments. The fair value of borrowings under the Credit Facility (as defined in Note 6) are based on a market yield approach and current interest rates, which are level 3 inputs to the market yield model, and is estimated to be $10,000 and $0 as of December 31, 2014 and 2013, respectively, which is the same as the Company’s carrying value of the borrowings. SBA debentures are carried at cost and with their longer maturity dates, fair value is estimated by discounting remaining payments using current market rates for similar instruments and considering such factors as the legal maturity date and the ability of market participants to prepay the debentures. As of December 31, 2014 and 2013, the fair value of the Company’s SBA debentures using Level 3 inputs is estimated at $173,500 and $144,500, respectively, which is the same as the Company’s carrying value of the debentures.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Concurrent with the Formation Transactions, the Company entered into the Investment Advisory Agreement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Advisor. On June 4, 2014, the Board approved the renewal of the Investment Advisory Agreement through June 20, 2015.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1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During the year ended December 31, 2014, the Investment Advisor waived $13 of the base management fee attributable to a portfolio investment that funded into escrow on September 30, 2014 but did not close until after the end of the quarter. The base management fee under the Investment Advisory Agreement for the years ended December 31, 2014, 2013 and 2012 totaled $5,899, $5,261 and $4,237 respectively.</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any organizing and offering costs). Pre-incentive fee net investment income includes, in the case of investments with a deferred interest feature (such as market discount, debt instruments with payment-in-kind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9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 The Company’s pre-incentive fee net investment income used to calculate this part of the incentive fee is also included in the total assets (other than cash and cash equivalents but including assets purchased with borrowed amounts) used to calculate the 1.75% base management fee.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pays the Investment Advisor an incentive fee with respect to pre-incentive fee net investment income in each calendar quarter as follows:</w:t>
      </w:r>
    </w:p>
    <w:p>
      <w:pPr>
        <w:spacing w:after="0" w:line="113"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13"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20.0% of the amount of the Company’s pre-incentive fee net investment income, if any, that exceeds 2.5% in any calendar quarter.</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2014, 2013 and 2012 totaled $5,588, $5,211 and $4,094, respectively.</w:t>
      </w:r>
    </w:p>
    <w:p>
      <w:pPr>
        <w:spacing w:after="0" w:line="14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to the Investment Advisor, the Company calculates the cumulative aggregate realized capital gains and cumulative aggregate realized capital losses since the Formation Transactions, and the aggregate unrealized capital depreciation as of the date of the calculation, as applicable, with respect to each of the investments in the Company’s portfolio. At the end of the applicable year, the amount of capital gains that serves as the basis for the calculation of the capital gains incentive fee to be paid equals the cumulative aggregate realized capital gains less cumulative aggregate realized capital losses, less aggregate unrealized capital depreciation, with respect to the Company’s portfolio of investments. If this number is positive at the end of such year, then the capital gains incentive fee to be paid for such year equals 20.0% of such amount, less the aggregate amount of any capital gains incentive fees paid in all prior years. As of December 31, 2014 and 2013, the capital gains incentive fee payable was $0 and $348, respectively. The aggregate amount of capital gains incentive fees paid from the IPO through December 31, 2014 is $348.</w:t>
      </w:r>
    </w:p>
    <w:p>
      <w:pPr>
        <w:spacing w:after="0" w:line="12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the Company accrues, but does not pay, a capital gains incentive fee in connection with any unrealized capital appreciation, as appropriate. If, on a cumulative basis, the sum of net realized gains/(losses) plus net unrealized appreciation/(depreciation) decreases during a period, the Company will reverse any excess capital gains incentive fee previously accrued such that the amount of capital gains incentive fee accrued is no more than 20.0% of the sum of net realized gains/(losses) plus net unrealized appreciation/(depreciation). During the year ended December 31, 2014, the Company reversed previously accrued capital gains incentive fees of $731. During the years ended December 31, 2013 and 2012, the Company accrued capital gains incentive fees of $1,581 and $745, respectively.</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sum of the income incentive fee and the capital gains incentive fee is the incentive fee and is reported in the consolidated statements of operations. Accrued management fees, income incentive fees and capital gains incentive fees are reported in the due to affiliates line in the consolidated statements of assets and liabilities.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Independent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Administration Agreement: </w:t>
      </w:r>
      <w:r>
        <w:rPr>
          <w:rFonts w:ascii="Arial" w:cs="Arial" w:eastAsia="Arial" w:hAnsi="Arial"/>
          <w:sz w:val="16"/>
          <w:szCs w:val="16"/>
          <w:color w:val="auto"/>
        </w:rPr>
        <w:t>Concurrent with the Formation Transactions, the Company also entered into an administration agreement (the “Administration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the Investment Advisor. On June 4, 2014, the Board approved the renewal of the Administrative Agreement through June 20, 2015. Under the Administration Agreement, the Investment Advisor furnishes the Company with office facilities and equipment, provides it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Under the Administration Agreement, administrative expenses for services provided for the years ended December 31, 2014, 2013 and 2012 totaled $1,772, $1,155 and $897, respectively. Accrued administrative expenses are reported in the due to affiliates line in the consolidated statements of assets and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 Capital LLC</w:t>
      </w:r>
      <w:r>
        <w:rPr>
          <w:rFonts w:ascii="Arial" w:cs="Arial" w:eastAsia="Arial" w:hAnsi="Arial"/>
          <w:sz w:val="16"/>
          <w:szCs w:val="16"/>
          <w:i w:val="1"/>
          <w:iCs w:val="1"/>
          <w:color w:val="auto"/>
        </w:rPr>
        <w:t xml:space="preserve"> </w:t>
      </w:r>
      <w:r>
        <w:rPr>
          <w:rFonts w:ascii="Arial" w:cs="Arial" w:eastAsia="Arial" w:hAnsi="Arial"/>
          <w:sz w:val="16"/>
          <w:szCs w:val="16"/>
          <w:color w:val="auto"/>
        </w:rPr>
        <w:t>(“ING”), as the administrative agent, collateral agent, and lender. The Credit Facility had an initial commitment of $30,000 with an accordion feature that allows for an increase in the total commitments up to $75,000, subject to certain conditions and the satisfaction of specified financial covenants. The Credit Facility is secured by certain portfolio investments held by the Company, but portfolio investments held by the Funds are not collateral for the Credit Facility. The stated maturity date for the Credit Facility is June 16, 2018, which may be extended by mutual agreement.</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December 19, 2014, FIC amended the Credit Facility to (i) increase the commitment from $30,000 to $50,000 until certain financial conditions are met and (ii) allow FIC to buy-back up to $10,000 of the Company’s common stock subject to the satisfaction of specified financial covenants and conditions. The Credit Facility continues to have an accordion feature which allows for an increase in the total commitment up to $75,000.</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Amounts available to borrow under the Credit Facility are subject to a minimum borrowing/collateral base that applies an advance rate to certain investments held by the Company.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the Credit Facility bear interest, subject to the Company’s election, on a per annum basis equal to (i) the alternate base rate plus 2.5% or</w:t>
      </w:r>
    </w:p>
    <w:p>
      <w:pPr>
        <w:spacing w:after="0" w:line="38" w:lineRule="exact"/>
        <w:rPr>
          <w:sz w:val="20"/>
          <w:szCs w:val="20"/>
          <w:color w:val="auto"/>
        </w:rPr>
      </w:pPr>
    </w:p>
    <w:p>
      <w:pPr>
        <w:jc w:val="both"/>
        <w:ind w:right="340" w:firstLine="8"/>
        <w:spacing w:after="0" w:line="255"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applicable LIBOR rate plus 3.5%. The alternate base rate is equal to the greater of (i) prime rate, (ii) the federal funds rate plus 0.5% or (iii) the three-month LIBOR rate plus 1.0%. The Company pays a commitment fee between 0.5% and 1.0% per annum based on the size of the unused portion of the Credit Facility.</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are subject to important limitations and exceptions that are described in the documents governing the Credit Facility. As of December 31, 2014, the Company was in compliance in all material respect with the terms of the Credit Facility.</w:t>
      </w:r>
    </w:p>
    <w:p>
      <w:pPr>
        <w:spacing w:after="0" w:line="132"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As of December 31, 2014 and 2013, the Company had outstanding borrowings under the Credit Facility of $10,000 and $0, respectively. For the years ended December 31, 2014, 2013 and 2012, interest and financing expenses related to the Credit Facility amounted to $325 and $0 and $0, respectively. As of December 31, 2014 and 2013, accrued interest and fees payable related to the Credit Facility totaled $97 and $0,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Under the SBA debenture program, the SBA commits to purchase debentures issued by SBICs and such debentures are guaranteed by the SBA. The SBA has made commitments to purchase $225,000 of SBA debentures from the Company on or before September 30, 2019. Unused commitments as of December 31, 2014 and 2013 were $51,500 and $30,500,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the Company’s issued and outstanding SBA debentures mature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1"/>
              </w:rPr>
              <w:t>Pooling Date(1)</w:t>
            </w:r>
          </w:p>
        </w:tc>
        <w:tc>
          <w:tcPr>
            <w:tcW w:w="42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Maturity</w:t>
            </w: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Fixed</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3"/>
        </w:trPr>
        <w:tc>
          <w:tcPr>
            <w:tcW w:w="960" w:type="dxa"/>
            <w:vAlign w:val="bottom"/>
            <w:tcBorders>
              <w:bottom w:val="single" w:sz="8" w:color="auto"/>
            </w:tcBorders>
            <w:vMerge w:val="continue"/>
          </w:tcPr>
          <w:p>
            <w:pPr>
              <w:spacing w:after="0"/>
              <w:rPr>
                <w:sz w:val="12"/>
                <w:szCs w:val="12"/>
                <w:color w:val="auto"/>
              </w:rPr>
            </w:pPr>
          </w:p>
        </w:tc>
        <w:tc>
          <w:tcPr>
            <w:tcW w:w="4260" w:type="dxa"/>
            <w:vAlign w:val="bottom"/>
          </w:tcPr>
          <w:p>
            <w:pPr>
              <w:spacing w:after="0"/>
              <w:rPr>
                <w:sz w:val="12"/>
                <w:szCs w:val="12"/>
                <w:color w:val="auto"/>
              </w:rPr>
            </w:pPr>
          </w:p>
        </w:tc>
        <w:tc>
          <w:tcPr>
            <w:tcW w:w="13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92"/>
              </w:rPr>
              <w:t>Date</w:t>
            </w:r>
          </w:p>
        </w:tc>
        <w:tc>
          <w:tcPr>
            <w:tcW w:w="14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Interest Rate</w:t>
            </w:r>
          </w:p>
        </w:tc>
        <w:tc>
          <w:tcPr>
            <w:tcW w:w="80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160" w:type="dxa"/>
            <w:vAlign w:val="bottom"/>
            <w:gridSpan w:val="2"/>
          </w:tcPr>
          <w:p>
            <w:pPr>
              <w:jc w:val="right"/>
              <w:ind w:right="179"/>
              <w:spacing w:after="0" w:line="14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3/26/2008</w:t>
            </w:r>
          </w:p>
        </w:tc>
        <w:tc>
          <w:tcPr>
            <w:tcW w:w="4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vMerge w:val="continue"/>
            <w:shd w:val="clear" w:color="auto" w:fill="CCEEFF"/>
          </w:tcPr>
          <w:p>
            <w:pPr>
              <w:spacing w:after="0"/>
              <w:rPr>
                <w:sz w:val="17"/>
                <w:szCs w:val="17"/>
                <w:color w:val="auto"/>
              </w:rPr>
            </w:pPr>
          </w:p>
        </w:tc>
        <w:tc>
          <w:tcPr>
            <w:tcW w:w="42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5"/>
              </w:rPr>
              <w:t>3/1/2018</w:t>
            </w:r>
          </w:p>
        </w:tc>
        <w:tc>
          <w:tcPr>
            <w:tcW w:w="680" w:type="dxa"/>
            <w:vAlign w:val="bottom"/>
            <w:vMerge w:val="continue"/>
            <w:shd w:val="clear" w:color="auto" w:fill="CCEEFF"/>
          </w:tcPr>
          <w:p>
            <w:pPr>
              <w:spacing w:after="0"/>
              <w:rPr>
                <w:sz w:val="17"/>
                <w:szCs w:val="17"/>
                <w:color w:val="auto"/>
              </w:rPr>
            </w:pPr>
          </w:p>
        </w:tc>
        <w:tc>
          <w:tcPr>
            <w:tcW w:w="148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6.188%</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24,750</w:t>
            </w:r>
          </w:p>
        </w:tc>
        <w:tc>
          <w:tcPr>
            <w:tcW w:w="3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24,750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9/24/2008</w:t>
            </w:r>
          </w:p>
        </w:tc>
        <w:tc>
          <w:tcPr>
            <w:tcW w:w="5620" w:type="dxa"/>
            <w:vAlign w:val="bottom"/>
            <w:gridSpan w:val="3"/>
          </w:tcPr>
          <w:p>
            <w:pPr>
              <w:ind w:left="4320"/>
              <w:spacing w:after="0"/>
              <w:rPr>
                <w:sz w:val="20"/>
                <w:szCs w:val="20"/>
                <w:color w:val="auto"/>
              </w:rPr>
            </w:pPr>
            <w:r>
              <w:rPr>
                <w:rFonts w:ascii="Arial" w:cs="Arial" w:eastAsia="Arial" w:hAnsi="Arial"/>
                <w:sz w:val="18"/>
                <w:szCs w:val="18"/>
                <w:color w:val="auto"/>
              </w:rPr>
              <w:t>9/1/2018</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6.442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11,950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3/25/2009</w:t>
            </w:r>
          </w:p>
        </w:tc>
        <w:tc>
          <w:tcPr>
            <w:tcW w:w="562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3/1/2019</w:t>
            </w: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5.337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9/23/2009</w:t>
            </w:r>
          </w:p>
        </w:tc>
        <w:tc>
          <w:tcPr>
            <w:tcW w:w="5620" w:type="dxa"/>
            <w:vAlign w:val="bottom"/>
            <w:gridSpan w:val="3"/>
          </w:tcPr>
          <w:p>
            <w:pPr>
              <w:ind w:left="4320"/>
              <w:spacing w:after="0"/>
              <w:rPr>
                <w:sz w:val="20"/>
                <w:szCs w:val="20"/>
                <w:color w:val="auto"/>
              </w:rPr>
            </w:pPr>
            <w:r>
              <w:rPr>
                <w:rFonts w:ascii="Arial" w:cs="Arial" w:eastAsia="Arial" w:hAnsi="Arial"/>
                <w:sz w:val="18"/>
                <w:szCs w:val="18"/>
                <w:color w:val="auto"/>
              </w:rPr>
              <w:t>9/1/2019</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4.950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3/24/2010</w:t>
            </w:r>
          </w:p>
        </w:tc>
        <w:tc>
          <w:tcPr>
            <w:tcW w:w="562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3/1/2020</w:t>
            </w: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4.825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9/22/2010</w:t>
            </w:r>
          </w:p>
        </w:tc>
        <w:tc>
          <w:tcPr>
            <w:tcW w:w="5620" w:type="dxa"/>
            <w:vAlign w:val="bottom"/>
            <w:gridSpan w:val="3"/>
          </w:tcPr>
          <w:p>
            <w:pPr>
              <w:ind w:left="4320"/>
              <w:spacing w:after="0"/>
              <w:rPr>
                <w:sz w:val="20"/>
                <w:szCs w:val="20"/>
                <w:color w:val="auto"/>
              </w:rPr>
            </w:pPr>
            <w:r>
              <w:rPr>
                <w:rFonts w:ascii="Arial" w:cs="Arial" w:eastAsia="Arial" w:hAnsi="Arial"/>
                <w:sz w:val="18"/>
                <w:szCs w:val="18"/>
                <w:color w:val="auto"/>
              </w:rPr>
              <w:t>9/1/2020</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3.932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3/29/2011</w:t>
            </w:r>
          </w:p>
        </w:tc>
        <w:tc>
          <w:tcPr>
            <w:tcW w:w="562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3/1/2021</w:t>
            </w: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4.801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9/21/2011</w:t>
            </w:r>
          </w:p>
        </w:tc>
        <w:tc>
          <w:tcPr>
            <w:tcW w:w="5620" w:type="dxa"/>
            <w:vAlign w:val="bottom"/>
            <w:gridSpan w:val="3"/>
          </w:tcPr>
          <w:p>
            <w:pPr>
              <w:ind w:left="4320"/>
              <w:spacing w:after="0"/>
              <w:rPr>
                <w:sz w:val="20"/>
                <w:szCs w:val="20"/>
                <w:color w:val="auto"/>
              </w:rPr>
            </w:pPr>
            <w:r>
              <w:rPr>
                <w:rFonts w:ascii="Arial" w:cs="Arial" w:eastAsia="Arial" w:hAnsi="Arial"/>
                <w:sz w:val="18"/>
                <w:szCs w:val="18"/>
                <w:color w:val="auto"/>
              </w:rPr>
              <w:t>9/1/2021</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3.594</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3,250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3/21/2012</w:t>
            </w:r>
          </w:p>
        </w:tc>
        <w:tc>
          <w:tcPr>
            <w:tcW w:w="562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3/1/2022</w:t>
            </w: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3.483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3/21/2012</w:t>
            </w:r>
          </w:p>
        </w:tc>
        <w:tc>
          <w:tcPr>
            <w:tcW w:w="5620" w:type="dxa"/>
            <w:vAlign w:val="bottom"/>
            <w:gridSpan w:val="3"/>
          </w:tcPr>
          <w:p>
            <w:pPr>
              <w:ind w:left="4320"/>
              <w:spacing w:after="0"/>
              <w:rPr>
                <w:sz w:val="20"/>
                <w:szCs w:val="20"/>
                <w:color w:val="auto"/>
              </w:rPr>
            </w:pPr>
            <w:r>
              <w:rPr>
                <w:rFonts w:ascii="Arial" w:cs="Arial" w:eastAsia="Arial" w:hAnsi="Arial"/>
                <w:sz w:val="18"/>
                <w:szCs w:val="18"/>
                <w:color w:val="auto"/>
              </w:rPr>
              <w:t>3/1/2022</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3.051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9/19/2012</w:t>
            </w:r>
          </w:p>
        </w:tc>
        <w:tc>
          <w:tcPr>
            <w:tcW w:w="562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9/1/2022</w:t>
            </w: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2.530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9/19/2012</w:t>
            </w:r>
          </w:p>
        </w:tc>
        <w:tc>
          <w:tcPr>
            <w:tcW w:w="5620" w:type="dxa"/>
            <w:vAlign w:val="bottom"/>
            <w:gridSpan w:val="3"/>
          </w:tcPr>
          <w:p>
            <w:pPr>
              <w:ind w:left="4320"/>
              <w:spacing w:after="0"/>
              <w:rPr>
                <w:sz w:val="20"/>
                <w:szCs w:val="20"/>
                <w:color w:val="auto"/>
              </w:rPr>
            </w:pPr>
            <w:r>
              <w:rPr>
                <w:rFonts w:ascii="Arial" w:cs="Arial" w:eastAsia="Arial" w:hAnsi="Arial"/>
                <w:sz w:val="18"/>
                <w:szCs w:val="18"/>
                <w:color w:val="auto"/>
              </w:rPr>
              <w:t>9/1/2022</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3.049</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3/27/2013</w:t>
            </w:r>
          </w:p>
        </w:tc>
        <w:tc>
          <w:tcPr>
            <w:tcW w:w="562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3/1/2023</w:t>
            </w: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3.155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9/24/2014</w:t>
            </w:r>
          </w:p>
        </w:tc>
        <w:tc>
          <w:tcPr>
            <w:tcW w:w="5620" w:type="dxa"/>
            <w:vAlign w:val="bottom"/>
            <w:gridSpan w:val="3"/>
          </w:tcPr>
          <w:p>
            <w:pPr>
              <w:ind w:left="4320"/>
              <w:spacing w:after="0"/>
              <w:rPr>
                <w:sz w:val="20"/>
                <w:szCs w:val="20"/>
                <w:color w:val="auto"/>
              </w:rPr>
            </w:pPr>
            <w:r>
              <w:rPr>
                <w:rFonts w:ascii="Arial" w:cs="Arial" w:eastAsia="Arial" w:hAnsi="Arial"/>
                <w:sz w:val="18"/>
                <w:szCs w:val="18"/>
                <w:color w:val="auto"/>
              </w:rPr>
              <w:t>9/1/2024</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3.775</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7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6,000</w:t>
            </w:r>
          </w:p>
        </w:tc>
        <w:tc>
          <w:tcPr>
            <w:tcW w:w="36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auto"/>
                <w:w w:val="90"/>
              </w:rPr>
              <w:t>(2)</w:t>
            </w:r>
          </w:p>
        </w:tc>
        <w:tc>
          <w:tcPr>
            <w:tcW w:w="5880" w:type="dxa"/>
            <w:vAlign w:val="bottom"/>
          </w:tcPr>
          <w:p>
            <w:pPr>
              <w:jc w:val="right"/>
              <w:ind w:right="532"/>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173,500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144,500</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ind w:left="460" w:right="220" w:hanging="452"/>
        <w:spacing w:after="0" w:line="261"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issued $28,000 in SBA debentures which pool in March 2015, at which time the Company expects the current short-term interest rate will reset to a higher long-term fixed rate.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on SBA debentures is payable semi-annually on March 1 and September 1. For the years ended December 31, 2014, 2013 and 2012, interest and financing expenses on outstanding SBA debentures amounted to $7,182 and $7,076 and $6,422, respectively. As of December 31, 2014 and 2013, accrued interest and fees payable related to the SBA debentures totaled $2,756 and $2,198,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 of operations using the straight-line method, which approximates the effective interest method, over the term of the respective financing instrument. Deferred financing cost amortization for the years ended December 31, 2014 and 2013 was $682 and $512, respectively. Deferred financing costs related to the Credit Facility and SBA debentures as of December 31, 2014 and 2013, were as follows: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5"/>
              </w:rPr>
              <w:t>December 31,</w:t>
            </w:r>
          </w:p>
        </w:tc>
        <w:tc>
          <w:tcPr>
            <w:tcW w:w="13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SBA debenture commitment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000" w:type="dxa"/>
            <w:vAlign w:val="bottom"/>
          </w:tcPr>
          <w:p>
            <w:pPr>
              <w:ind w:left="44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8"/>
                <w:szCs w:val="18"/>
                <w:color w:val="auto"/>
              </w:rPr>
              <w:t>Net deferred financing costs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4,567</w:t>
            </w:r>
          </w:p>
        </w:tc>
        <w:tc>
          <w:tcPr>
            <w:tcW w:w="500" w:type="dxa"/>
            <w:vAlign w:val="bottom"/>
          </w:tcPr>
          <w:p>
            <w:pPr>
              <w:spacing w:after="0"/>
              <w:rPr>
                <w:sz w:val="19"/>
                <w:szCs w:val="19"/>
                <w:color w:val="auto"/>
              </w:rPr>
            </w:pPr>
          </w:p>
        </w:tc>
        <w:tc>
          <w:tcPr>
            <w:tcW w:w="6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weighted average interest rate for all SBA debentures and borrowings outstanding under the Credit Facility, if applicable, as of December 31, 2014 and 2013 was 4.0% and 4.6%,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As of December 31, 2014, the Company had five unfunded revolving loan commitments totaling $4,064 to portfolio companies and two</w:t>
      </w:r>
      <w:r>
        <w:rPr>
          <w:rFonts w:ascii="Arial" w:cs="Arial" w:eastAsia="Arial" w:hAnsi="Arial"/>
          <w:sz w:val="16"/>
          <w:szCs w:val="16"/>
          <w:i w:val="1"/>
          <w:iCs w:val="1"/>
          <w:color w:val="auto"/>
        </w:rPr>
        <w:t xml:space="preserve"> </w:t>
      </w:r>
      <w:r>
        <w:rPr>
          <w:rFonts w:ascii="Arial" w:cs="Arial" w:eastAsia="Arial" w:hAnsi="Arial"/>
          <w:sz w:val="16"/>
          <w:szCs w:val="16"/>
          <w:color w:val="auto"/>
        </w:rPr>
        <w:t>unfunded loan commitments totaling $5,426 to a portfolio company. As of December 31, 2013, the Company had two unfunded revolving loan commitments totaling $1,500, two unfunded loan commitments totaling $4,589 to portfolio companies and one unfunded capital commitment of $308 related to a portfolio company. The commitments are generally subject to the borrowers meeting certain criteria such as compliance with financial and nonfinancial covenants. Since commitments may expire without being drawn upon, the total commitment amount does not necessarily represent future cash requirements.</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the normal course of business, the Company may be subject to legal and regulatory proceedings that are generally incidental to its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operations. While the outcome of these legal proceedings cannot be predicted with certainty, the Company does not believe these proceedings will have a material adverse effect on the Company’s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years ended December 31, 2014, 2013, 2012,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2010 </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60" w:type="dxa"/>
            <w:vAlign w:val="bottom"/>
          </w:tcPr>
          <w:p>
            <w:pPr>
              <w:ind w:left="440"/>
              <w:spacing w:after="0"/>
              <w:rPr>
                <w:sz w:val="20"/>
                <w:szCs w:val="20"/>
                <w:color w:val="auto"/>
              </w:rPr>
            </w:pPr>
            <w:r>
              <w:rPr>
                <w:rFonts w:ascii="Arial" w:cs="Arial" w:eastAsia="Arial" w:hAnsi="Arial"/>
                <w:sz w:val="18"/>
                <w:szCs w:val="18"/>
                <w:color w:val="auto"/>
              </w:rPr>
              <w:t>Net asset value at beginning of period</w:t>
            </w:r>
            <w:r>
              <w:rPr>
                <w:rFonts w:ascii="Arial" w:cs="Arial" w:eastAsia="Arial" w:hAnsi="Arial"/>
                <w:sz w:val="11"/>
                <w:szCs w:val="11"/>
                <w:color w:val="auto"/>
              </w:rPr>
              <w:t>(2)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15.35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14.90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13.33</w:t>
            </w:r>
          </w:p>
        </w:tc>
        <w:tc>
          <w:tcPr>
            <w:tcW w:w="2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4060" w:type="dxa"/>
            <w:vAlign w:val="bottom"/>
          </w:tcPr>
          <w:p>
            <w:pPr>
              <w:ind w:left="440"/>
              <w:spacing w:after="0"/>
              <w:rPr>
                <w:sz w:val="20"/>
                <w:szCs w:val="20"/>
                <w:color w:val="auto"/>
              </w:rPr>
            </w:pPr>
            <w:r>
              <w:rPr>
                <w:rFonts w:ascii="Arial" w:cs="Arial" w:eastAsia="Arial" w:hAnsi="Arial"/>
                <w:sz w:val="18"/>
                <w:szCs w:val="18"/>
                <w:color w:val="auto"/>
                <w:w w:val="98"/>
              </w:rPr>
              <w:t>Net realized gain (loss) on investments (net 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660"/>
              <w:spacing w:after="0"/>
              <w:rPr>
                <w:sz w:val="20"/>
                <w:szCs w:val="20"/>
                <w:color w:val="auto"/>
              </w:rPr>
            </w:pPr>
            <w:r>
              <w:rPr>
                <w:rFonts w:ascii="Arial" w:cs="Arial" w:eastAsia="Arial" w:hAnsi="Arial"/>
                <w:sz w:val="18"/>
                <w:szCs w:val="18"/>
                <w:color w:val="auto"/>
              </w:rPr>
              <w:t>taxes)</w:t>
            </w:r>
            <w:r>
              <w:rPr>
                <w:rFonts w:ascii="Arial" w:cs="Arial" w:eastAsia="Arial" w:hAnsi="Arial"/>
                <w:sz w:val="11"/>
                <w:szCs w:val="11"/>
                <w:color w:val="auto"/>
              </w:rPr>
              <w:t>(3)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(depreciation) appreciation 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investments</w:t>
            </w:r>
            <w:r>
              <w:rPr>
                <w:rFonts w:ascii="Arial" w:cs="Arial" w:eastAsia="Arial" w:hAnsi="Arial"/>
                <w:sz w:val="11"/>
                <w:szCs w:val="11"/>
                <w:color w:val="auto"/>
              </w:rPr>
              <w:t>(3)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440"/>
              <w:spacing w:after="0"/>
              <w:rPr>
                <w:sz w:val="20"/>
                <w:szCs w:val="20"/>
                <w:color w:val="auto"/>
              </w:rPr>
            </w:pPr>
            <w:r>
              <w:rPr>
                <w:rFonts w:ascii="Arial" w:cs="Arial" w:eastAsia="Arial" w:hAnsi="Arial"/>
                <w:sz w:val="18"/>
                <w:szCs w:val="18"/>
                <w:color w:val="auto"/>
              </w:rPr>
              <w:t>Total increase from investment operations</w:t>
            </w:r>
            <w:r>
              <w:rPr>
                <w:rFonts w:ascii="Arial" w:cs="Arial" w:eastAsia="Arial" w:hAnsi="Arial"/>
                <w:sz w:val="11"/>
                <w:szCs w:val="11"/>
                <w:color w:val="auto"/>
              </w:rPr>
              <w:t>(3)</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contributions from partners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Capital distributions to partners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Accretive effect of share issuance above NAV</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Dividends to stockholders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(0.64)</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 on deemed distribution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 value at end of period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440"/>
              <w:spacing w:after="0"/>
              <w:rPr>
                <w:sz w:val="20"/>
                <w:szCs w:val="20"/>
                <w:color w:val="auto"/>
              </w:rPr>
            </w:pPr>
            <w:r>
              <w:rPr>
                <w:rFonts w:ascii="Arial" w:cs="Arial" w:eastAsia="Arial" w:hAnsi="Arial"/>
                <w:sz w:val="18"/>
                <w:szCs w:val="18"/>
                <w:color w:val="auto"/>
              </w:rPr>
              <w:t>Market value at end of period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14.85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21.74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16.45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12.97</w:t>
            </w:r>
          </w:p>
        </w:tc>
        <w:tc>
          <w:tcPr>
            <w:tcW w:w="2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16,051,037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13,755,232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11,953,847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9,427,021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Weighted average shares outstanding during the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period</w:t>
            </w:r>
            <w:r>
              <w:rPr>
                <w:rFonts w:ascii="Arial" w:cs="Arial" w:eastAsia="Arial" w:hAnsi="Arial"/>
                <w:sz w:val="11"/>
                <w:szCs w:val="11"/>
                <w:color w:val="auto"/>
              </w:rPr>
              <w:t>(2)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14,346,438</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13,524,368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10,185,627</w:t>
            </w: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9,427,021</w:t>
            </w: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Ratios to average net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Expenses other than incentive fee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Incentive fee</w:t>
            </w:r>
            <w:r>
              <w:rPr>
                <w:rFonts w:ascii="Arial" w:cs="Arial" w:eastAsia="Arial" w:hAnsi="Arial"/>
                <w:sz w:val="11"/>
                <w:szCs w:val="11"/>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440"/>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243,263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211,125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140,482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$52,005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152,700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144,500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126,050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97,050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$89,760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r>
              <w:rPr>
                <w:rFonts w:ascii="Arial" w:cs="Arial" w:eastAsia="Arial" w:hAnsi="Arial"/>
                <w:sz w:val="11"/>
                <w:szCs w:val="11"/>
                <w:color w:val="auto"/>
              </w:rPr>
              <w:t>(2) (3)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60" w:hanging="452"/>
        <w:spacing w:after="0" w:line="332"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Per share data and shares outstanding at end of period for the year ended December 31, 2010 is not presented as there were no shares of the Company outstanding during the period. The ratios to average net assets and total return represent the amounts for the limited partners only.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jc w:val="both"/>
        <w:ind w:left="460" w:right="100" w:hanging="452"/>
        <w:spacing w:after="0" w:line="253"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asset value per share as of January 1, 2011, weighted average shares outstanding and average debt per share for the year ended December 31, 2011 are presented as if the IPO (including the over-allotment) and Formation Transactions had occurred on January 1, 2011. See Note 2 for a further description of the basis of presentation of the Company’s consolidated financial statements.</w:t>
      </w: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9" w:lineRule="exact"/>
        <w:rPr>
          <w:rFonts w:ascii="Arial" w:cs="Arial" w:eastAsia="Arial" w:hAnsi="Arial"/>
          <w:sz w:val="18"/>
          <w:szCs w:val="18"/>
          <w:color w:val="auto"/>
        </w:rPr>
      </w:pPr>
    </w:p>
    <w:p>
      <w:pPr>
        <w:ind w:left="460" w:right="500" w:hanging="452"/>
        <w:spacing w:after="0" w:line="300"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w:t>
      </w:r>
    </w:p>
    <w:p>
      <w:pPr>
        <w:ind w:left="460" w:right="24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Investment Advisor voluntarily waived $83 of incentive fees for the period June 21, 2011 through June 30, 2011. Incentive fee for the period July 1, 2011 through December 31, 2011 is not annualized.</w:t>
      </w:r>
    </w:p>
    <w:p>
      <w:pPr>
        <w:ind w:left="460" w:right="140" w:hanging="452"/>
        <w:spacing w:after="0" w:line="292"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total return for the years ended December 31, 2014, 2013 and 2012 equals the change in the market value of the Company’s common stock per share during the period plus dividends paid per share during the period, divided by the market value per share at the beginning of the period. The total return for the year ended December 31, 2011 equals the change in the market value at the end of the period of the Company’s common stock from the IPO price of $15.00 per share plus dividends paid per share during the period, divided by the IPO price and is not annualized. Total return for the year ended December 31, 2010 equals the net increase (decrease) in net asset resulting from operations during the period divided by average net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Dividends and Distributions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years ended December 31, 2014,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DRIP</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58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Payment</w:t>
            </w: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Cash</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76"/>
              </w:rPr>
              <w:t>Shares</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0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Record Date</w:t>
            </w:r>
          </w:p>
        </w:tc>
        <w:tc>
          <w:tcPr>
            <w:tcW w:w="11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Date</w:t>
            </w:r>
          </w:p>
        </w:tc>
        <w:tc>
          <w:tcPr>
            <w:tcW w:w="1100" w:type="dxa"/>
            <w:vAlign w:val="bottom"/>
            <w:gridSpan w:val="3"/>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Per Share</w:t>
            </w:r>
          </w:p>
        </w:tc>
        <w:tc>
          <w:tcPr>
            <w:tcW w:w="1100" w:type="dxa"/>
            <w:vAlign w:val="bottom"/>
            <w:gridSpan w:val="3"/>
          </w:tcPr>
          <w:p>
            <w:pPr>
              <w:jc w:val="right"/>
              <w:ind w:right="360"/>
              <w:spacing w:after="0" w:line="148" w:lineRule="exact"/>
              <w:rPr>
                <w:sz w:val="20"/>
                <w:szCs w:val="20"/>
                <w:color w:val="auto"/>
              </w:rPr>
            </w:pPr>
            <w:r>
              <w:rPr>
                <w:rFonts w:ascii="Arial" w:cs="Arial" w:eastAsia="Arial" w:hAnsi="Arial"/>
                <w:sz w:val="14"/>
                <w:szCs w:val="14"/>
                <w:b w:val="1"/>
                <w:bCs w:val="1"/>
                <w:color w:val="auto"/>
                <w:w w:val="91"/>
              </w:rPr>
              <w:t>Distribution</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Issued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2012:</w:t>
            </w: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2/10/2012</w:t>
            </w:r>
          </w:p>
        </w:tc>
        <w:tc>
          <w:tcPr>
            <w:tcW w:w="45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3/14/2012</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3/28/2012</w:t>
            </w:r>
          </w:p>
        </w:tc>
        <w:tc>
          <w:tcPr>
            <w:tcW w:w="2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0.34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3,205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4/30/2012</w:t>
            </w:r>
          </w:p>
        </w:tc>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6/13/2012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6/27/2012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7/31/2012</w:t>
            </w:r>
          </w:p>
        </w:tc>
        <w:tc>
          <w:tcPr>
            <w:tcW w:w="45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9/11/2012</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9/25/2012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4,010</w:t>
            </w:r>
          </w:p>
        </w:tc>
        <w:tc>
          <w:tcPr>
            <w:tcW w:w="600" w:type="dxa"/>
            <w:vAlign w:val="bottom"/>
          </w:tcPr>
          <w:p>
            <w:pPr>
              <w:jc w:val="right"/>
              <w:spacing w:after="0"/>
              <w:rPr>
                <w:sz w:val="20"/>
                <w:szCs w:val="20"/>
                <w:color w:val="auto"/>
              </w:rPr>
            </w:pPr>
            <w:r>
              <w:rPr>
                <w:rFonts w:ascii="Arial" w:cs="Arial" w:eastAsia="Arial" w:hAnsi="Arial"/>
                <w:sz w:val="18"/>
                <w:szCs w:val="18"/>
                <w:color w:val="auto"/>
              </w:rPr>
              <w:t>30,563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5"/>
              </w:rPr>
              <w:t>10/29/2012</w:t>
            </w:r>
          </w:p>
        </w:tc>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12/7/2012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12/21/2012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14,754</w:t>
            </w:r>
          </w:p>
        </w:tc>
        <w:tc>
          <w:tcPr>
            <w:tcW w:w="600" w:type="dxa"/>
            <w:vAlign w:val="bottom"/>
          </w:tcPr>
          <w:p>
            <w:pPr>
              <w:jc w:val="right"/>
              <w:spacing w:after="0"/>
              <w:rPr>
                <w:sz w:val="20"/>
                <w:szCs w:val="20"/>
                <w:color w:val="auto"/>
              </w:rPr>
            </w:pPr>
            <w:r>
              <w:rPr>
                <w:rFonts w:ascii="Arial" w:cs="Arial" w:eastAsia="Arial" w:hAnsi="Arial"/>
                <w:sz w:val="18"/>
                <w:szCs w:val="18"/>
                <w:color w:val="auto"/>
              </w:rPr>
              <w:t>54,326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2013:</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2/22/2013</w:t>
            </w:r>
          </w:p>
        </w:tc>
        <w:tc>
          <w:tcPr>
            <w:tcW w:w="45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3/14/2013</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3/28/2013</w:t>
            </w:r>
          </w:p>
        </w:tc>
        <w:tc>
          <w:tcPr>
            <w:tcW w:w="2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4,822</w:t>
            </w:r>
          </w:p>
        </w:tc>
        <w:tc>
          <w:tcPr>
            <w:tcW w:w="600" w:type="dxa"/>
            <w:vAlign w:val="bottom"/>
          </w:tcPr>
          <w:p>
            <w:pPr>
              <w:jc w:val="right"/>
              <w:spacing w:after="0"/>
              <w:rPr>
                <w:sz w:val="20"/>
                <w:szCs w:val="20"/>
                <w:color w:val="auto"/>
              </w:rPr>
            </w:pPr>
            <w:r>
              <w:rPr>
                <w:rFonts w:ascii="Arial" w:cs="Arial" w:eastAsia="Arial" w:hAnsi="Arial"/>
                <w:sz w:val="18"/>
                <w:szCs w:val="18"/>
                <w:color w:val="auto"/>
              </w:rPr>
              <w:t>20,501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5/1/2013</w:t>
            </w:r>
          </w:p>
        </w:tc>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6/12/2013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6/26/2013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7/31/2013</w:t>
            </w:r>
          </w:p>
        </w:tc>
        <w:tc>
          <w:tcPr>
            <w:tcW w:w="45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9/12/2013</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9/26/2013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4,902</w:t>
            </w:r>
          </w:p>
        </w:tc>
        <w:tc>
          <w:tcPr>
            <w:tcW w:w="600" w:type="dxa"/>
            <w:vAlign w:val="bottom"/>
          </w:tcPr>
          <w:p>
            <w:pPr>
              <w:jc w:val="right"/>
              <w:spacing w:after="0"/>
              <w:rPr>
                <w:sz w:val="20"/>
                <w:szCs w:val="20"/>
                <w:color w:val="auto"/>
              </w:rPr>
            </w:pPr>
            <w:r>
              <w:rPr>
                <w:rFonts w:ascii="Arial" w:cs="Arial" w:eastAsia="Arial" w:hAnsi="Arial"/>
                <w:sz w:val="18"/>
                <w:szCs w:val="18"/>
                <w:color w:val="auto"/>
              </w:rPr>
              <w:t>15,899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1"/>
              </w:rPr>
              <w:t>7/31/2013</w:t>
            </w:r>
            <w:r>
              <w:rPr>
                <w:rFonts w:ascii="Arial" w:cs="Arial" w:eastAsia="Arial" w:hAnsi="Arial"/>
                <w:sz w:val="11"/>
                <w:szCs w:val="11"/>
                <w:color w:val="auto"/>
                <w:w w:val="91"/>
              </w:rPr>
              <w:t>(1)</w:t>
            </w:r>
          </w:p>
        </w:tc>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9/12/2013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9/26/2013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11/4/2013</w:t>
            </w:r>
          </w:p>
        </w:tc>
        <w:tc>
          <w:tcPr>
            <w:tcW w:w="458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12/6/2013</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12/20/2013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5,003</w:t>
            </w:r>
          </w:p>
        </w:tc>
        <w:tc>
          <w:tcPr>
            <w:tcW w:w="600" w:type="dxa"/>
            <w:vAlign w:val="bottom"/>
          </w:tcPr>
          <w:p>
            <w:pPr>
              <w:jc w:val="right"/>
              <w:spacing w:after="0"/>
              <w:rPr>
                <w:sz w:val="20"/>
                <w:szCs w:val="20"/>
                <w:color w:val="auto"/>
              </w:rPr>
            </w:pPr>
            <w:r>
              <w:rPr>
                <w:rFonts w:ascii="Arial" w:cs="Arial" w:eastAsia="Arial" w:hAnsi="Arial"/>
                <w:sz w:val="18"/>
                <w:szCs w:val="18"/>
                <w:color w:val="auto"/>
              </w:rPr>
              <w:t>10,448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1"/>
              </w:rPr>
              <w:t>11/4/2013</w:t>
            </w:r>
            <w:r>
              <w:rPr>
                <w:rFonts w:ascii="Arial" w:cs="Arial" w:eastAsia="Arial" w:hAnsi="Arial"/>
                <w:sz w:val="11"/>
                <w:szCs w:val="11"/>
                <w:color w:val="auto"/>
                <w:w w:val="91"/>
              </w:rPr>
              <w:t>(2)</w:t>
            </w:r>
          </w:p>
        </w:tc>
        <w:tc>
          <w:tcPr>
            <w:tcW w:w="458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12/6/2013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12/20/2013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25,139</w:t>
            </w:r>
          </w:p>
        </w:tc>
        <w:tc>
          <w:tcPr>
            <w:tcW w:w="600" w:type="dxa"/>
            <w:vAlign w:val="bottom"/>
          </w:tcPr>
          <w:p>
            <w:pPr>
              <w:jc w:val="right"/>
              <w:spacing w:after="0"/>
              <w:rPr>
                <w:sz w:val="20"/>
                <w:szCs w:val="20"/>
                <w:color w:val="auto"/>
              </w:rPr>
            </w:pPr>
            <w:r>
              <w:rPr>
                <w:rFonts w:ascii="Arial" w:cs="Arial" w:eastAsia="Arial" w:hAnsi="Arial"/>
                <w:sz w:val="18"/>
                <w:szCs w:val="18"/>
                <w:color w:val="auto"/>
              </w:rPr>
              <w:t>76,385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F-34</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DRIP</w:t>
            </w: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700" w:type="dxa"/>
            <w:vAlign w:val="bottom"/>
            <w:gridSpan w:val="2"/>
            <w:vMerge w:val="restart"/>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Payment</w:t>
            </w: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9"/>
              </w:rPr>
              <w:t>Cash</w:t>
            </w:r>
          </w:p>
        </w:tc>
        <w:tc>
          <w:tcPr>
            <w:tcW w:w="3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700" w:type="dxa"/>
            <w:vAlign w:val="bottom"/>
            <w:gridSpan w:val="2"/>
            <w:vMerge w:val="continue"/>
          </w:tcPr>
          <w:p>
            <w:pPr>
              <w:spacing w:after="0"/>
              <w:rPr>
                <w:sz w:val="14"/>
                <w:szCs w:val="14"/>
                <w:color w:val="auto"/>
              </w:rPr>
            </w:pPr>
          </w:p>
        </w:tc>
        <w:tc>
          <w:tcPr>
            <w:tcW w:w="11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Record Date</w:t>
            </w:r>
          </w:p>
        </w:tc>
        <w:tc>
          <w:tcPr>
            <w:tcW w:w="10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8"/>
              </w:rPr>
              <w:t>Per Share</w:t>
            </w:r>
          </w:p>
        </w:tc>
        <w:tc>
          <w:tcPr>
            <w:tcW w:w="300" w:type="dxa"/>
            <w:vAlign w:val="bottom"/>
          </w:tcPr>
          <w:p>
            <w:pPr>
              <w:spacing w:after="0"/>
              <w:rPr>
                <w:sz w:val="14"/>
                <w:szCs w:val="14"/>
                <w:color w:val="auto"/>
              </w:rPr>
            </w:pPr>
          </w:p>
        </w:tc>
        <w:tc>
          <w:tcPr>
            <w:tcW w:w="7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1"/>
              </w:rPr>
              <w:t>Distribution</w:t>
            </w:r>
          </w:p>
        </w:tc>
        <w:tc>
          <w:tcPr>
            <w:tcW w:w="300" w:type="dxa"/>
            <w:vAlign w:val="bottom"/>
          </w:tcPr>
          <w:p>
            <w:pPr>
              <w:spacing w:after="0"/>
              <w:rPr>
                <w:sz w:val="14"/>
                <w:szCs w:val="14"/>
                <w:color w:val="auto"/>
              </w:rPr>
            </w:pPr>
          </w:p>
        </w:tc>
        <w:tc>
          <w:tcPr>
            <w:tcW w:w="9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1"/>
              </w:rPr>
              <w:t>Issued</w:t>
            </w:r>
          </w:p>
        </w:tc>
        <w:tc>
          <w:tcPr>
            <w:tcW w:w="56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5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2014:</w:t>
            </w: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2/18/2014</w:t>
            </w:r>
          </w:p>
        </w:tc>
        <w:tc>
          <w:tcPr>
            <w:tcW w:w="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3/21/2014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3/31/2014</w:t>
            </w:r>
          </w:p>
        </w:tc>
        <w:tc>
          <w:tcPr>
            <w:tcW w:w="160" w:type="dxa"/>
            <w:vAlign w:val="bottom"/>
          </w:tcPr>
          <w:p>
            <w:pPr>
              <w:spacing w:after="0"/>
              <w:rPr>
                <w:sz w:val="18"/>
                <w:szCs w:val="18"/>
                <w:color w:val="auto"/>
              </w:rPr>
            </w:pP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0.38</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5,028</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10,410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5/5/2014</w:t>
            </w:r>
          </w:p>
        </w:tc>
        <w:tc>
          <w:tcPr>
            <w:tcW w:w="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6/13/2014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6/27/2014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9,459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5/5/2014</w:t>
            </w:r>
            <w:r>
              <w:rPr>
                <w:rFonts w:ascii="Arial" w:cs="Arial" w:eastAsia="Arial" w:hAnsi="Arial"/>
                <w:sz w:val="11"/>
                <w:szCs w:val="11"/>
                <w:color w:val="auto"/>
              </w:rPr>
              <w:t>(3)</w:t>
            </w:r>
          </w:p>
        </w:tc>
        <w:tc>
          <w:tcPr>
            <w:tcW w:w="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7/25/2014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7/31/2014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5/5/2014</w:t>
            </w:r>
            <w:r>
              <w:rPr>
                <w:rFonts w:ascii="Arial" w:cs="Arial" w:eastAsia="Arial" w:hAnsi="Arial"/>
                <w:sz w:val="11"/>
                <w:szCs w:val="11"/>
                <w:color w:val="auto"/>
              </w:rPr>
              <w:t>(4)</w:t>
            </w:r>
          </w:p>
        </w:tc>
        <w:tc>
          <w:tcPr>
            <w:tcW w:w="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8/25/2014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8/29/2014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8/5/2014</w:t>
            </w:r>
          </w:p>
        </w:tc>
        <w:tc>
          <w:tcPr>
            <w:tcW w:w="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9/12/2014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9/26/2014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5,095</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11/4/2014</w:t>
            </w:r>
          </w:p>
        </w:tc>
        <w:tc>
          <w:tcPr>
            <w:tcW w:w="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12/5/2014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12/19/2014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1"/>
              </w:rPr>
              <w:t>11/4/2014</w:t>
            </w:r>
            <w:r>
              <w:rPr>
                <w:rFonts w:ascii="Arial" w:cs="Arial" w:eastAsia="Arial" w:hAnsi="Arial"/>
                <w:sz w:val="11"/>
                <w:szCs w:val="11"/>
                <w:color w:val="auto"/>
                <w:w w:val="91"/>
              </w:rPr>
              <w:t>(5)</w:t>
            </w:r>
          </w:p>
        </w:tc>
        <w:tc>
          <w:tcPr>
            <w:tcW w:w="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12/5/2014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12/19/2014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1,543</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54,038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Special dividend of $0.04 per share.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Special dividend of $0.38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Special dividend of $0.05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Special dividend of $0.05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Special dividend of $0.10 per share.</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 year ended December 31, 2014, $935 of the total $24,824 paid to stockholders represented DRIP participation. During this period, the Company satisfied the DRIP participation requirements with the issuance of 54,038 shares at an average value of $17.30 per share at the date of issuance. For the year ended December 31, 2013, $1,464 of the total $26,603 paid to stockholders represented DRIP participation. During this period, the Company satisfied the DRIP participation requirements with the issuance of 76,385 shares at an average value of $19.18 per share at the date of issuance. For the year ended December 31, 2012, $2,091 of the total $15,654 paid to stockholders represented DRIP participation. During this period, the Company satisfied the DRIP participation requirements with the purchase of 83,225 shares of common stock in the open market at an average price of $14.31 per share and the issuance of 54,326 shares at an average value of $16.58 per share at the date of issuance.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the Company’s IPO, dividends and distributions to stockholders total $73,114 or $5.76 per share.</w:t>
      </w:r>
    </w:p>
    <w:p>
      <w:pPr>
        <w:spacing w:after="0" w:line="17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In addition, during 2013 the Company designated $8,250, or approximately $0.60 per share, of the net long-term capital gains as a “deemed distribution” to stockholders of record as of December 31, 2013. The Company incurred $2,887, or $0.21 per share, of U.S. federal income taxes on behalf of stockholders related to this deemed distribution. See Note 10 for further discussion regarding deemed distributions. There were no deemed distributions during the years 2012 or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has elected to be treated for federal income tax purposes as a RIC, whereby the Company generally will not pay corporate-level federal income taxes on any net ordinary income or capital gains that the Company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later of the filing of the federal income tax return for the prior year or the 15th day of the 9th month following the prior tax year. Such taxable income carried forward to the next tax year will be subject to excise tax equal to 4% of the amount by which (i) 98% of the Company’s ordinary income recognized during a calendar year and (ii) 98.2% of the Company’s long term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capital gains, as defined by Subchapter M of the Code, recognized for the one year period ending October 31</w:t>
      </w:r>
      <w:r>
        <w:rPr>
          <w:rFonts w:ascii="Arial" w:cs="Arial" w:eastAsia="Arial" w:hAnsi="Arial"/>
          <w:sz w:val="11"/>
          <w:szCs w:val="11"/>
          <w:color w:val="auto"/>
        </w:rPr>
        <w:t>st</w:t>
      </w:r>
      <w:r>
        <w:rPr>
          <w:rFonts w:ascii="Arial" w:cs="Arial" w:eastAsia="Arial" w:hAnsi="Arial"/>
          <w:sz w:val="18"/>
          <w:szCs w:val="18"/>
          <w:color w:val="auto"/>
        </w:rPr>
        <w:t xml:space="preserve"> of a calendar year exceeds the respective distributions for the year. For the years ended December 31, 2014, 2013 and 2012, the excise tax provision (benefit) was $340, $348 and $(15), respectively. Excise tax is included as a component of income tax provision and income tax (provision) on realized gains on investments, depending on the character of the underlying taxable income, on the consolidated statements of operations.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are to permit the Company to hold equity investments in portfolio companies which are “pass through” entities for federal income tax purposes in order to comply with the “source-of-income” requirements contained in the RIC tax provisions of Subchapter M of the Code. The Taxable Subsidiaries are not consolidated for federal income tax purposes and may generate income tax expense or income tax benefit as a result of their ownership of various portfolio investments. The Company classifies interest and penalties, if any, as a component of income tax provision on the consolidated statements of operations. For the years ended December 31, 2014, 2013 and 2012, income tax expense at the taxable subsidiaries was $28, $391, and $19, respectively. Income tax expense is included as a component of the income tax provisions on the consolidated statements of operations.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Listed below is a reconciliation of net increase in net assets resulting from operations on the consolidated statements of operations to taxable income and to total distributions declared to common stockholders for the years ended December 31, 2014, 2013 and 2012.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w w:val="79"/>
              </w:rPr>
              <w:t xml:space="preserve">2014 </w:t>
            </w:r>
            <w:r>
              <w:rPr>
                <w:rFonts w:ascii="Arial" w:cs="Arial" w:eastAsia="Arial" w:hAnsi="Arial"/>
                <w:sz w:val="22"/>
                <w:szCs w:val="22"/>
                <w:b w:val="1"/>
                <w:bCs w:val="1"/>
                <w:color w:val="auto"/>
                <w:w w:val="79"/>
                <w:vertAlign w:val="superscript"/>
              </w:rPr>
              <w:t>(1)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21"/>
                <w:szCs w:val="21"/>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19,485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27,203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(13,250)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22,188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book income and tax income difference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Temporary book income and tax income differences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11,504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636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loss carry forward (utilization)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Taxable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22,874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49,681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Taxable income earned in prior year and carried forward for distribution in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year</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15,386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Taxable income earned in current period and carried forward for distribution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following year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(13,436)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(15,386)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distribution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(8,250)</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to common stockholders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4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24,824</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26,603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Company’s taxable income for 2014 is an estimate and will not be finally determined until the Company files its 2014 federal income tax return in 2015. Therefore, the Company’s actual taxable income, and the Company’s actual taxable income that was earned in 2014 and carried forward for distribution in 2015, may be different than this estimate.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For tax purposes, distributions paid to stockholders are reported as ordinary income, long term capital gains, qualified dividends, return of capital or a combination thereof. The tax character of distributions paid for the years ended December 31, 2014, 2013 and 2012 was as follows: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112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Ordinary income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$14,242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$15,282</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$15,654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Long term capital gains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10,389</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Qualified dividends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Total distributions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24,824</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26,603</w:t>
            </w:r>
          </w:p>
        </w:tc>
        <w:tc>
          <w:tcPr>
            <w:tcW w:w="1120" w:type="dxa"/>
            <w:vAlign w:val="bottom"/>
            <w:gridSpan w:val="2"/>
          </w:tcPr>
          <w:p>
            <w:pPr>
              <w:jc w:val="center"/>
              <w:ind w:left="46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15,654</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estimates that it generated undistributed ordinary taxable income of approximately $13,436, or $0.84 per share during 2014 that will be carried forward and distributed in 2015. Ordinary dividend distributions from a RIC do not qualify for the preferential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 ended December 31, 2013, the Company elected to designate retained net capital gains of $8,250, or approximately $0.60 per share, as a deemed distribution, which was allocated to stockholders of record as of December 31, 2013. The Company incurred U.S. federal income taxes of $2,887, or approximately $0.21 per share, on behalf of stockholders related to this deemed distribution. Such U.S. federal income taxes were paid in January 2014. For the years ended December 31, 2014 and 2012, the Company did not elect to designate retained net capital gains as a deemed distribution.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2013 and 2012, the tax basis components of distributable earnings were as follows:</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253"/>
        </w:trPr>
        <w:tc>
          <w:tcPr>
            <w:tcW w:w="56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 xml:space="preserve">2014 </w:t>
            </w:r>
            <w:r>
              <w:rPr>
                <w:rFonts w:ascii="Arial" w:cs="Arial" w:eastAsia="Arial" w:hAnsi="Arial"/>
                <w:sz w:val="22"/>
                <w:szCs w:val="22"/>
                <w:b w:val="1"/>
                <w:bCs w:val="1"/>
                <w:color w:val="auto"/>
                <w:w w:val="83"/>
                <w:vertAlign w:val="superscript"/>
              </w:rPr>
              <w:t>(1)</w:t>
            </w:r>
          </w:p>
        </w:tc>
        <w:tc>
          <w:tcPr>
            <w:tcW w:w="3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13,326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Undistributed qualified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long term capital gains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10,389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 xml:space="preserve">Unrealized appreciation (depreciation)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(9,445)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Permanent book/tax differences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Temporary book/tax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(12,222)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 forward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distributable earnings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4,868</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5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undistributed earnings for 2014 is an estimate and will not be finally determined until the Company files its 2014 federal income tax return in 2015. Therefore, the Company’s actual distributable earnings may be different than this estimate.</w:t>
      </w:r>
    </w:p>
    <w:p>
      <w:pPr>
        <w:ind w:left="460" w:right="400" w:hanging="452"/>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addition, there is net unrealized appreciation of $1,211, $1,211 and $6,421 included in additional paid in capital as of December 31, 2014, 2013 and 2012, respectively, that was recognized prior to the Formation Transactions.</w:t>
      </w:r>
    </w:p>
    <w:p>
      <w:pPr>
        <w:spacing w:after="0" w:line="138" w:lineRule="exact"/>
        <w:rPr>
          <w:sz w:val="20"/>
          <w:szCs w:val="20"/>
          <w:color w:val="auto"/>
        </w:rPr>
      </w:pPr>
    </w:p>
    <w:p>
      <w:pPr>
        <w:jc w:val="center"/>
        <w:ind w:left="560" w:right="140"/>
        <w:spacing w:after="0" w:line="440" w:lineRule="auto"/>
        <w:rPr>
          <w:sz w:val="20"/>
          <w:szCs w:val="20"/>
          <w:color w:val="auto"/>
        </w:rPr>
      </w:pPr>
      <w:r>
        <w:rPr>
          <w:rFonts w:ascii="Arial" w:cs="Arial" w:eastAsia="Arial" w:hAnsi="Arial"/>
          <w:sz w:val="18"/>
          <w:szCs w:val="18"/>
          <w:color w:val="auto"/>
        </w:rPr>
        <w:t>For federal income tax purposes, the cost of investments owned at December 31, 2014 and 2013 was approximately $397,698 and $315,668, respectively. F-37</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2014, 2013 and 2012.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5"/>
          </w:tcPr>
          <w:p>
            <w:pPr>
              <w:ind w:left="400"/>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Additional paid in capital</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$(590)</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0"/>
              </w:rPr>
              <w:t>$(7,057)</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88"/>
              </w:rPr>
              <w:t>Accumulated net realized (loss) gain on investments, net of taxes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7"/>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Note 11. Selected Quarterly Financial Data (unaudited)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8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4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$ 10,559</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$10,581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5,444</w:t>
            </w:r>
          </w:p>
        </w:tc>
        <w:tc>
          <w:tcPr>
            <w:tcW w:w="6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5,627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3,378</w:t>
            </w:r>
          </w:p>
        </w:tc>
        <w:tc>
          <w:tcPr>
            <w:tcW w:w="6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investment income per share</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0.40</w:t>
            </w:r>
          </w:p>
        </w:tc>
        <w:tc>
          <w:tcPr>
            <w:tcW w:w="6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6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asset value per share at end of period</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15.22</w:t>
            </w:r>
          </w:p>
        </w:tc>
        <w:tc>
          <w:tcPr>
            <w:tcW w:w="6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15.18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r>
      <w:tr>
        <w:trPr>
          <w:trHeight w:val="33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8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3"/>
              </w:rPr>
              <w:t>September 30,</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$ 9,813</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$10,476</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10,263</w:t>
            </w:r>
          </w:p>
        </w:tc>
        <w:tc>
          <w:tcPr>
            <w:tcW w:w="64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4,923</w:t>
            </w:r>
          </w:p>
        </w:tc>
        <w:tc>
          <w:tcPr>
            <w:tcW w:w="640" w:type="dxa"/>
            <w:vAlign w:val="bottom"/>
          </w:tcPr>
          <w:p>
            <w:pPr>
              <w:spacing w:after="0"/>
              <w:rPr>
                <w:sz w:val="18"/>
                <w:szCs w:val="18"/>
                <w:color w:val="auto"/>
              </w:rPr>
            </w:pPr>
          </w:p>
        </w:tc>
        <w:tc>
          <w:tcPr>
            <w:tcW w:w="860" w:type="dxa"/>
            <w:vAlign w:val="bottom"/>
            <w:gridSpan w:val="6"/>
          </w:tcPr>
          <w:p>
            <w:pPr>
              <w:jc w:val="right"/>
              <w:ind w:right="260"/>
              <w:spacing w:after="0"/>
              <w:rPr>
                <w:sz w:val="20"/>
                <w:szCs w:val="20"/>
                <w:color w:val="auto"/>
              </w:rPr>
            </w:pPr>
            <w:r>
              <w:rPr>
                <w:rFonts w:ascii="Arial" w:cs="Arial" w:eastAsia="Arial" w:hAnsi="Arial"/>
                <w:sz w:val="18"/>
                <w:szCs w:val="18"/>
                <w:color w:val="auto"/>
              </w:rPr>
              <w:t>3,164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5,274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6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13,420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investment income per share</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0.38</w:t>
            </w:r>
          </w:p>
        </w:tc>
        <w:tc>
          <w:tcPr>
            <w:tcW w:w="640" w:type="dxa"/>
            <w:vAlign w:val="bottom"/>
          </w:tcPr>
          <w:p>
            <w:pPr>
              <w:spacing w:after="0"/>
              <w:rPr>
                <w:sz w:val="18"/>
                <w:szCs w:val="18"/>
                <w:color w:val="auto"/>
              </w:rPr>
            </w:pPr>
          </w:p>
        </w:tc>
        <w:tc>
          <w:tcPr>
            <w:tcW w:w="860" w:type="dxa"/>
            <w:vAlign w:val="bottom"/>
            <w:gridSpan w:val="6"/>
          </w:tcPr>
          <w:p>
            <w:pPr>
              <w:jc w:val="right"/>
              <w:ind w:right="260"/>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asset value per share at end of period</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15.46</w:t>
            </w:r>
          </w:p>
        </w:tc>
        <w:tc>
          <w:tcPr>
            <w:tcW w:w="640" w:type="dxa"/>
            <w:vAlign w:val="bottom"/>
          </w:tcPr>
          <w:p>
            <w:pPr>
              <w:spacing w:after="0"/>
              <w:rPr>
                <w:sz w:val="19"/>
                <w:szCs w:val="19"/>
                <w:color w:val="auto"/>
              </w:rPr>
            </w:pPr>
          </w:p>
        </w:tc>
        <w:tc>
          <w:tcPr>
            <w:tcW w:w="860" w:type="dxa"/>
            <w:vAlign w:val="bottom"/>
            <w:gridSpan w:val="6"/>
          </w:tcPr>
          <w:p>
            <w:pPr>
              <w:jc w:val="right"/>
              <w:ind w:right="260"/>
              <w:spacing w:after="0"/>
              <w:rPr>
                <w:sz w:val="20"/>
                <w:szCs w:val="20"/>
                <w:color w:val="auto"/>
              </w:rPr>
            </w:pPr>
            <w:r>
              <w:rPr>
                <w:rFonts w:ascii="Arial" w:cs="Arial" w:eastAsia="Arial" w:hAnsi="Arial"/>
                <w:sz w:val="18"/>
                <w:szCs w:val="18"/>
                <w:color w:val="auto"/>
              </w:rPr>
              <w:t>16.06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15.98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r>
      <w:tr>
        <w:trPr>
          <w:trHeight w:val="356"/>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20" w:type="dxa"/>
            <w:vAlign w:val="bottom"/>
          </w:tcPr>
          <w:p>
            <w:pPr>
              <w:ind w:left="4160"/>
              <w:spacing w:after="0"/>
              <w:rPr>
                <w:sz w:val="20"/>
                <w:szCs w:val="20"/>
                <w:color w:val="auto"/>
              </w:rPr>
            </w:pPr>
            <w:r>
              <w:rPr>
                <w:rFonts w:ascii="Arial" w:cs="Arial" w:eastAsia="Arial" w:hAnsi="Arial"/>
                <w:sz w:val="18"/>
                <w:szCs w:val="18"/>
                <w:color w:val="auto"/>
              </w:rPr>
              <w:t>F-38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Consolidated Schedule of Investments In and Advances To Affiliates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Interest, Fees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and Dividends</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Portfolio Company/Type of Investments </w:t>
            </w:r>
            <w:r>
              <w:rPr>
                <w:rFonts w:ascii="Arial" w:cs="Arial" w:eastAsia="Arial" w:hAnsi="Arial"/>
                <w:sz w:val="22"/>
                <w:szCs w:val="22"/>
                <w:b w:val="1"/>
                <w:bCs w:val="1"/>
                <w:color w:val="auto"/>
                <w:vertAlign w:val="superscript"/>
              </w:rPr>
              <w:t>(1)</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Credited to</w:t>
            </w:r>
          </w:p>
        </w:tc>
        <w:tc>
          <w:tcPr>
            <w:tcW w:w="5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3"/>
              <w:spacing w:after="0" w:line="135" w:lineRule="exact"/>
              <w:rPr>
                <w:sz w:val="20"/>
                <w:szCs w:val="20"/>
                <w:color w:val="auto"/>
              </w:rPr>
            </w:pPr>
            <w:r>
              <w:rPr>
                <w:rFonts w:ascii="Arial" w:cs="Arial" w:eastAsia="Arial" w:hAnsi="Arial"/>
                <w:sz w:val="14"/>
                <w:szCs w:val="14"/>
                <w:b w:val="1"/>
                <w:bCs w:val="1"/>
                <w:color w:val="auto"/>
                <w:w w:val="88"/>
              </w:rPr>
              <w:t>Gross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3"/>
              <w:spacing w:after="0" w:line="135" w:lineRule="exact"/>
              <w:rPr>
                <w:sz w:val="20"/>
                <w:szCs w:val="20"/>
                <w:color w:val="auto"/>
              </w:rPr>
            </w:pPr>
            <w:r>
              <w:rPr>
                <w:rFonts w:ascii="Arial" w:cs="Arial" w:eastAsia="Arial" w:hAnsi="Arial"/>
                <w:sz w:val="14"/>
                <w:szCs w:val="14"/>
                <w:b w:val="1"/>
                <w:bCs w:val="1"/>
                <w:color w:val="auto"/>
                <w:w w:val="98"/>
              </w:rPr>
              <w:t>Gross</w:t>
            </w:r>
          </w:p>
        </w:tc>
        <w:tc>
          <w:tcPr>
            <w:tcW w:w="60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82"/>
        </w:trPr>
        <w:tc>
          <w:tcPr>
            <w:tcW w:w="3740" w:type="dxa"/>
            <w:vAlign w:val="bottom"/>
            <w:gridSpan w:val="3"/>
            <w:vMerge w:val="continue"/>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6"/>
              </w:rPr>
              <w:t xml:space="preserve">Income </w:t>
            </w:r>
            <w:r>
              <w:rPr>
                <w:rFonts w:ascii="Arial" w:cs="Arial" w:eastAsia="Arial" w:hAnsi="Arial"/>
                <w:sz w:val="18"/>
                <w:szCs w:val="18"/>
                <w:b w:val="1"/>
                <w:bCs w:val="1"/>
                <w:color w:val="auto"/>
                <w:w w:val="96"/>
                <w:vertAlign w:val="superscript"/>
              </w:rPr>
              <w:t>(2)</w:t>
            </w:r>
          </w:p>
        </w:tc>
        <w:tc>
          <w:tcPr>
            <w:tcW w:w="56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8"/>
              </w:rPr>
              <w:t>2013 Fair Value</w:t>
            </w:r>
          </w:p>
        </w:tc>
        <w:tc>
          <w:tcPr>
            <w:tcW w:w="580" w:type="dxa"/>
            <w:vAlign w:val="bottom"/>
          </w:tcPr>
          <w:p>
            <w:pPr>
              <w:spacing w:after="0"/>
              <w:rPr>
                <w:sz w:val="15"/>
                <w:szCs w:val="15"/>
                <w:color w:val="auto"/>
              </w:rPr>
            </w:pPr>
          </w:p>
        </w:tc>
        <w:tc>
          <w:tcPr>
            <w:tcW w:w="70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w w:val="97"/>
              </w:rPr>
              <w:t>Additions</w:t>
            </w:r>
            <w:r>
              <w:rPr>
                <w:rFonts w:ascii="Arial" w:cs="Arial" w:eastAsia="Arial" w:hAnsi="Arial"/>
                <w:sz w:val="18"/>
                <w:szCs w:val="18"/>
                <w:b w:val="1"/>
                <w:bCs w:val="1"/>
                <w:color w:val="auto"/>
                <w:w w:val="97"/>
                <w:vertAlign w:val="superscript"/>
              </w:rPr>
              <w:t>(3)</w:t>
            </w:r>
          </w:p>
        </w:tc>
        <w:tc>
          <w:tcPr>
            <w:tcW w:w="580" w:type="dxa"/>
            <w:vAlign w:val="bottom"/>
          </w:tcPr>
          <w:p>
            <w:pPr>
              <w:spacing w:after="0"/>
              <w:rPr>
                <w:sz w:val="15"/>
                <w:szCs w:val="15"/>
                <w:color w:val="auto"/>
              </w:rPr>
            </w:pPr>
          </w:p>
        </w:tc>
        <w:tc>
          <w:tcPr>
            <w:tcW w:w="78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w w:val="94"/>
              </w:rPr>
              <w:t>Reductions</w:t>
            </w:r>
            <w:r>
              <w:rPr>
                <w:rFonts w:ascii="Arial" w:cs="Arial" w:eastAsia="Arial" w:hAnsi="Arial"/>
                <w:sz w:val="18"/>
                <w:szCs w:val="18"/>
                <w:b w:val="1"/>
                <w:bCs w:val="1"/>
                <w:color w:val="auto"/>
                <w:w w:val="94"/>
                <w:vertAlign w:val="superscript"/>
              </w:rPr>
              <w:t>(4)</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600" w:type="dxa"/>
            <w:vAlign w:val="bottom"/>
            <w:tcBorders>
              <w:top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Control Investments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40" w:type="dxa"/>
            <w:vAlign w:val="bottom"/>
            <w:gridSpan w:val="3"/>
          </w:tcPr>
          <w:p>
            <w:pPr>
              <w:spacing w:after="0"/>
              <w:rPr>
                <w:sz w:val="20"/>
                <w:szCs w:val="20"/>
                <w:color w:val="auto"/>
              </w:rPr>
            </w:pPr>
            <w:r>
              <w:rPr>
                <w:rFonts w:ascii="Arial" w:cs="Arial" w:eastAsia="Arial" w:hAnsi="Arial"/>
                <w:sz w:val="18"/>
                <w:szCs w:val="18"/>
                <w:i w:val="1"/>
                <w:iCs w:val="1"/>
                <w:color w:val="auto"/>
              </w:rPr>
              <w:t>Paramount Building Solutions, LLC</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Subordinated Note</w:t>
            </w:r>
          </w:p>
        </w:tc>
        <w:tc>
          <w:tcPr>
            <w:tcW w:w="10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Subordinated Note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Warrant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Preferred Equity</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Common Equity</w:t>
            </w: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Sub Total</w:t>
            </w:r>
          </w:p>
        </w:tc>
        <w:tc>
          <w:tcPr>
            <w:tcW w:w="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w:t>
            </w: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Control Investments</w:t>
            </w:r>
          </w:p>
        </w:tc>
        <w:tc>
          <w:tcPr>
            <w:tcW w:w="10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Affiliate Investments</w:t>
            </w: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740" w:type="dxa"/>
            <w:vAlign w:val="bottom"/>
            <w:gridSpan w:val="3"/>
            <w:vMerge w:val="continue"/>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Apex Microtechnology, Inc.</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Subordinated Note</w:t>
            </w:r>
          </w:p>
        </w:tc>
        <w:tc>
          <w:tcPr>
            <w:tcW w:w="100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93"/>
              </w:rPr>
              <w:t>297</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6,448</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6,495</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Warrant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255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Common Equity</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4"/>
              </w:rPr>
              <w:t>1,299</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 Total</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297</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8,002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40" w:type="dxa"/>
            <w:vAlign w:val="bottom"/>
            <w:gridSpan w:val="3"/>
          </w:tcPr>
          <w:p>
            <w:pPr>
              <w:spacing w:after="0"/>
              <w:rPr>
                <w:sz w:val="20"/>
                <w:szCs w:val="20"/>
                <w:color w:val="auto"/>
              </w:rPr>
            </w:pPr>
            <w:r>
              <w:rPr>
                <w:rFonts w:ascii="Arial" w:cs="Arial" w:eastAsia="Arial" w:hAnsi="Arial"/>
                <w:sz w:val="18"/>
                <w:szCs w:val="18"/>
                <w:i w:val="1"/>
                <w:iCs w:val="1"/>
                <w:color w:val="auto"/>
              </w:rPr>
              <w:t>Avrio Technology Group, LLC</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Subordinated Note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217</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3,200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Preferred Equity – Series B</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Equity – Series C</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Preferred Equity – Series 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Common Units</w:t>
            </w: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Sub Total</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93"/>
              </w:rPr>
              <w:t>217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3,200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12,287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Far Research, Inc.</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Senior Secured Loan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93"/>
              </w:rPr>
              <w:t>804</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Loan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Common Equity</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 Total</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843</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40" w:type="dxa"/>
            <w:vAlign w:val="bottom"/>
            <w:gridSpan w:val="3"/>
          </w:tcPr>
          <w:p>
            <w:pPr>
              <w:spacing w:after="0"/>
              <w:rPr>
                <w:sz w:val="20"/>
                <w:szCs w:val="20"/>
                <w:color w:val="auto"/>
              </w:rPr>
            </w:pPr>
            <w:r>
              <w:rPr>
                <w:rFonts w:ascii="Arial" w:cs="Arial" w:eastAsia="Arial" w:hAnsi="Arial"/>
                <w:sz w:val="18"/>
                <w:szCs w:val="18"/>
                <w:i w:val="1"/>
                <w:iCs w:val="1"/>
                <w:color w:val="auto"/>
              </w:rPr>
              <w:t>Inflexxion, Inc.</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Senior Secured Loan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Revolving Loan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Equity</w:t>
            </w: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Sub Total</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w w:val="86"/>
              </w:rPr>
              <w:t>115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6,421</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Malabar International</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860"/>
              <w:spacing w:after="0"/>
              <w:rPr>
                <w:sz w:val="20"/>
                <w:szCs w:val="20"/>
                <w:color w:val="auto"/>
              </w:rPr>
            </w:pPr>
            <w:r>
              <w:rPr>
                <w:rFonts w:ascii="Arial" w:cs="Arial" w:eastAsia="Arial" w:hAnsi="Arial"/>
                <w:sz w:val="18"/>
                <w:szCs w:val="18"/>
                <w:color w:val="auto"/>
              </w:rPr>
              <w:t>Subordinated Note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93"/>
              </w:rPr>
              <w:t>907</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5,116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Equity</w:t>
            </w: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6"/>
              </w:rPr>
              <w:t>122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4"/>
              </w:rPr>
              <w:t>3,616</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Sub Total</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8,732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2,157</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F-39</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 Fees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and Dividends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Portfolio Company/Type of Investments </w:t>
            </w:r>
            <w:r>
              <w:rPr>
                <w:rFonts w:ascii="Arial" w:cs="Arial" w:eastAsia="Arial" w:hAnsi="Arial"/>
                <w:sz w:val="22"/>
                <w:szCs w:val="22"/>
                <w:b w:val="1"/>
                <w:bCs w:val="1"/>
                <w:color w:val="auto"/>
                <w:vertAlign w:val="superscript"/>
              </w:rPr>
              <w:t>(1)</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Credited to</w:t>
            </w:r>
          </w:p>
        </w:tc>
        <w:tc>
          <w:tcPr>
            <w:tcW w:w="580" w:type="dxa"/>
            <w:vAlign w:val="bottom"/>
          </w:tcPr>
          <w:p>
            <w:pPr>
              <w:spacing w:after="0"/>
              <w:rPr>
                <w:sz w:val="12"/>
                <w:szCs w:val="12"/>
                <w:color w:val="auto"/>
              </w:rPr>
            </w:pPr>
          </w:p>
        </w:tc>
        <w:tc>
          <w:tcPr>
            <w:tcW w:w="12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Additions</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Reductions</w:t>
            </w:r>
          </w:p>
        </w:tc>
        <w:tc>
          <w:tcPr>
            <w:tcW w:w="6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55"/>
        </w:trPr>
        <w:tc>
          <w:tcPr>
            <w:tcW w:w="48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0"/>
                <w:szCs w:val="10"/>
                <w:b w:val="1"/>
                <w:bCs w:val="1"/>
                <w:color w:val="auto"/>
              </w:rPr>
              <w:t xml:space="preserve">Income </w:t>
            </w:r>
            <w:r>
              <w:rPr>
                <w:rFonts w:ascii="Arial" w:cs="Arial" w:eastAsia="Arial" w:hAnsi="Arial"/>
                <w:sz w:val="15"/>
                <w:szCs w:val="15"/>
                <w:b w:val="1"/>
                <w:bCs w:val="1"/>
                <w:color w:val="auto"/>
                <w:vertAlign w:val="superscript"/>
              </w:rPr>
              <w:t>(2)</w:t>
            </w:r>
          </w:p>
        </w:tc>
        <w:tc>
          <w:tcPr>
            <w:tcW w:w="580" w:type="dxa"/>
            <w:vAlign w:val="bottom"/>
          </w:tcPr>
          <w:p>
            <w:pPr>
              <w:spacing w:after="0"/>
              <w:rPr>
                <w:sz w:val="13"/>
                <w:szCs w:val="13"/>
                <w:color w:val="auto"/>
              </w:rPr>
            </w:pPr>
          </w:p>
        </w:tc>
        <w:tc>
          <w:tcPr>
            <w:tcW w:w="12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2013 Fair Value</w:t>
            </w:r>
          </w:p>
        </w:tc>
        <w:tc>
          <w:tcPr>
            <w:tcW w:w="880" w:type="dxa"/>
            <w:vAlign w:val="bottom"/>
            <w:gridSpan w:val="2"/>
          </w:tcPr>
          <w:p>
            <w:pPr>
              <w:jc w:val="center"/>
              <w:ind w:left="194"/>
              <w:spacing w:after="0"/>
              <w:rPr>
                <w:sz w:val="20"/>
                <w:szCs w:val="20"/>
                <w:color w:val="auto"/>
              </w:rPr>
            </w:pPr>
            <w:r>
              <w:rPr>
                <w:rFonts w:ascii="Arial" w:cs="Arial" w:eastAsia="Arial" w:hAnsi="Arial"/>
                <w:sz w:val="11"/>
                <w:szCs w:val="11"/>
                <w:b w:val="1"/>
                <w:bCs w:val="1"/>
                <w:color w:val="auto"/>
                <w:w w:val="88"/>
              </w:rPr>
              <w:t>(3)</w:t>
            </w:r>
          </w:p>
        </w:tc>
        <w:tc>
          <w:tcPr>
            <w:tcW w:w="300" w:type="dxa"/>
            <w:vAlign w:val="bottom"/>
          </w:tcPr>
          <w:p>
            <w:pPr>
              <w:spacing w:after="0"/>
              <w:rPr>
                <w:sz w:val="13"/>
                <w:szCs w:val="13"/>
                <w:color w:val="auto"/>
              </w:rPr>
            </w:pPr>
          </w:p>
        </w:tc>
        <w:tc>
          <w:tcPr>
            <w:tcW w:w="960" w:type="dxa"/>
            <w:vAlign w:val="bottom"/>
            <w:gridSpan w:val="2"/>
          </w:tcPr>
          <w:p>
            <w:pPr>
              <w:jc w:val="center"/>
              <w:ind w:left="194"/>
              <w:spacing w:after="0"/>
              <w:rPr>
                <w:sz w:val="20"/>
                <w:szCs w:val="20"/>
                <w:color w:val="auto"/>
              </w:rPr>
            </w:pPr>
            <w:r>
              <w:rPr>
                <w:rFonts w:ascii="Arial" w:cs="Arial" w:eastAsia="Arial" w:hAnsi="Arial"/>
                <w:sz w:val="11"/>
                <w:szCs w:val="11"/>
                <w:b w:val="1"/>
                <w:bCs w:val="1"/>
                <w:color w:val="auto"/>
                <w:w w:val="88"/>
              </w:rPr>
              <w:t>(4)</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Medsurant Holdings, LLC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Subordinated Note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9,541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Preferred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Warrant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3,944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Sub Total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60" w:type="dxa"/>
            <w:vAlign w:val="bottom"/>
            <w:gridSpan w:val="4"/>
          </w:tcPr>
          <w:p>
            <w:pPr>
              <w:spacing w:after="0"/>
              <w:rPr>
                <w:sz w:val="20"/>
                <w:szCs w:val="20"/>
                <w:color w:val="auto"/>
              </w:rPr>
            </w:pPr>
            <w:r>
              <w:rPr>
                <w:rFonts w:ascii="Arial" w:cs="Arial" w:eastAsia="Arial" w:hAnsi="Arial"/>
                <w:sz w:val="18"/>
                <w:szCs w:val="18"/>
                <w:i w:val="1"/>
                <w:iCs w:val="1"/>
                <w:color w:val="auto"/>
              </w:rPr>
              <w:t>Paramount Building Solutions, LLC</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Subordinated Note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Participation</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Sub Total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860" w:type="dxa"/>
            <w:vAlign w:val="bottom"/>
            <w:gridSpan w:val="4"/>
          </w:tcPr>
          <w:p>
            <w:pPr>
              <w:spacing w:after="0"/>
              <w:rPr>
                <w:sz w:val="20"/>
                <w:szCs w:val="20"/>
                <w:color w:val="auto"/>
              </w:rPr>
            </w:pPr>
            <w:r>
              <w:rPr>
                <w:rFonts w:ascii="Arial" w:cs="Arial" w:eastAsia="Arial" w:hAnsi="Arial"/>
                <w:sz w:val="18"/>
                <w:szCs w:val="18"/>
                <w:i w:val="1"/>
                <w:iCs w:val="1"/>
                <w:color w:val="auto"/>
              </w:rPr>
              <w:t>Pfanstiehl, Inc.</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Subordinated Note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Common Equity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970</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2,118</w:t>
            </w:r>
          </w:p>
        </w:tc>
        <w:tc>
          <w:tcPr>
            <w:tcW w:w="2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Sub Total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60" w:type="dxa"/>
            <w:vAlign w:val="bottom"/>
            <w:gridSpan w:val="4"/>
          </w:tcPr>
          <w:p>
            <w:pPr>
              <w:spacing w:after="0"/>
              <w:rPr>
                <w:sz w:val="20"/>
                <w:szCs w:val="20"/>
                <w:color w:val="auto"/>
              </w:rPr>
            </w:pPr>
            <w:r>
              <w:rPr>
                <w:rFonts w:ascii="Arial" w:cs="Arial" w:eastAsia="Arial" w:hAnsi="Arial"/>
                <w:sz w:val="18"/>
                <w:szCs w:val="18"/>
                <w:i w:val="1"/>
                <w:iCs w:val="1"/>
                <w:color w:val="auto"/>
              </w:rPr>
              <w:t>Safety Products Group, LLC</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Subordinated Note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Preferred Equity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749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Common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3"/>
            <w:vMerge w:val="restart"/>
          </w:tcPr>
          <w:p>
            <w:pPr>
              <w:ind w:left="420"/>
              <w:spacing w:after="0"/>
              <w:rPr>
                <w:sz w:val="20"/>
                <w:szCs w:val="20"/>
                <w:color w:val="auto"/>
              </w:rPr>
            </w:pPr>
            <w:r>
              <w:rPr>
                <w:rFonts w:ascii="Arial" w:cs="Arial" w:eastAsia="Arial" w:hAnsi="Arial"/>
                <w:sz w:val="18"/>
                <w:szCs w:val="18"/>
                <w:color w:val="auto"/>
              </w:rPr>
              <w:t>Sub 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10,707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Trantech Radiator Products, Inc.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Subordinated Note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9,351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Common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3"/>
            <w:vMerge w:val="restart"/>
          </w:tcPr>
          <w:p>
            <w:pPr>
              <w:ind w:left="420"/>
              <w:spacing w:after="0"/>
              <w:rPr>
                <w:sz w:val="20"/>
                <w:szCs w:val="20"/>
                <w:color w:val="auto"/>
              </w:rPr>
            </w:pPr>
            <w:r>
              <w:rPr>
                <w:rFonts w:ascii="Arial" w:cs="Arial" w:eastAsia="Arial" w:hAnsi="Arial"/>
                <w:sz w:val="18"/>
                <w:szCs w:val="18"/>
                <w:color w:val="auto"/>
              </w:rPr>
              <w:t>Sub 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10,668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Westminster Cracker Company, Inc.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Preferred Equity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Common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3"/>
            <w:vMerge w:val="restart"/>
          </w:tcPr>
          <w:p>
            <w:pPr>
              <w:ind w:left="420"/>
              <w:spacing w:after="0"/>
              <w:rPr>
                <w:sz w:val="20"/>
                <w:szCs w:val="20"/>
                <w:color w:val="auto"/>
              </w:rPr>
            </w:pPr>
            <w:r>
              <w:rPr>
                <w:rFonts w:ascii="Arial" w:cs="Arial" w:eastAsia="Arial" w:hAnsi="Arial"/>
                <w:sz w:val="18"/>
                <w:szCs w:val="18"/>
                <w:color w:val="auto"/>
              </w:rPr>
              <w:t>Sub 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World Wide Packaging, LLC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60"/>
              <w:spacing w:after="0"/>
              <w:rPr>
                <w:sz w:val="20"/>
                <w:szCs w:val="20"/>
                <w:color w:val="auto"/>
              </w:rPr>
            </w:pPr>
            <w:r>
              <w:rPr>
                <w:rFonts w:ascii="Arial" w:cs="Arial" w:eastAsia="Arial" w:hAnsi="Arial"/>
                <w:sz w:val="18"/>
                <w:szCs w:val="18"/>
                <w:color w:val="auto"/>
              </w:rPr>
              <w:t>Subordinated Note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9,919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Common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3"/>
            <w:vMerge w:val="restart"/>
          </w:tcPr>
          <w:p>
            <w:pPr>
              <w:ind w:left="420"/>
              <w:spacing w:after="0"/>
              <w:rPr>
                <w:sz w:val="20"/>
                <w:szCs w:val="20"/>
                <w:color w:val="auto"/>
              </w:rPr>
            </w:pPr>
            <w:r>
              <w:rPr>
                <w:rFonts w:ascii="Arial" w:cs="Arial" w:eastAsia="Arial" w:hAnsi="Arial"/>
                <w:sz w:val="18"/>
                <w:szCs w:val="18"/>
                <w:color w:val="auto"/>
              </w:rPr>
              <w:t>Sub 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11,219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Total Affiliate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$ 33,182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$ 29,426</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0" w:hanging="452"/>
        <w:spacing w:after="0" w:line="25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principal amount, the ownership detail for equity investments, and if the investment is income producing is shown in the consolidated schedule of investments.</w:t>
      </w:r>
    </w:p>
    <w:p>
      <w:pPr>
        <w:ind w:left="460" w:right="12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included in 2014 income for the portion of the year ended December 31, 2014 that an investment was included in Control or Affiliate categories, respectively.</w:t>
      </w:r>
    </w:p>
    <w:p>
      <w:pPr>
        <w:ind w:left="460" w:right="60" w:hanging="452"/>
        <w:spacing w:after="0" w:line="302"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a new portfolio investment, follow on investments, accrued PIK interest or dividends, and accretion of OID and loan origination fees. Gross additions also include net increases in unrealized appreciation or net decreases in unrealized depreciation, as well as the movement of an existing portfolio company into this category and out of a different category.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51" w:lineRule="exact"/>
        <w:rPr>
          <w:sz w:val="20"/>
          <w:szCs w:val="20"/>
          <w:color w:val="auto"/>
        </w:rPr>
      </w:pPr>
    </w:p>
    <w:p>
      <w:pPr>
        <w:ind w:left="46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if any. Gross reductions also include net increases in unrealized depreciation or net decreases in unrealized appreciation as well as the movement of an existing portfolio company out of this category and into a different category.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January 15, 2015, the Company invested $5,000 in the subordinated notes and warrants of Ice House America, LLC, a leading manufacturer and franchisor of ice vending machines in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16, 2015, the Company received $9,706 as payment in full on the subordinated note of EBL, LLC (EbLens), including prepayment fees.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February 6, 2015, the Company invested $8,000 in the subordinated notes of Six Month Smiles Holdings, Inc., a provider of cosmetic orthodontic solutions as a turnkey program for general practitioner dentists, enabling them to treat patients with aligner products for correcting crooked teeth in four to nine months.</w:t>
      </w:r>
    </w:p>
    <w:p>
      <w:pPr>
        <w:spacing w:after="0" w:line="140" w:lineRule="exact"/>
        <w:rPr>
          <w:sz w:val="20"/>
          <w:szCs w:val="20"/>
          <w:color w:val="auto"/>
        </w:rPr>
      </w:pPr>
    </w:p>
    <w:p>
      <w:pPr>
        <w:ind w:right="720" w:firstLine="456"/>
        <w:spacing w:after="0" w:line="370" w:lineRule="auto"/>
        <w:rPr>
          <w:sz w:val="20"/>
          <w:szCs w:val="20"/>
          <w:color w:val="auto"/>
        </w:rPr>
      </w:pPr>
      <w:r>
        <w:rPr>
          <w:rFonts w:ascii="Arial" w:cs="Arial" w:eastAsia="Arial" w:hAnsi="Arial"/>
          <w:sz w:val="15"/>
          <w:szCs w:val="15"/>
          <w:color w:val="auto"/>
        </w:rPr>
        <w:t>On February 12, 2015, the Company invested $6,361 in the senior secured notes of Stagnito Partners, LLC, doing business as Stagnito Business Information, a leading provider of business information services to the convenience store, food retail and pharmacy markets in the U.S. and Canada.</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February 17, 2015, the Board declared a regular quarterly dividend of $0.38 per share payable on March 26, 2015 to stockholders of record as of March 12, 2015.</w:t>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00"/>
          </w:cols>
          <w:pgMar w:left="240" w:top="460"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color w:val="auto"/>
        </w:rPr>
        <w:t>Fidus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248920</wp:posOffset>
            </wp:positionV>
            <wp:extent cx="22383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240665</wp:posOffset>
            </wp:positionV>
            <wp:extent cx="22383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statements of the Company are provided in Part A of this registration sstatement: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460" w:right="3220"/>
        <w:spacing w:after="0" w:line="252" w:lineRule="auto"/>
        <w:rPr>
          <w:sz w:val="20"/>
          <w:szCs w:val="20"/>
          <w:color w:val="auto"/>
        </w:rPr>
      </w:pPr>
      <w:r>
        <w:rPr>
          <w:rFonts w:ascii="Arial" w:cs="Arial" w:eastAsia="Arial" w:hAnsi="Arial"/>
          <w:sz w:val="18"/>
          <w:szCs w:val="18"/>
          <w:color w:val="auto"/>
        </w:rPr>
        <w:t>Consolidated Statements of Assets and Liabilities as of December 31, 2014 and 2013 Consolidated Statements of Operations for the Years Ended December 31, 2014, 2013 and 2012 Consolidated Statements of Changes in Net Assets for the Years Ended December 31, 2014, 2013 and 2012 Consolidated Statements of Cash Flows for the Years Ended December 31, 2014, 2013 and 2012 Consolidated Schedules of Investments as of December 31, 2014 and 2013 Notes to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256" w:lineRule="exact"/>
        <w:rPr>
          <w:sz w:val="20"/>
          <w:szCs w:val="20"/>
          <w:color w:val="auto"/>
        </w:rPr>
      </w:pPr>
    </w:p>
    <w:p>
      <w:pPr>
        <w:ind w:left="1340" w:right="280" w:hanging="879"/>
        <w:spacing w:after="0" w:line="264" w:lineRule="auto"/>
        <w:tabs>
          <w:tab w:leader="none" w:pos="13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Articles of Amendment and Restatement of the Registrant (Filed as Exhibit (a)(1) to Pre-Effective Amendment No. 2 to the Registrant’s Registration Statement on Form N-2 (File No. 333-172550) filed with the Securities and Exchange Commission on April 29, 2011 and incorporated herein by reference).</w:t>
      </w:r>
    </w:p>
    <w:p>
      <w:pPr>
        <w:spacing w:after="0" w:line="73" w:lineRule="exact"/>
        <w:rPr>
          <w:sz w:val="20"/>
          <w:szCs w:val="20"/>
          <w:color w:val="auto"/>
        </w:rPr>
      </w:pPr>
    </w:p>
    <w:p>
      <w:pPr>
        <w:ind w:left="1340" w:right="80" w:hanging="879"/>
        <w:spacing w:after="0" w:line="342" w:lineRule="auto"/>
        <w:tabs>
          <w:tab w:leader="none" w:pos="1320" w:val="left"/>
        </w:tabs>
        <w:rPr>
          <w:sz w:val="20"/>
          <w:szCs w:val="20"/>
          <w:color w:val="auto"/>
        </w:rPr>
      </w:pPr>
      <w:r>
        <w:rPr>
          <w:rFonts w:ascii="Arial" w:cs="Arial" w:eastAsia="Arial" w:hAnsi="Arial"/>
          <w:sz w:val="16"/>
          <w:szCs w:val="16"/>
          <w:color w:val="auto"/>
        </w:rPr>
        <w:t>(b)(1)</w:t>
      </w:r>
      <w:r>
        <w:rPr>
          <w:sz w:val="20"/>
          <w:szCs w:val="20"/>
          <w:color w:val="auto"/>
        </w:rPr>
        <w:tab/>
      </w:r>
      <w:r>
        <w:rPr>
          <w:rFonts w:ascii="Arial" w:cs="Arial" w:eastAsia="Arial" w:hAnsi="Arial"/>
          <w:sz w:val="16"/>
          <w:szCs w:val="16"/>
          <w:color w:val="auto"/>
        </w:rPr>
        <w:t>Bylaws of the Registrant (Filed as Exhibit (b)(1) to Pre-Effective Amendment No. 2 to the Registrant’s Registration Statement on Form N-2 (File No. 333-172550) filed with the Securities and Exchange Commission on April 29, 2011 and incorporated herein by reference).</w:t>
      </w:r>
    </w:p>
    <w:p>
      <w:pPr>
        <w:spacing w:after="0" w:line="16" w:lineRule="exact"/>
        <w:rPr>
          <w:sz w:val="20"/>
          <w:szCs w:val="20"/>
          <w:color w:val="auto"/>
        </w:rPr>
      </w:pPr>
    </w:p>
    <w:p>
      <w:pPr>
        <w:ind w:left="1340" w:hanging="873"/>
        <w:spacing w:after="0"/>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340" w:right="340" w:hanging="879"/>
        <w:spacing w:after="0" w:line="264" w:lineRule="auto"/>
        <w:tabs>
          <w:tab w:leader="none" w:pos="132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Stock Certificate of the Registrant (Filed as Exhibit (d) to Pre-Effective Amendment No. 2 to the Registrant’s Registration Statement on Form N-2 (File No. 333-172550) filed with the Securities and Exchange Commission on April 29, 2011 and incorporated herein by reference).</w:t>
      </w:r>
    </w:p>
    <w:p>
      <w:pPr>
        <w:spacing w:after="0" w:line="7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Subscription Certificate(1)</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Form of Subscription Agent Agreement(1)</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Warrant Agreement(1)</w:t>
      </w:r>
    </w:p>
    <w:p>
      <w:pPr>
        <w:spacing w:after="0" w:line="117" w:lineRule="exact"/>
        <w:rPr>
          <w:sz w:val="20"/>
          <w:szCs w:val="20"/>
          <w:color w:val="auto"/>
        </w:rPr>
      </w:pPr>
    </w:p>
    <w:p>
      <w:pPr>
        <w:ind w:left="1340" w:right="60" w:hanging="879"/>
        <w:spacing w:after="0" w:line="308" w:lineRule="auto"/>
        <w:tabs>
          <w:tab w:leader="none" w:pos="132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Form of Indenture (Filed as Exhibit (d)(5) to Pre-Effective Amendment No. 1 to the Registrant’s Registration Statement on Form N-2 (File No. 333-182785) filed with the Securities and Exchange Commission on August 24, 2012 and incorporated herein by reference).</w:t>
      </w:r>
    </w:p>
    <w:p>
      <w:pPr>
        <w:spacing w:after="0" w:line="38"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Note(1)</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Preferred Stock Certificate(1)</w:t>
      </w:r>
    </w:p>
    <w:p>
      <w:pPr>
        <w:spacing w:after="0" w:line="117" w:lineRule="exact"/>
        <w:rPr>
          <w:sz w:val="20"/>
          <w:szCs w:val="20"/>
          <w:color w:val="auto"/>
        </w:rPr>
      </w:pPr>
    </w:p>
    <w:p>
      <w:pPr>
        <w:ind w:left="1340" w:hanging="873"/>
        <w:spacing w:after="0" w:line="342" w:lineRule="auto"/>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Dividend Reinvestment Plan (Filed as Exhibit (e) to Pre-Effective Amendment No. 2 to the Registrant’s Registration Statement on Form N-2 (File No. 333-172550) filed with the Securities and Exchange Commission on April 29, 2011 and incorporated herein by reference).</w:t>
      </w:r>
    </w:p>
    <w:p>
      <w:pPr>
        <w:spacing w:after="0" w:line="15" w:lineRule="exact"/>
        <w:rPr>
          <w:rFonts w:ascii="Arial" w:cs="Arial" w:eastAsia="Arial" w:hAnsi="Arial"/>
          <w:sz w:val="16"/>
          <w:szCs w:val="16"/>
          <w:color w:val="auto"/>
        </w:rPr>
      </w:pPr>
    </w:p>
    <w:p>
      <w:pPr>
        <w:ind w:left="1340" w:right="400" w:hanging="873"/>
        <w:spacing w:after="0" w:line="264" w:lineRule="auto"/>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Agreement to Furnish Certain Instruments (Filed as Exhibit (f)(2) to Pre-Effective Amendment No. 3 to the Registrant’s Registration Statement on Form N-2 (File No. 333-172550) filed with the Securities and Exchange Commission on May 26, 2011 and incorporated herein by reference).</w:t>
      </w:r>
    </w:p>
    <w:p>
      <w:pPr>
        <w:spacing w:after="0" w:line="73" w:lineRule="exact"/>
        <w:rPr>
          <w:sz w:val="20"/>
          <w:szCs w:val="20"/>
          <w:color w:val="auto"/>
        </w:rPr>
      </w:pPr>
    </w:p>
    <w:p>
      <w:pPr>
        <w:jc w:val="both"/>
        <w:ind w:left="1340" w:right="240" w:hanging="879"/>
        <w:spacing w:after="0" w:line="264" w:lineRule="auto"/>
        <w:tabs>
          <w:tab w:leader="none" w:pos="1320" w:val="left"/>
        </w:tabs>
        <w:rPr>
          <w:sz w:val="20"/>
          <w:szCs w:val="20"/>
          <w:color w:val="auto"/>
        </w:rPr>
      </w:pPr>
      <w:r>
        <w:rPr>
          <w:rFonts w:ascii="Arial" w:cs="Arial" w:eastAsia="Arial" w:hAnsi="Arial"/>
          <w:sz w:val="18"/>
          <w:szCs w:val="18"/>
          <w:color w:val="auto"/>
        </w:rPr>
        <w:t>(g)(1)</w:t>
      </w:r>
      <w:r>
        <w:rPr>
          <w:sz w:val="20"/>
          <w:szCs w:val="20"/>
          <w:color w:val="auto"/>
        </w:rPr>
        <w:tab/>
      </w:r>
      <w:r>
        <w:rPr>
          <w:rFonts w:ascii="Arial" w:cs="Arial" w:eastAsia="Arial" w:hAnsi="Arial"/>
          <w:sz w:val="18"/>
          <w:szCs w:val="18"/>
          <w:color w:val="auto"/>
        </w:rPr>
        <w:t>Investment Advisory and Management Agreement between Registrant and Fidus Investment Advisors, LLC (Filed as Exhibit (g) to Pre-Effective Amendment No. 2 to the Registrant’s Registration Statement on Form N-2 (File No. 333-172550) filed with the Securities and Exchange Commission on April 29, 2011 and incorporated herein by reference).</w:t>
      </w:r>
    </w:p>
    <w:p>
      <w:pPr>
        <w:spacing w:after="0" w:line="73" w:lineRule="exact"/>
        <w:rPr>
          <w:sz w:val="20"/>
          <w:szCs w:val="20"/>
          <w:color w:val="auto"/>
        </w:rPr>
      </w:pPr>
    </w:p>
    <w:p>
      <w:pPr>
        <w:ind w:left="1340" w:right="120" w:hanging="879"/>
        <w:spacing w:after="0" w:line="264" w:lineRule="auto"/>
        <w:tabs>
          <w:tab w:leader="none" w:pos="1320" w:val="left"/>
        </w:tabs>
        <w:rPr>
          <w:sz w:val="20"/>
          <w:szCs w:val="20"/>
          <w:color w:val="auto"/>
        </w:rPr>
      </w:pPr>
      <w:r>
        <w:rPr>
          <w:rFonts w:ascii="Arial" w:cs="Arial" w:eastAsia="Arial" w:hAnsi="Arial"/>
          <w:sz w:val="18"/>
          <w:szCs w:val="18"/>
          <w:color w:val="auto"/>
        </w:rPr>
        <w:t>(g)(2)</w:t>
      </w:r>
      <w:r>
        <w:rPr>
          <w:sz w:val="20"/>
          <w:szCs w:val="20"/>
          <w:color w:val="auto"/>
        </w:rPr>
        <w:tab/>
      </w:r>
      <w:r>
        <w:rPr>
          <w:rFonts w:ascii="Arial" w:cs="Arial" w:eastAsia="Arial" w:hAnsi="Arial"/>
          <w:sz w:val="18"/>
          <w:szCs w:val="18"/>
          <w:color w:val="auto"/>
        </w:rPr>
        <w:t>First Amendment to Investment Advisory and Management Agreement between Registrant and Fidus Investment Advisors, LLC (Filed as Exhibit 10.7 to the Registrant’s annual report on Form 10-K filed with the Securities and Exchange Commission on March 6, 2014 and incorporated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Equity(1)</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Debt(1)</w:t>
      </w:r>
    </w:p>
    <w:p>
      <w:pPr>
        <w:spacing w:after="0" w:line="117" w:lineRule="exact"/>
        <w:rPr>
          <w:sz w:val="20"/>
          <w:szCs w:val="20"/>
          <w:color w:val="auto"/>
        </w:rPr>
      </w:pPr>
    </w:p>
    <w:p>
      <w:pPr>
        <w:ind w:left="1340" w:hanging="873"/>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40" w:right="140" w:hanging="873"/>
        <w:spacing w:after="0" w:line="308" w:lineRule="auto"/>
        <w:tabs>
          <w:tab w:leader="none" w:pos="1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Custody Agreement (Filed as Exhibit (j) to Pre-Effective Amendment No. 3 to the Registrant’s Registration Statement on Form N-2 (File No. 333-172550) filed with the Securities and Exchange Commission on May 26, 2011 and incorporated herein by reference).</w:t>
      </w:r>
    </w:p>
    <w:p>
      <w:pPr>
        <w:spacing w:after="0" w:line="38" w:lineRule="exact"/>
        <w:rPr>
          <w:sz w:val="20"/>
          <w:szCs w:val="20"/>
          <w:color w:val="auto"/>
        </w:rPr>
      </w:pPr>
    </w:p>
    <w:p>
      <w:pPr>
        <w:jc w:val="both"/>
        <w:ind w:left="1340" w:right="120" w:hanging="879"/>
        <w:spacing w:after="0" w:line="264" w:lineRule="auto"/>
        <w:tabs>
          <w:tab w:leader="none" w:pos="132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Administration Agreement between Registrant and Fidus Investment Advisors, LLC (Filed as Exhibit (k)(1) to Pre-Effective Amendment No. 2 to the Registrant’s Registration Statement on Form N-2 (File No. 333-172550) filed with the Securities and Exchange Commission on April 29, 2011 and incorporated herein by reference).</w:t>
      </w:r>
    </w:p>
    <w:p>
      <w:pPr>
        <w:spacing w:after="0" w:line="73" w:lineRule="exact"/>
        <w:rPr>
          <w:sz w:val="20"/>
          <w:szCs w:val="20"/>
          <w:color w:val="auto"/>
        </w:rPr>
      </w:pPr>
    </w:p>
    <w:p>
      <w:pPr>
        <w:jc w:val="both"/>
        <w:ind w:left="1340" w:right="100" w:hanging="879"/>
        <w:spacing w:after="0" w:line="264" w:lineRule="auto"/>
        <w:tabs>
          <w:tab w:leader="none" w:pos="132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Trademark License Agreement between Registrant and Fidus Partners, LLC (Filed as Exhibit (k)(2) to Pre-Effective Amendment No. 3 to the Registrant’s Registration Statement on Form N-2 (File No. 333-172550) filed with the Securities and Exchange Commission on May 26, 2011 and incorporated herein by reference).</w:t>
      </w:r>
    </w:p>
    <w:p>
      <w:pPr>
        <w:spacing w:after="0" w:line="73" w:lineRule="exact"/>
        <w:rPr>
          <w:sz w:val="20"/>
          <w:szCs w:val="20"/>
          <w:color w:val="auto"/>
        </w:rPr>
      </w:pPr>
    </w:p>
    <w:p>
      <w:pPr>
        <w:ind w:left="1340" w:right="180" w:hanging="879"/>
        <w:spacing w:after="0" w:line="264" w:lineRule="auto"/>
        <w:tabs>
          <w:tab w:leader="none" w:pos="132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Form of Indemnification Agreement by and between Registrant and each of its directors (Filed as Exhibit (k)(3) to Pre-Effective Amendment No. 4 to the Registrant’s Registration Statement on Form N-2 (File No. 333-172550) filed with the Securities and Exchange Commission on June 10, 2011 and incorporated herein by reference).</w:t>
      </w:r>
    </w:p>
    <w:p>
      <w:pPr>
        <w:spacing w:after="0" w:line="73" w:lineRule="exact"/>
        <w:rPr>
          <w:sz w:val="20"/>
          <w:szCs w:val="20"/>
          <w:color w:val="auto"/>
        </w:rPr>
      </w:pPr>
    </w:p>
    <w:p>
      <w:pPr>
        <w:ind w:left="1340" w:right="40" w:hanging="879"/>
        <w:spacing w:after="0" w:line="264" w:lineRule="auto"/>
        <w:tabs>
          <w:tab w:leader="none" w:pos="1320"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Senior Secured Revolving Credit Agreement, dated June 16, 2014, by and among the Registrant, the lenders party thereto and ING Capital LLC as Administrative Agent filed as exhibit 10.1 to the Registrant’s current report on Form 8-K filed with the Securities and Exchange Commission on June 20, 2014 and incorporated herein by reference.</w:t>
      </w:r>
    </w:p>
    <w:p>
      <w:pPr>
        <w:spacing w:after="0" w:line="73" w:lineRule="exact"/>
        <w:rPr>
          <w:sz w:val="20"/>
          <w:szCs w:val="20"/>
          <w:color w:val="auto"/>
        </w:rPr>
      </w:pPr>
    </w:p>
    <w:p>
      <w:pPr>
        <w:jc w:val="both"/>
        <w:ind w:left="1340" w:right="140" w:hanging="879"/>
        <w:spacing w:after="0" w:line="312" w:lineRule="auto"/>
        <w:tabs>
          <w:tab w:leader="none" w:pos="132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Amendment No. 1, dated December 19, 2014, to the Senior Secured Revolving Credit Agreement dated June 16, 2014, by and among the Registrant, the lenders party thereto and ING Capital LLC as Administrative Agent filed as exhibit 10.1 to the Registrant’s current report on Form 8-K filed with the Securities and Exchange Commission on December 22, 2014 and incorporated herein by reference.</w:t>
      </w:r>
    </w:p>
    <w:p>
      <w:pPr>
        <w:spacing w:after="0" w:line="39" w:lineRule="exact"/>
        <w:rPr>
          <w:sz w:val="20"/>
          <w:szCs w:val="20"/>
          <w:color w:val="auto"/>
        </w:rPr>
      </w:pPr>
    </w:p>
    <w:p>
      <w:pPr>
        <w:ind w:left="1340" w:hanging="873"/>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Opinion and Consent of Morrison &amp; Foerster LLP(2)</w:t>
      </w:r>
    </w:p>
    <w:p>
      <w:pPr>
        <w:spacing w:after="0" w:line="117" w:lineRule="exact"/>
        <w:rPr>
          <w:rFonts w:ascii="Arial" w:cs="Arial" w:eastAsia="Arial" w:hAnsi="Arial"/>
          <w:sz w:val="18"/>
          <w:szCs w:val="18"/>
          <w:color w:val="auto"/>
        </w:rPr>
      </w:pPr>
    </w:p>
    <w:p>
      <w:pPr>
        <w:ind w:left="1340" w:hanging="873"/>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McGladrey LLP(2)</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Report of McGladrey LLP regarding the senior security table contained herein(3)</w:t>
      </w:r>
    </w:p>
    <w:p>
      <w:pPr>
        <w:spacing w:after="0" w:line="117" w:lineRule="exact"/>
        <w:rPr>
          <w:sz w:val="20"/>
          <w:szCs w:val="20"/>
          <w:color w:val="auto"/>
        </w:rPr>
      </w:pPr>
    </w:p>
    <w:p>
      <w:pPr>
        <w:ind w:left="1340" w:hanging="873"/>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40" w:hanging="873"/>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40" w:hanging="873"/>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340" w:right="220" w:hanging="879"/>
        <w:spacing w:after="0" w:line="264" w:lineRule="auto"/>
        <w:tabs>
          <w:tab w:leader="none" w:pos="132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Joint Code of Ethics of Registrant, Fidus Mezzanine Capital, L.P. and Fidus Investment Advisors, LLC (filed as Exhibit (r)(1) to the Registrant’s Registration Statement on Form N-2 (File No. 333-182785) filed with the Securities and Exchange Commission on July 20, 2012 and incorporated herein by reference).</w:t>
      </w:r>
    </w:p>
    <w:p>
      <w:pPr>
        <w:spacing w:after="0" w:line="8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6"/>
          <w:szCs w:val="16"/>
          <w:color w:val="auto"/>
        </w:rPr>
        <w:t>(r)(2)</w:t>
      </w:r>
      <w:r>
        <w:rPr>
          <w:sz w:val="20"/>
          <w:szCs w:val="20"/>
          <w:color w:val="auto"/>
        </w:rPr>
        <w:tab/>
      </w:r>
      <w:r>
        <w:rPr>
          <w:rFonts w:ascii="Arial" w:cs="Arial" w:eastAsia="Arial" w:hAnsi="Arial"/>
          <w:sz w:val="16"/>
          <w:szCs w:val="16"/>
          <w:color w:val="auto"/>
        </w:rPr>
        <w:t>Code of Ethics of Fidus Investment Advisors, LLC (filed as Exhibit (r)(2) to the Registrant’s Registration Statement on Form N-2 (File No.</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333-182785) filed with the Securities and Exchange Commission on July 20, 2012 and incorporated herein by reference).</w:t>
      </w:r>
    </w:p>
    <w:p>
      <w:pPr>
        <w:spacing w:after="0" w:line="116"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Power of Attorney(4)</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(s)(2)</w:t>
      </w:r>
      <w:r>
        <w:rPr>
          <w:sz w:val="20"/>
          <w:szCs w:val="20"/>
          <w:color w:val="auto"/>
        </w:rPr>
        <w:tab/>
      </w:r>
      <w:r>
        <w:rPr>
          <w:rFonts w:ascii="Arial" w:cs="Arial" w:eastAsia="Arial" w:hAnsi="Arial"/>
          <w:sz w:val="18"/>
          <w:szCs w:val="18"/>
          <w:color w:val="auto"/>
        </w:rPr>
        <w:t>Statement of Eligibility of Trustee on Form T-1(1)</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Statement of Computation of Ratio of Earnings to Fixed Charges(3)</w:t>
      </w:r>
    </w:p>
    <w:p>
      <w:pPr>
        <w:spacing w:after="0" w:line="117"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Preliminary Prospectus Supplement for Notes offering.(2)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be filed by subsequent amendment.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Included on the signature page.</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information contained under the heading “Plan of Distribution” on this registration statement is incorporated herein by reference and any information concerning any underwriters will be contained in the accompanying prospectus supplement, if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60" w:right="27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73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7780" w:type="dxa"/>
            <w:vAlign w:val="bottom"/>
            <w:gridSpan w:val="4"/>
          </w:tcPr>
          <w:p>
            <w:pPr>
              <w:ind w:left="240"/>
              <w:spacing w:after="0"/>
              <w:rPr>
                <w:sz w:val="20"/>
                <w:szCs w:val="20"/>
                <w:color w:val="auto"/>
              </w:rPr>
            </w:pPr>
            <w:r>
              <w:rPr>
                <w:rFonts w:ascii="Arial" w:cs="Arial" w:eastAsia="Arial" w:hAnsi="Arial"/>
                <w:sz w:val="18"/>
                <w:szCs w:val="18"/>
                <w:b w:val="1"/>
                <w:bCs w:val="1"/>
                <w:color w:val="auto"/>
              </w:rPr>
              <w:t>Other Expenses of Issuance and Distribution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26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Nasdaq Global Select Market listing fees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195,000</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1"/>
              </w:rPr>
              <w:t>150,000</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300,000</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1"/>
              </w:rPr>
              <w:t>100,000</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2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835,360</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of the expenses set forth above shall be borne by the Company.</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list of our wholly-owned subsidiaries and the jurisdiction in which each subsidiary was organized:</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20"/>
                <w:szCs w:val="20"/>
                <w:color w:val="auto"/>
              </w:rPr>
            </w:pPr>
            <w:r>
              <w:rPr>
                <w:rFonts w:ascii="Arial" w:cs="Arial" w:eastAsia="Arial" w:hAnsi="Arial"/>
                <w:sz w:val="14"/>
                <w:szCs w:val="14"/>
                <w:b w:val="1"/>
                <w:bCs w:val="1"/>
                <w:color w:val="auto"/>
                <w:w w:val="93"/>
              </w:rPr>
              <w:t>Jurisdiction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2"/>
              </w:rPr>
              <w:t>FCAT</w:t>
            </w:r>
          </w:p>
        </w:tc>
        <w:tc>
          <w:tcPr>
            <w:tcW w:w="6540" w:type="dxa"/>
            <w:vAlign w:val="bottom"/>
          </w:tcPr>
          <w:p>
            <w:pPr>
              <w:ind w:left="120"/>
              <w:spacing w:after="0" w:line="189" w:lineRule="exact"/>
              <w:rPr>
                <w:sz w:val="20"/>
                <w:szCs w:val="20"/>
                <w:color w:val="auto"/>
              </w:rPr>
            </w:pPr>
            <w:r>
              <w:rPr>
                <w:rFonts w:ascii="Arial" w:cs="Arial" w:eastAsia="Arial" w:hAnsi="Arial"/>
                <w:sz w:val="18"/>
                <w:szCs w:val="18"/>
                <w:color w:val="auto"/>
              </w:rPr>
              <w:t>Equity Corp.</w:t>
            </w:r>
          </w:p>
        </w:tc>
        <w:tc>
          <w:tcPr>
            <w:tcW w:w="76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89"/>
              </w:rPr>
              <w:t>Delaware</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FCCG Equity Corp.</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FCMH Equity Corp.</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FCPBS Equity Corp.</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Fidus Investment GP, LLC</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Fidus Mezzanine Capital, L.P.</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Fidus Mezzanine Capital II, L.P.</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Fidus Investment Holdings, Inc.</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FCIHA, Inc.</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April 13, 2015.</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3260" w:type="dxa"/>
            <w:vAlign w:val="bottom"/>
            <w:gridSpan w:val="2"/>
          </w:tcPr>
          <w:p>
            <w:pPr>
              <w:jc w:val="center"/>
              <w:ind w:left="2008"/>
              <w:spacing w:after="0"/>
              <w:rPr>
                <w:sz w:val="20"/>
                <w:szCs w:val="20"/>
                <w:color w:val="auto"/>
              </w:rPr>
            </w:pPr>
            <w:r>
              <w:rPr>
                <w:rFonts w:ascii="Arial" w:cs="Arial" w:eastAsia="Arial" w:hAnsi="Arial"/>
                <w:sz w:val="14"/>
                <w:szCs w:val="14"/>
                <w:b w:val="1"/>
                <w:bCs w:val="1"/>
                <w:color w:val="auto"/>
                <w:w w:val="93"/>
              </w:rPr>
              <w:t>Number of Record</w:t>
            </w:r>
          </w:p>
        </w:tc>
        <w:tc>
          <w:tcPr>
            <w:tcW w:w="0" w:type="dxa"/>
            <w:vAlign w:val="bottom"/>
          </w:tcPr>
          <w:p>
            <w:pPr>
              <w:spacing w:after="0"/>
              <w:rPr>
                <w:sz w:val="1"/>
                <w:szCs w:val="1"/>
                <w:color w:val="auto"/>
              </w:rPr>
            </w:pPr>
          </w:p>
        </w:tc>
      </w:tr>
      <w:tr>
        <w:trPr>
          <w:trHeight w:val="158"/>
        </w:trPr>
        <w:tc>
          <w:tcPr>
            <w:tcW w:w="4500" w:type="dxa"/>
            <w:vAlign w:val="bottom"/>
            <w:gridSpan w:val="2"/>
            <w:vMerge w:val="continue"/>
          </w:tcPr>
          <w:p>
            <w:pPr>
              <w:spacing w:after="0"/>
              <w:rPr>
                <w:sz w:val="13"/>
                <w:szCs w:val="13"/>
                <w:color w:val="auto"/>
              </w:rPr>
            </w:pPr>
          </w:p>
        </w:tc>
        <w:tc>
          <w:tcPr>
            <w:tcW w:w="210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Holders</w:t>
            </w: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$0.001 par value</w:t>
            </w:r>
          </w:p>
        </w:tc>
        <w:tc>
          <w:tcPr>
            <w:tcW w:w="2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580" w:firstLine="8"/>
        <w:spacing w:after="0" w:line="323" w:lineRule="auto"/>
        <w:tabs>
          <w:tab w:leader="none" w:pos="2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that eliminates directors’ and officers’ liability to the maximum extent permitted by Maryland law, subject to the requirements of the 1940 Act.</w:t>
      </w:r>
    </w:p>
    <w:p>
      <w:pPr>
        <w:spacing w:after="0" w:line="13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charter authorize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such person may become subject or which such person may incur by reason of his or her service in any such capacity.</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80"/>
          </w:cols>
          <w:pgMar w:left="240" w:top="446"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any such capacity from and against any claim or liability to which that person may become subject or which that person may incur by reason of his or her service in any such capacity. Our bylaws also provide that, to the maximum extent permitted by Maryland law, with the approval of our board of directors and provided that certain conditions described in our bylaws are met, we may pay certain expenses incurred by any such indemnified person in advance of the final disposition of a proceeding upon receipt of an undertaking by or on behalf of such indemnified person to repay amounts we have so paid if it is ultimately determined that indemnification of such expenses is not authorized under our bylaws.</w:t>
      </w:r>
    </w:p>
    <w:p>
      <w:pPr>
        <w:spacing w:after="0" w:line="19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7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obtained primary and excess insurance policies insuring our directors and officers against some liabilities they may incur in their capacity as directors and officers. Under such policies, the insurer, on our behalf, may also pay amounts for which we have granted indemnification to our directors or officers.</w:t>
      </w:r>
    </w:p>
    <w:p>
      <w:pPr>
        <w:spacing w:after="0" w:line="18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Investment Advisory Agreement provides that, absent willful misfeasance, bad faith or gross negligence in the performance of its duties or by reason of the reckless disregard of its duties and obligations, Fidus Investment Advisors, LLC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Fidus Investment Advisors, LLC’s services under the Investment Advisory Agreement.</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Fidus Investment Advisors, LLC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Fidus Investment Advisors, LLC’s services under the Administration Agreement or otherwise as our administrator.</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Insofar as indemnification for liability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ours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Fidus Investment Advisors, LLC, and each managing director, director or executive officer of Fidus Investment Advisors, LLC, is or has been during the past two fiscal years, engaged in for his or her own account or in the capacity of director, officer, employee, partner or trustee, is set forth in Part A of this registration statement in the section entitled “Management.” Additional information regarding the Fidus Investment Advisors, LLC and its officers and directors is set forth in its Form ADV, as filed with the SEC (File No. 801-72285), and is incorporated herein by reference.</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Fidus Investment Corporation, 1603 Orrington Avenue, Suite 1005, Evanston, Illinois 60201;</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59 Maiden Lane, Plaza Level, New York, New York 10038;</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Custodian, U.S. Bank National Association, Corporate Trust Services, One Federal Street, 3</w:t>
      </w:r>
      <w:r>
        <w:rPr>
          <w:rFonts w:ascii="Arial" w:cs="Arial" w:eastAsia="Arial" w:hAnsi="Arial"/>
          <w:sz w:val="14"/>
          <w:szCs w:val="14"/>
          <w:color w:val="auto"/>
        </w:rPr>
        <w:t>rd</w:t>
      </w:r>
      <w:r>
        <w:rPr>
          <w:rFonts w:ascii="Arial" w:cs="Arial" w:eastAsia="Arial" w:hAnsi="Arial"/>
          <w:sz w:val="17"/>
          <w:szCs w:val="17"/>
          <w:color w:val="auto"/>
        </w:rPr>
        <w:t xml:space="preserve"> Floor, Boston, Massachusetts 02110;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Fidus Investment Advisors, LLC, 1603 Orrington Avenue, Suite 1005, Evanston, Illinois 60201.</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60" w:hanging="452"/>
        <w:spacing w:after="0" w:line="26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(a) subsequent to the effective date of its registration statement, the net asset value declines more than 10.0% from its net asset value as of the effective date of the registration statement; or (b)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that the securities being registered are to be offered to existing shareholders pursuant to warrants or rights, and any securities not taken by shareholders are to be reoffered to the public, we undertake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materially from those set forth on the cover page of the prospectus, we undertake to file a post-effective amendment to set forth the terms of such offering.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60" w:hanging="567"/>
        <w:spacing w:after="0" w:line="264" w:lineRule="auto"/>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to reflect in the prospectus or prospectus supplement any facts or events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86" w:lineRule="exact"/>
        <w:rPr>
          <w:rFonts w:ascii="Arial" w:cs="Arial" w:eastAsia="Arial" w:hAnsi="Arial"/>
          <w:sz w:val="18"/>
          <w:szCs w:val="18"/>
          <w:color w:val="auto"/>
        </w:rPr>
      </w:pPr>
    </w:p>
    <w:p>
      <w:pPr>
        <w:ind w:left="1480" w:right="200" w:hanging="567"/>
        <w:spacing w:after="0" w:line="277" w:lineRule="auto"/>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that each such post-effective amendment to this registration statement shall be deemed to be a new registration statement relating to the securities offered therein,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00" w:right="60" w:hanging="446"/>
        <w:spacing w:after="0" w:line="290" w:lineRule="auto"/>
        <w:tabs>
          <w:tab w:leader="none" w:pos="9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that if we are subject to Rule 430C under the Securities Act, each prospectus filed pursuant to Rule 497(b), (c), (d) or (e) under the Securities Act as part of this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or prospectus supplement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900" w:right="80" w:hanging="446"/>
        <w:spacing w:after="0" w:line="279" w:lineRule="auto"/>
        <w:tabs>
          <w:tab w:leader="none" w:pos="90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for the purpose of determining liability of the Company under the Securities Act to any purchaser in the initial distribution of securities, in a primary offering of securities of the undersigned registrant pursuant to this registration statement, regardless of the underwriting method used to sell such securities to the purchaser, that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80" w:right="40" w:hanging="567"/>
        <w:spacing w:after="0" w:line="277" w:lineRule="auto"/>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preliminary prospectus or prospectus or prospectus supplement of us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80" w:right="260" w:hanging="567"/>
        <w:spacing w:after="0" w:line="277" w:lineRule="auto"/>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hereby undertake to file a post-effective amendment containing a prospectus pursuant to Section 8(c) of the Securities Act prior to any offering of shares of our common stock below net asset value (“NAV”) if the cumulative dilution to our NAV per share, together with the cumulative dilution to our NAV per share of any prior offerings made pursuant to this registration statement (the “current registration statement”), exceeds fifteen percent (15%). If we file a new post-effective amendment to the current registration statement pursuant to Section 8(c) of the Securities Act, the threshold would reset.</w:t>
      </w:r>
    </w:p>
    <w:p>
      <w:pPr>
        <w:spacing w:after="0" w:line="93"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this registration statement pursuant to Section 8(c) of the Securities Act, and to suspend any offers or sales pursuant to this registration statement until such post-effective amendment has been declared effective, in the event that our common stock is trading below NAV and either: (i) we receive or have been advised by our independent registered accountants that we will receive an audit report reflecting substantial doubt regarding our ability to continue as a going concern; or (ii) we have concluded that a material adverse change has occurred in our financial position or results of operations that has caused the financial statements and other disclosures on the basis of which the offering would be made to be materially misleading.</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00"/>
          </w:cols>
          <w:pgMar w:left="240" w:top="460"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and/or the Investment Company Act of 1940, the Registrant has duly caused this Registration Statement on Form N-2 to be signed on its behalf by the undersigned, thereunto duly authorized, in Evanston, Illinois, on the 16</w:t>
      </w:r>
      <w:r>
        <w:rPr>
          <w:rFonts w:ascii="Arial" w:cs="Arial" w:eastAsia="Arial" w:hAnsi="Arial"/>
          <w:sz w:val="15"/>
          <w:szCs w:val="15"/>
          <w:color w:val="auto"/>
        </w:rPr>
        <w:t>th</w:t>
      </w:r>
      <w:r>
        <w:rPr>
          <w:rFonts w:ascii="Arial" w:cs="Arial" w:eastAsia="Arial" w:hAnsi="Arial"/>
          <w:sz w:val="18"/>
          <w:szCs w:val="18"/>
          <w:color w:val="auto"/>
        </w:rPr>
        <w:t xml:space="preserve"> day of April,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H. Ross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60"/>
              <w:spacing w:after="0"/>
              <w:rPr>
                <w:sz w:val="20"/>
                <w:szCs w:val="20"/>
                <w:color w:val="auto"/>
              </w:rPr>
            </w:pPr>
            <w:r>
              <w:rPr>
                <w:rFonts w:ascii="Arial" w:cs="Arial" w:eastAsia="Arial" w:hAnsi="Arial"/>
                <w:sz w:val="18"/>
                <w:szCs w:val="18"/>
                <w:color w:val="auto"/>
              </w:rPr>
              <w:t>Edward H. Ross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PERSONS BY THESE PRESENT, that each person whose signature appears below constitutes and appoints Edward H. Ross as true and lawful attorneys-in-fact and agents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either of them might or could do in person, hereby ratifying and confirming all that said attorneys-in-fact and agents, or his or her substitute, may lawfully do or cause to be done by virtue hereof.</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1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6"/>
                <w:szCs w:val="16"/>
                <w:color w:val="auto"/>
              </w:rPr>
            </w:pPr>
          </w:p>
        </w:tc>
      </w:tr>
      <w:tr>
        <w:trPr>
          <w:trHeight w:val="304"/>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ROSS</w:t>
            </w:r>
          </w:p>
        </w:tc>
        <w:tc>
          <w:tcPr>
            <w:tcW w:w="1820" w:type="dxa"/>
            <w:vAlign w:val="bottom"/>
            <w:tcBorders>
              <w:bottom w:val="single" w:sz="8" w:color="auto"/>
            </w:tcBorders>
          </w:tcPr>
          <w:p>
            <w:pPr>
              <w:spacing w:after="0"/>
              <w:rPr>
                <w:sz w:val="24"/>
                <w:szCs w:val="24"/>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Chairman, President and Chief Executive Officer</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April 16, 2015</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Edward H. Ross</w:t>
            </w:r>
          </w:p>
        </w:tc>
        <w:tc>
          <w:tcPr>
            <w:tcW w:w="1820" w:type="dxa"/>
            <w:vAlign w:val="bottom"/>
          </w:tcPr>
          <w:p>
            <w:pPr>
              <w:spacing w:after="0"/>
              <w:rPr>
                <w:sz w:val="19"/>
                <w:szCs w:val="19"/>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(Principal Executive Officer)</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SHELBY E. SHERARD</w:t>
            </w:r>
          </w:p>
        </w:tc>
        <w:tc>
          <w:tcPr>
            <w:tcW w:w="1820" w:type="dxa"/>
            <w:vAlign w:val="bottom"/>
            <w:tcBorders>
              <w:bottom w:val="single" w:sz="8" w:color="auto"/>
            </w:tcBorders>
          </w:tcPr>
          <w:p>
            <w:pPr>
              <w:spacing w:after="0"/>
              <w:rPr>
                <w:sz w:val="24"/>
                <w:szCs w:val="24"/>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April 16, 2015</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Shelby E. Sherard</w:t>
            </w:r>
          </w:p>
        </w:tc>
        <w:tc>
          <w:tcPr>
            <w:tcW w:w="1820" w:type="dxa"/>
            <w:vAlign w:val="bottom"/>
          </w:tcPr>
          <w:p>
            <w:pPr>
              <w:spacing w:after="0"/>
              <w:rPr>
                <w:sz w:val="19"/>
                <w:szCs w:val="19"/>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(Principal Financial and Accounting Officer)</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LAUER</w:t>
            </w:r>
          </w:p>
        </w:tc>
        <w:tc>
          <w:tcPr>
            <w:tcW w:w="1820" w:type="dxa"/>
            <w:vAlign w:val="bottom"/>
            <w:tcBorders>
              <w:bottom w:val="single" w:sz="8" w:color="auto"/>
            </w:tcBorders>
          </w:tcPr>
          <w:p>
            <w:pPr>
              <w:spacing w:after="0"/>
              <w:rPr>
                <w:sz w:val="24"/>
                <w:szCs w:val="24"/>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April 16, 2015</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Thomas C. Lauer</w:t>
            </w:r>
          </w:p>
        </w:tc>
        <w:tc>
          <w:tcPr>
            <w:tcW w:w="18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 RAYMOND L. ANSTISS, JR.</w:t>
            </w:r>
          </w:p>
        </w:tc>
        <w:tc>
          <w:tcPr>
            <w:tcW w:w="1820" w:type="dxa"/>
            <w:vAlign w:val="bottom"/>
            <w:tcBorders>
              <w:bottom w:val="single" w:sz="8" w:color="auto"/>
            </w:tcBorders>
          </w:tcPr>
          <w:p>
            <w:pPr>
              <w:spacing w:after="0"/>
              <w:rPr>
                <w:sz w:val="24"/>
                <w:szCs w:val="24"/>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April 16, 2015</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Raymond L. Anstiss</w:t>
            </w:r>
          </w:p>
        </w:tc>
        <w:tc>
          <w:tcPr>
            <w:tcW w:w="18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D. HYMAN</w:t>
            </w:r>
          </w:p>
        </w:tc>
        <w:tc>
          <w:tcPr>
            <w:tcW w:w="1820" w:type="dxa"/>
            <w:vAlign w:val="bottom"/>
            <w:tcBorders>
              <w:bottom w:val="single" w:sz="8" w:color="auto"/>
            </w:tcBorders>
          </w:tcPr>
          <w:p>
            <w:pPr>
              <w:spacing w:after="0"/>
              <w:rPr>
                <w:sz w:val="24"/>
                <w:szCs w:val="24"/>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April 16, 2015</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Charles D. Hyman</w:t>
            </w:r>
          </w:p>
        </w:tc>
        <w:tc>
          <w:tcPr>
            <w:tcW w:w="18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MAZZARINO</w:t>
            </w:r>
          </w:p>
        </w:tc>
        <w:tc>
          <w:tcPr>
            <w:tcW w:w="1820" w:type="dxa"/>
            <w:vAlign w:val="bottom"/>
            <w:tcBorders>
              <w:bottom w:val="single" w:sz="8" w:color="auto"/>
            </w:tcBorders>
          </w:tcPr>
          <w:p>
            <w:pPr>
              <w:spacing w:after="0"/>
              <w:rPr>
                <w:sz w:val="24"/>
                <w:szCs w:val="24"/>
                <w:color w:val="auto"/>
              </w:rPr>
            </w:pPr>
          </w:p>
        </w:tc>
        <w:tc>
          <w:tcPr>
            <w:tcW w:w="47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5"/>
              </w:rPr>
              <w:t>April 16, 2015</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John A. Mazzarino</w:t>
            </w:r>
          </w:p>
        </w:tc>
        <w:tc>
          <w:tcPr>
            <w:tcW w:w="18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line="200" w:lineRule="exact"/>
        <w:rPr>
          <w:sz w:val="20"/>
          <w:szCs w:val="20"/>
          <w:color w:val="auto"/>
        </w:rPr>
      </w:pP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2000 PENNSYLVANIA AVE.,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783715" cy="291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3715" cy="291465"/>
                    </a:xfrm>
                    <a:prstGeom prst="rect">
                      <a:avLst/>
                    </a:prstGeom>
                    <a:noFill/>
                  </pic:spPr>
                </pic:pic>
              </a:graphicData>
            </a:graphic>
          </wp:anchor>
        </w:drawing>
      </w:r>
    </w:p>
    <w:p>
      <w:pPr>
        <w:ind w:left="6180"/>
        <w:spacing w:after="0" w:line="237" w:lineRule="auto"/>
        <w:rPr>
          <w:sz w:val="20"/>
          <w:szCs w:val="20"/>
          <w:color w:val="auto"/>
        </w:rPr>
      </w:pPr>
      <w:r>
        <w:rPr>
          <w:rFonts w:ascii="Arial" w:cs="Arial" w:eastAsia="Arial" w:hAnsi="Arial"/>
          <w:sz w:val="14"/>
          <w:szCs w:val="14"/>
          <w:color w:val="auto"/>
        </w:rPr>
        <w:t>WASHINGTON, D.C.</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20006-1888</w:t>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TELEPHONE: 202.887.1500</w:t>
      </w:r>
    </w:p>
    <w:p>
      <w:pPr>
        <w:ind w:left="6180"/>
        <w:spacing w:after="0"/>
        <w:rPr>
          <w:sz w:val="20"/>
          <w:szCs w:val="20"/>
          <w:color w:val="auto"/>
        </w:rPr>
      </w:pPr>
      <w:r>
        <w:rPr>
          <w:rFonts w:ascii="Arial" w:cs="Arial" w:eastAsia="Arial" w:hAnsi="Arial"/>
          <w:sz w:val="14"/>
          <w:szCs w:val="14"/>
          <w:color w:val="auto"/>
        </w:rPr>
        <w:t>FACSIMILE: 202.887.0763</w:t>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WWW.MOFO.COM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(L)</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MORRISON &amp; FOERSTER LLP</w:t>
      </w:r>
    </w:p>
    <w:p>
      <w:pPr>
        <w:spacing w:after="0" w:line="65" w:lineRule="exact"/>
        <w:rPr>
          <w:sz w:val="20"/>
          <w:szCs w:val="20"/>
          <w:color w:val="auto"/>
        </w:rPr>
      </w:pPr>
    </w:p>
    <w:p>
      <w:pPr>
        <w:ind w:right="980"/>
        <w:spacing w:after="0" w:line="266" w:lineRule="auto"/>
        <w:rPr>
          <w:sz w:val="20"/>
          <w:szCs w:val="20"/>
          <w:color w:val="auto"/>
        </w:rPr>
      </w:pPr>
      <w:r>
        <w:rPr>
          <w:rFonts w:ascii="Arial" w:cs="Arial" w:eastAsia="Arial" w:hAnsi="Arial"/>
          <w:sz w:val="11"/>
          <w:szCs w:val="11"/>
          <w:color w:val="auto"/>
        </w:rPr>
        <w:t>NEW YORK, SAN FRANCISCO, LOS ANGELES, PALO ALTO, SACRAMENTO, SAN DIEGO, DENVER, NORTHERN VIRGINIA, WASHINGTON, D.C.</w:t>
      </w:r>
    </w:p>
    <w:p>
      <w:pPr>
        <w:spacing w:after="0" w:line="42" w:lineRule="exact"/>
        <w:rPr>
          <w:sz w:val="20"/>
          <w:szCs w:val="20"/>
          <w:color w:val="auto"/>
        </w:rPr>
      </w:pPr>
    </w:p>
    <w:p>
      <w:pPr>
        <w:ind w:right="620"/>
        <w:spacing w:after="0" w:line="243" w:lineRule="auto"/>
        <w:rPr>
          <w:sz w:val="20"/>
          <w:szCs w:val="20"/>
          <w:color w:val="auto"/>
        </w:rPr>
      </w:pPr>
      <w:r>
        <w:rPr>
          <w:rFonts w:ascii="Arial" w:cs="Arial" w:eastAsia="Arial" w:hAnsi="Arial"/>
          <w:sz w:val="12"/>
          <w:szCs w:val="12"/>
          <w:color w:val="auto"/>
        </w:rPr>
        <w:t>TOKYO, LONDON, BERLIN, BRUSSELS, BEIJING, SHANGHAI, HONG KONG, SINGAPORE</w:t>
      </w:r>
    </w:p>
    <w:p>
      <w:pPr>
        <w:spacing w:after="0" w:line="200" w:lineRule="exact"/>
        <w:rPr>
          <w:sz w:val="20"/>
          <w:szCs w:val="20"/>
          <w:color w:val="auto"/>
        </w:rPr>
      </w:pPr>
    </w:p>
    <w:p>
      <w:pPr>
        <w:sectPr>
          <w:pgSz w:w="11900" w:h="16838" w:orient="portrait"/>
          <w:cols w:equalWidth="0" w:num="2">
            <w:col w:w="8220" w:space="480"/>
            <w:col w:w="2720"/>
          </w:cols>
          <w:pgMar w:left="240" w:top="121" w:right="2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Fidus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1005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1620 Orrington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Evanston, Illinois 60201</w:t>
      </w:r>
    </w:p>
    <w:p>
      <w:pPr>
        <w:spacing w:after="0" w:line="3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N-2 (File No. 333-202531)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acted as counsel to Fidus Investment Corporation,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its preparation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registration statement on Form N-2 (as amended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“Securities Act”) relating to the offering from time to time, together or separately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 one or more series (if applicable), of an indeterminate amount of the following securities having an aggregate initial offering price of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$300,000,000 (collectively, the “</w:t>
      </w:r>
      <w:r>
        <w:rPr>
          <w:rFonts w:ascii="Arial" w:cs="Arial" w:eastAsia="Arial" w:hAnsi="Arial"/>
          <w:sz w:val="16"/>
          <w:szCs w:val="16"/>
          <w:u w:val="single" w:color="auto"/>
          <w:color w:val="auto"/>
        </w:rPr>
        <w:t>Securities</w:t>
      </w:r>
      <w:r>
        <w:rPr>
          <w:rFonts w:ascii="Arial" w:cs="Arial" w:eastAsia="Arial" w:hAnsi="Arial"/>
          <w:sz w:val="16"/>
          <w:szCs w:val="16"/>
          <w:color w:val="auto"/>
        </w:rPr>
        <w:t>”): (a) shares of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(b) shares of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 value $0.001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(c) subscription rights to purchase Common Stock (the “</w:t>
      </w:r>
      <w:r>
        <w:rPr>
          <w:rFonts w:ascii="Arial" w:cs="Arial" w:eastAsia="Arial" w:hAnsi="Arial"/>
          <w:sz w:val="17"/>
          <w:szCs w:val="17"/>
          <w:u w:val="single" w:color="auto"/>
          <w:color w:val="auto"/>
        </w:rPr>
        <w:t>Rights</w:t>
      </w:r>
      <w:r>
        <w:rPr>
          <w:rFonts w:ascii="Arial" w:cs="Arial" w:eastAsia="Arial" w:hAnsi="Arial"/>
          <w:sz w:val="17"/>
          <w:szCs w:val="17"/>
          <w:color w:val="auto"/>
        </w:rPr>
        <w:t>”); (d) debt securities (the “</w:t>
      </w:r>
      <w:r>
        <w:rPr>
          <w:rFonts w:ascii="Arial" w:cs="Arial" w:eastAsia="Arial" w:hAnsi="Arial"/>
          <w:sz w:val="17"/>
          <w:szCs w:val="17"/>
          <w:u w:val="single" w:color="auto"/>
          <w:color w:val="auto"/>
        </w:rPr>
        <w:t>Debt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and (e) warrants representing rights to purchase Common Stock, Preferred Stock or Debt Securities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Securities being registered under the Registration Statement will be offered by the Company on a continuous or delayed basis pursuant to the provisions of Rule 415 under the Securities Act in amounts, at prices, and on terms to be set forth in one or more supplements to the final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included in the Registration Statement at the time it becomes effective.</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Rights are to be issued from time to time pursuant to one or more rights agreements (each, a “</w:t>
      </w:r>
      <w:r>
        <w:rPr>
          <w:rFonts w:ascii="Arial" w:cs="Arial" w:eastAsia="Arial" w:hAnsi="Arial"/>
          <w:sz w:val="18"/>
          <w:szCs w:val="18"/>
          <w:u w:val="single" w:color="auto"/>
          <w:color w:val="auto"/>
        </w:rPr>
        <w:t>Rights Agreement</w:t>
      </w:r>
      <w:r>
        <w:rPr>
          <w:rFonts w:ascii="Arial" w:cs="Arial" w:eastAsia="Arial" w:hAnsi="Arial"/>
          <w:sz w:val="18"/>
          <w:szCs w:val="18"/>
          <w:color w:val="auto"/>
        </w:rPr>
        <w:t>”) to be entered into by the Company and the purchasers thereof or a rights agent to be identified in the applicable Rights Agreement.</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The Debt Securities are to be issued from time to time pursuant to an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to be entered into by the Company and a trustee to be identified in the Indenture.</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Warrants are to be issued from time to time pursuant to one or more warrant agreements (each, a “</w:t>
      </w:r>
      <w:r>
        <w:rPr>
          <w:rFonts w:ascii="Arial" w:cs="Arial" w:eastAsia="Arial" w:hAnsi="Arial"/>
          <w:sz w:val="18"/>
          <w:szCs w:val="18"/>
          <w:u w:val="single" w:color="auto"/>
          <w:color w:val="auto"/>
        </w:rPr>
        <w:t>Warrant Agreement</w:t>
      </w:r>
      <w:r>
        <w:rPr>
          <w:rFonts w:ascii="Arial" w:cs="Arial" w:eastAsia="Arial" w:hAnsi="Arial"/>
          <w:sz w:val="18"/>
          <w:szCs w:val="18"/>
          <w:color w:val="auto"/>
        </w:rPr>
        <w:t>”) to be entered into by the Company and the purchasers thereof or a warrant agent to be identified in the applicable Warrant Agreement.</w:t>
      </w:r>
    </w:p>
    <w:p>
      <w:pPr>
        <w:sectPr>
          <w:pgSz w:w="11900" w:h="16838" w:orient="portrait"/>
          <w:cols w:equalWidth="0" w:num="1">
            <w:col w:w="11420"/>
          </w:cols>
          <w:pgMar w:left="240" w:top="121" w:right="23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83715" cy="291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783715" cy="291465"/>
                    </a:xfrm>
                    <a:prstGeom prst="rect">
                      <a:avLst/>
                    </a:prstGeom>
                    <a:noFill/>
                  </pic:spPr>
                </pic:pic>
              </a:graphicData>
            </a:graphic>
          </wp:anchor>
        </w:drawing>
        <w:t>Fidus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In connection with this opinion, we have examined such corporate records, documents, instruments, certificates of public officials and of the Company and such questions of law as we have deemed necessary for the purpose of rendering the opinions set forth herein. We also have examined the Registration Statement, substantially in the form in which it was transmitted to the Commission.</w:t>
      </w:r>
    </w:p>
    <w:p>
      <w:pPr>
        <w:spacing w:after="0" w:line="18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 such examination, we have assumed the genuineness of all signatures and the authenticity of all items submitted to us as originals and the conformity with originals of all items submitted to us as copies.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also assumed the effectiveness of the Registration Statement under the Securities Act before any Securities are sold pursuant thereto.</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opinions hereinafter expressed are subject to the following qualifications and exceptions:</w:t>
      </w:r>
    </w:p>
    <w:p>
      <w:pPr>
        <w:spacing w:after="0" w:line="131" w:lineRule="exact"/>
        <w:rPr>
          <w:sz w:val="20"/>
          <w:szCs w:val="20"/>
          <w:color w:val="auto"/>
        </w:rPr>
      </w:pPr>
    </w:p>
    <w:p>
      <w:pPr>
        <w:ind w:left="900" w:right="80" w:hanging="446"/>
        <w:spacing w:after="0" w:line="342"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effect of bankruptcy, insolvency, reorganization, arrangement, moratorium or other similar laws relating to or affecting the rights of creditors generally, including, without limitation, laws relating to fraudulent transfers or conveyances, preferences and equitable subordination;</w:t>
      </w:r>
    </w:p>
    <w:p>
      <w:pPr>
        <w:spacing w:after="0" w:line="29" w:lineRule="exact"/>
        <w:rPr>
          <w:rFonts w:ascii="Arial" w:cs="Arial" w:eastAsia="Arial" w:hAnsi="Arial"/>
          <w:sz w:val="16"/>
          <w:szCs w:val="16"/>
          <w:color w:val="auto"/>
        </w:rPr>
      </w:pPr>
    </w:p>
    <w:p>
      <w:pPr>
        <w:ind w:left="900" w:hanging="446"/>
        <w:spacing w:after="0" w:line="312"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limitations imposed by general principles of equity upon the availability of equitable remedies or the enforcement of provisions of any Securities, and the effect of judicial decisions which have held that certain provisions are unenforceable where their enforcement would violate the implied covenant of good faith and fair dealing, or would be commercially unreasonable, or where their breach is not material; and</w:t>
      </w:r>
    </w:p>
    <w:p>
      <w:pPr>
        <w:spacing w:after="0" w:line="52"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opinion is based upon current statutes, rules, regulations, cases and official interpretive opinions, and it covers certain items that are not directly or definitively addressed by such authorities.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117" w:lineRule="exact"/>
        <w:rPr>
          <w:sz w:val="20"/>
          <w:szCs w:val="20"/>
          <w:color w:val="auto"/>
        </w:rPr>
      </w:pPr>
    </w:p>
    <w:p>
      <w:pPr>
        <w:ind w:left="1180" w:hanging="259"/>
        <w:spacing w:after="0"/>
        <w:tabs>
          <w:tab w:leader="none" w:pos="11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w:t>
      </w:r>
    </w:p>
    <w:p>
      <w:pPr>
        <w:spacing w:after="0" w:line="140" w:lineRule="exact"/>
        <w:rPr>
          <w:rFonts w:ascii="Arial" w:cs="Arial" w:eastAsia="Arial" w:hAnsi="Arial"/>
          <w:sz w:val="16"/>
          <w:szCs w:val="16"/>
          <w:color w:val="auto"/>
        </w:rPr>
      </w:pPr>
    </w:p>
    <w:p>
      <w:pPr>
        <w:ind w:right="40" w:firstLine="921"/>
        <w:spacing w:after="0" w:line="276" w:lineRule="auto"/>
        <w:tabs>
          <w:tab w:leader="none" w:pos="116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With respect to any shares of Common Stock to be offered pursuant to the Registration Statement, when (i) the Common Stock has been authorized, offered and sold in accordance with the Registration Statement, including the prospectus supplement related thereto, and, if in an underwritten offering, a valid and binding purchase, underwriting or agency agreement, and (ii) the Common Stock has been duly delivered to the purchasers thereof upon payment of the agreed-upon consideration therefor, the Common Stock (including any Common Stock duly issued upon conversion, exchange or exercise of any Preferred Stock or Warrants) will be validly issued, fully paid and nonassessable.</w:t>
      </w:r>
    </w:p>
    <w:p>
      <w:pPr>
        <w:sectPr>
          <w:pgSz w:w="11900" w:h="16838" w:orient="portrait"/>
          <w:cols w:equalWidth="0" w:num="1">
            <w:col w:w="11380"/>
          </w:cols>
          <w:pgMar w:left="240" w:top="841" w:right="2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83715" cy="291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783715" cy="291465"/>
                    </a:xfrm>
                    <a:prstGeom prst="rect">
                      <a:avLst/>
                    </a:prstGeom>
                    <a:noFill/>
                  </pic:spPr>
                </pic:pic>
              </a:graphicData>
            </a:graphic>
          </wp:anchor>
        </w:drawing>
        <w:t>Fidus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 w:firstLine="921"/>
        <w:spacing w:after="0" w:line="293" w:lineRule="auto"/>
        <w:tabs>
          <w:tab w:leader="none" w:pos="116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 respect to any shares of Preferred Stock to be offered pursuant to the Registration Statement, when (i) the applicable certificate of designation has been duly authorized and executed by the Company and filed with and accepted for recording by the State Department of Assessments and Taxation of Maryland, (ii) the Preferred Stock has been authorized, offered and sold in accordance with the Registration Statement, including the prospectus supplement related thereto, and, if in an underwritten offering, a valid and binding purchase, underwriting or agency agreement, and (iii) the Preferred Stock has been duly delivered to the purchasers thereof upon payment of the agreed-upon consideration therefor, the Preferred Stock (including any Preferred Stock duly issued upon conversion, exchange or exercise of any Preferred Stock or Warrants) will be validly issued, fully paid and nonassessable.</w:t>
      </w:r>
    </w:p>
    <w:p>
      <w:pPr>
        <w:spacing w:after="0" w:line="56" w:lineRule="exact"/>
        <w:rPr>
          <w:rFonts w:ascii="Arial" w:cs="Arial" w:eastAsia="Arial" w:hAnsi="Arial"/>
          <w:sz w:val="16"/>
          <w:szCs w:val="16"/>
          <w:color w:val="auto"/>
        </w:rPr>
      </w:pPr>
    </w:p>
    <w:p>
      <w:pPr>
        <w:ind w:right="120" w:firstLine="921"/>
        <w:spacing w:after="0" w:line="255" w:lineRule="auto"/>
        <w:tabs>
          <w:tab w:leader="none" w:pos="11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 (i) the Rights Agreement has been duly authorized and validly executed and delivered by the Company and each party thereto, (ii) the terms of the Rights to be issued under the applicable Rights Agreement and of their issuance and sale have been established in accordance with the Rights Agreement, and (iii) the Rights have been issued and sold as contemplated in the Registration Statement and executed and authenticated and delivered in accordance with the applicable Rights Agreement, the Rights will constitute legal, valid, binding and enforceable obligations of the Company. The Rights covered by the opinion in this paragraph include any Rights that may be issued as part of a unit or upon exercise or otherwise pursuant to the terms of any other Securities.</w:t>
      </w:r>
    </w:p>
    <w:p>
      <w:pPr>
        <w:spacing w:after="0" w:line="85" w:lineRule="exact"/>
        <w:rPr>
          <w:rFonts w:ascii="Arial" w:cs="Arial" w:eastAsia="Arial" w:hAnsi="Arial"/>
          <w:sz w:val="18"/>
          <w:szCs w:val="18"/>
          <w:color w:val="auto"/>
        </w:rPr>
      </w:pPr>
    </w:p>
    <w:p>
      <w:pPr>
        <w:ind w:firstLine="921"/>
        <w:spacing w:after="0" w:line="297" w:lineRule="auto"/>
        <w:tabs>
          <w:tab w:leader="none" w:pos="116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When the Indenture has been duly authorized, executed and delivered by each of the Company and the trustee in accordance with the terms of the Indenture, and when (i) the Debt Securities to be issued under the Indenture have been duly authorized, (ii) the terms of the Debt Securities to be issued under the Indenture and of their issuance and sale have been duly established in conformity with the Indenture, (iii) the Debt Securities have been duly executed and authenticated in accordance with the Indenture and (iv) the Debt Securities have been issued and sold as contemplated in the Registration Statement, the Debt Securities will be legal, valid, binding and enforceable obligations of the Company, entitled to the benefits of the Indenture.</w:t>
      </w:r>
    </w:p>
    <w:p>
      <w:pPr>
        <w:spacing w:after="0" w:line="50" w:lineRule="exact"/>
        <w:rPr>
          <w:rFonts w:ascii="Arial" w:cs="Arial" w:eastAsia="Arial" w:hAnsi="Arial"/>
          <w:sz w:val="16"/>
          <w:szCs w:val="16"/>
          <w:color w:val="auto"/>
        </w:rPr>
      </w:pPr>
    </w:p>
    <w:p>
      <w:pPr>
        <w:ind w:firstLine="921"/>
        <w:spacing w:after="0" w:line="255" w:lineRule="auto"/>
        <w:tabs>
          <w:tab w:leader="none" w:pos="11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 (i) the Warrant Agreement has been duly authorized and validly executed and delivered by the Company and each party thereto, (ii) the terms of the Warrants to be issued under the applicable Warrant Agreement and of their issuance and sale have been established in accordance with the Warrant Agreement, and (iii) the Warrants have been issued and sold as contemplated in the Registration Statement and executed and authenticated and delivered in accordance with the applicable Warrant Agreement, the Warrants will constitute legal, valid, binding and enforceable obligations of the Company. The Warrants covered by the opinion in this paragraph include any Warrants that may be issued as part of a unit or upon exercise or otherwise pursuant to the terms of any other Securities.</w:t>
      </w:r>
    </w:p>
    <w:p>
      <w:pPr>
        <w:sectPr>
          <w:pgSz w:w="11900" w:h="16838" w:orient="portrait"/>
          <w:cols w:equalWidth="0" w:num="1">
            <w:col w:w="11400"/>
          </w:cols>
          <w:pgMar w:left="240" w:top="841" w:right="2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783715" cy="291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783715" cy="291465"/>
                    </a:xfrm>
                    <a:prstGeom prst="rect">
                      <a:avLst/>
                    </a:prstGeom>
                    <a:noFill/>
                  </pic:spPr>
                </pic:pic>
              </a:graphicData>
            </a:graphic>
          </wp:anchor>
        </w:drawing>
        <w:t>Fidus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This opinion letter is limited to the effect of the Maryland General Corporation Law, and as to the Debt Securities, the Warrants and the Rights constituting valid and legally binding obligations of the Company, the laws of the State of New York, in each case, as in effect on the date hereof, and we express no opinion as to the applicability or effect of any other laws of the State of Maryland or the laws of any other jurisdictions.</w:t>
      </w:r>
    </w:p>
    <w:p>
      <w:pPr>
        <w:spacing w:after="0" w:line="166"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hereby consent to the use of our name under the heading “Legal Matters” in the Registration Statement to be filed by the Company with the Commission. We further consent to your filing a copy of this opinion as Exhibit L to the Registration Statement. In giving such permission, we do not admit hereby that we come within the category of persons whose consent is required under Section 7 of the Securities Act, or the rules and regulations of the Commission thereunder. We disclaim any undertaking to advise you of any subsequent changes of the facts stated or assumed herein or any subsequent changes in applicable law.</w:t>
      </w: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Morrison &amp; Foerster LLP</w:t>
      </w:r>
    </w:p>
    <w:p>
      <w:pPr>
        <w:sectPr>
          <w:pgSz w:w="11900" w:h="16838" w:orient="portrait"/>
          <w:cols w:equalWidth="0" w:num="1">
            <w:col w:w="11260"/>
          </w:cols>
          <w:pgMar w:left="240" w:top="841" w:right="39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n(1)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consent to the use in this Pre-Effective Amendment No. 1 to the Registration Statement (No. 333-202531) on Form N-2 of Fidus Investment Corporation and Subsidiaries (collectively, the Company) of our reports dated March 5, 2015, relating to our audits of the consolidated financial statements, internal control over financial reporting and senior securities table, appearing in this Registration Statement.</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also consent to the reference to our firm under the captions “Independent Registered Public Accounting Firm”, “Senior Securities” and “Selected Consolidated Financial Data” in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ectPr>
          <w:pgSz w:w="11900" w:h="16838" w:orient="portrait"/>
          <w:cols w:equalWidth="0" w:num="1">
            <w:col w:w="11420"/>
          </w:cols>
          <w:pgMar w:left="240" w:top="121" w:right="239" w:bottom="1440" w:gutter="0" w:footer="0" w:header="0"/>
        </w:sectPr>
      </w:pPr>
    </w:p>
    <w:bookmarkStart w:id="196" w:name="page197"/>
    <w:bookmarkEnd w:id="196"/>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securities has been filed with and declared effective by the Securities and Exchange Commission.] This preliminary prospectus supplement and the accompanying prospectus are not an offer to sell these securities and it is not soliciting an offer to buy these securities in any jurisdiction where the offer or sale is not permitted.</w:t>
      </w:r>
    </w:p>
    <w:p>
      <w:pPr>
        <w:spacing w:after="0" w:line="18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Filed pursuant to Rule 497</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Registration No.</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Preliminary Prospectus Supplement dated [</w:t>
      </w:r>
      <w:r>
        <w:rPr>
          <w:rFonts w:ascii="Arial" w:cs="Arial" w:eastAsia="Arial" w:hAnsi="Arial"/>
          <w:sz w:val="18"/>
          <w:szCs w:val="18"/>
          <w:color w:val="DE1A1E"/>
        </w:rPr>
        <w:t>—</w:t>
      </w:r>
      <w:r>
        <w:rPr>
          <w:rFonts w:ascii="Arial" w:cs="Arial" w:eastAsia="Arial" w:hAnsi="Arial"/>
          <w:sz w:val="18"/>
          <w:szCs w:val="18"/>
          <w:b w:val="1"/>
          <w:bCs w:val="1"/>
          <w:color w:val="DE1A1E"/>
        </w:rPr>
        <w:t>], 20[</w:t>
      </w:r>
      <w:r>
        <w:rPr>
          <w:rFonts w:ascii="Arial" w:cs="Arial" w:eastAsia="Arial" w:hAnsi="Arial"/>
          <w:sz w:val="18"/>
          <w:szCs w:val="18"/>
          <w:color w:val="DE1A1E"/>
        </w:rPr>
        <w:t>—</w:t>
      </w:r>
      <w:r>
        <w:rPr>
          <w:rFonts w:ascii="Arial" w:cs="Arial" w:eastAsia="Arial" w:hAnsi="Arial"/>
          <w:sz w:val="18"/>
          <w:szCs w:val="18"/>
          <w:b w:val="1"/>
          <w:bCs w:val="1"/>
          <w:color w:val="DE1A1E"/>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PRELIMINARY PROSPECTUS SUPPLEMENT TO BE USED IN CONJUNCTION WITH</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NOTES OFFERINGS]</w:t>
      </w:r>
      <w:r>
        <w:rPr>
          <w:rFonts w:ascii="Arial" w:cs="Arial" w:eastAsia="Arial" w:hAnsi="Arial"/>
          <w:sz w:val="15"/>
          <w:szCs w:val="15"/>
          <w:color w:val="auto"/>
        </w:rPr>
        <w:t>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PRELIMINARY 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w:t>
      </w:r>
      <w:r>
        <w:rPr>
          <w:rFonts w:ascii="Arial" w:cs="Arial" w:eastAsia="Arial" w:hAnsi="Arial"/>
          <w:sz w:val="18"/>
          <w:szCs w:val="18"/>
          <w:color w:val="auto"/>
        </w:rPr>
        <w:t>—</w:t>
      </w:r>
      <w:r>
        <w:rPr>
          <w:rFonts w:ascii="Arial" w:cs="Arial" w:eastAsia="Arial" w:hAnsi="Arial"/>
          <w:sz w:val="18"/>
          <w:szCs w:val="18"/>
          <w:b w:val="1"/>
          <w:bCs w:val="1"/>
          <w:color w:val="auto"/>
        </w:rPr>
        <w:t>], 20[</w:t>
      </w:r>
      <w:r>
        <w:rPr>
          <w:rFonts w:ascii="Arial" w:cs="Arial" w:eastAsia="Arial" w:hAnsi="Arial"/>
          <w:sz w:val="18"/>
          <w:szCs w:val="18"/>
          <w:color w:val="auto"/>
        </w:rPr>
        <w:t>—</w:t>
      </w:r>
      <w:r>
        <w:rPr>
          <w:rFonts w:ascii="Arial" w:cs="Arial" w:eastAsia="Arial" w:hAnsi="Arial"/>
          <w:sz w:val="18"/>
          <w:szCs w:val="18"/>
          <w:b w:val="1"/>
          <w:bCs w:val="1"/>
          <w:color w:val="auto"/>
        </w:rPr>
        <w:t>]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[Senior]</w:t>
      </w:r>
      <w:r>
        <w:rPr>
          <w:rFonts w:ascii="Arial" w:cs="Arial" w:eastAsia="Arial" w:hAnsi="Arial"/>
          <w:sz w:val="15"/>
          <w:szCs w:val="15"/>
          <w:b w:val="1"/>
          <w:bCs w:val="1"/>
          <w:color w:val="auto"/>
        </w:rPr>
        <w:t>2</w:t>
      </w:r>
      <w:r>
        <w:rPr>
          <w:rFonts w:ascii="Arial" w:cs="Arial" w:eastAsia="Arial" w:hAnsi="Arial"/>
          <w:sz w:val="18"/>
          <w:szCs w:val="18"/>
          <w:color w:val="auto"/>
        </w:rPr>
        <w:t xml:space="preserve"> </w:t>
      </w:r>
      <w:r>
        <w:rPr>
          <w:rFonts w:ascii="Arial" w:cs="Arial" w:eastAsia="Arial" w:hAnsi="Arial"/>
          <w:sz w:val="18"/>
          <w:szCs w:val="18"/>
          <w:b w:val="1"/>
          <w:bCs w:val="1"/>
          <w:color w:val="auto"/>
        </w:rPr>
        <w:t>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offering $[—] in aggregate principal amount of [—]% [senior] notes due [—], which we refer to as the Notes. The Notes will mature on [—]. We will pay interest on the Notes on [—] and [—]of each year, beginning [—]. We may redeem the Notes in whole or in part at any time or from time to time at the redemption price discussed under the caption “Description of Notes—Optional Redemption” in this prospectus supplement. In addition, holders of the Notes can require us to repurchase the Notes at [—]% of their principal amount upon the occurrence of a Change of Control Repurchase Event (as defined herein). The Notes will be issued in minimum denominations of $[—] and integral multiples of $[—] in excess thereof.</w:t>
      </w:r>
    </w:p>
    <w:p>
      <w:pPr>
        <w:spacing w:after="0" w:line="1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The Notes will be our direct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or equally, with all outstanding and future unsecured unsubordinated indebtedness issued by the Company.</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intend to list the Notes on the [NASDAQ] and we expect trading to commence thereon within days of the original issue date under the trading symbol “—.” The Notes are expected to trade “flat.” This means that purchasers will not pay, and sellers will not receive, any accrued and unpaid interest on the Notes that is not included in the trading price.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60" w:hanging="452"/>
        <w:spacing w:after="0" w:line="284" w:lineRule="auto"/>
        <w:tabs>
          <w:tab w:leader="none" w:pos="460" w:val="left"/>
        </w:tabs>
        <w:numPr>
          <w:ilvl w:val="0"/>
          <w:numId w:val="108"/>
        </w:numPr>
        <w:rPr>
          <w:rFonts w:ascii="Arial" w:cs="Arial" w:eastAsia="Arial" w:hAnsi="Arial"/>
          <w:sz w:val="14"/>
          <w:szCs w:val="14"/>
          <w:color w:val="auto"/>
        </w:rPr>
      </w:pPr>
      <w:r>
        <w:rPr>
          <w:rFonts w:ascii="Arial" w:cs="Arial" w:eastAsia="Arial" w:hAnsi="Arial"/>
          <w:sz w:val="16"/>
          <w:szCs w:val="16"/>
          <w:color w:val="auto"/>
        </w:rPr>
        <w:t>In addition to the information provided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additional information particular to the terms of each security offered thereby and any additional related risk factors or tax considerations pertaining thereto. The terms of the Notes or the provisions of the indenture governing the Notes may differ from the information provided in this form of prospectus supplement.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accordingly, the terms and description of the institutional notes for</w:t>
      </w:r>
    </w:p>
    <w:p>
      <w:pPr>
        <w:spacing w:after="0" w:line="1" w:lineRule="exact"/>
        <w:rPr>
          <w:sz w:val="20"/>
          <w:szCs w:val="20"/>
          <w:color w:val="auto"/>
        </w:rPr>
      </w:pPr>
    </w:p>
    <w:p>
      <w:pPr>
        <w:jc w:val="both"/>
        <w:ind w:left="460" w:right="200"/>
        <w:spacing w:after="0" w:line="250" w:lineRule="auto"/>
        <w:rPr>
          <w:sz w:val="20"/>
          <w:szCs w:val="20"/>
          <w:color w:val="auto"/>
        </w:rPr>
      </w:pPr>
      <w:r>
        <w:rPr>
          <w:rFonts w:ascii="Arial" w:cs="Arial" w:eastAsia="Arial" w:hAnsi="Arial"/>
          <w:sz w:val="18"/>
          <w:szCs w:val="18"/>
          <w:color w:val="auto"/>
        </w:rPr>
        <w:t>which this form of prospectus supplement is to be used may differ from the information provided in this form of prospectus supplement. This form of prospectus supplement is not intended to and does not contain all of the information that would appear is any such actual prospectus supplement, and should not be used or relied upon in connection with any offer or sale of securities.</w:t>
      </w:r>
    </w:p>
    <w:p>
      <w:pPr>
        <w:ind w:left="460" w:hanging="452"/>
        <w:spacing w:after="0"/>
        <w:tabs>
          <w:tab w:leader="none" w:pos="46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Notes will be denominated as “senior notes” if we have subordinated debt outstanding at issuance.</w:t>
      </w:r>
    </w:p>
    <w:p>
      <w:pPr>
        <w:sectPr>
          <w:pgSz w:w="11900" w:h="16838" w:orient="portrait"/>
          <w:cols w:equalWidth="0" w:num="1">
            <w:col w:w="11420"/>
          </w:cols>
          <w:pgMar w:left="240" w:top="121" w:right="239" w:bottom="1440" w:gutter="0" w:footer="0" w:header="0"/>
        </w:sectPr>
      </w:pPr>
    </w:p>
    <w:bookmarkStart w:id="197" w:name="page198"/>
    <w:bookmarkEnd w:id="197"/>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provide customized debt and equity financing solutions to lower middle-market companies located throughout the United States. We are an externally managed, closed-end, non-diversified management investment company that has elected to be regulated as a business development company under the Investment Company Act of 1940. Our investment objective is to provide attractive risk-adjusted returns by generating both current income from our debt investments and capital appreciation from our equity related investments. Our strategy includes partnering with business owners, management teams and financial sponsors by providing customized financing for ownership transactions, recapitalizations, strategic acquisition, business expansion and other growth initiatives.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externally managed by our investment adviser, Fidus Investment Advisors, LLC.</w:t>
      </w:r>
    </w:p>
    <w:p>
      <w:pPr>
        <w:spacing w:after="0" w:line="221"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Investing in the Notes is speculative and involves risks that are described in the “Risk Factors” section beginning on page S-[</w:t>
      </w:r>
      <w:r>
        <w:rPr>
          <w:rFonts w:ascii="Arial" w:cs="Arial" w:eastAsia="Arial" w:hAnsi="Arial"/>
          <w:sz w:val="18"/>
          <w:szCs w:val="18"/>
          <w:color w:val="auto"/>
        </w:rPr>
        <w:t>—</w:t>
      </w:r>
      <w:r>
        <w:rPr>
          <w:rFonts w:ascii="Arial" w:cs="Arial" w:eastAsia="Arial" w:hAnsi="Arial"/>
          <w:sz w:val="18"/>
          <w:szCs w:val="18"/>
          <w:b w:val="1"/>
          <w:bCs w:val="1"/>
          <w:color w:val="auto"/>
        </w:rPr>
        <w:t>] of this prospectus supplement and page [•] of the accompanying prospectus, including the risk of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This prospectus supplement and the accompanying prospectus contain important information about us that a prospective investor should know before investing in the Notes. Please read this prospectus supplement and the accompanying prospectus before you invest and keep it for future reference. We file annual, quarterly and current reports, proxy statements and other information with the SEC. This information is available free of charge by contacting us at 1603 Orrington Avenue, Suite 1005, Evanston, Illinois 60201, Attention: Investor Relations, by accessing our website at </w:t>
      </w:r>
      <w:r>
        <w:rPr>
          <w:rFonts w:ascii="Arial" w:cs="Arial" w:eastAsia="Arial" w:hAnsi="Arial"/>
          <w:sz w:val="17"/>
          <w:szCs w:val="17"/>
          <w:i w:val="1"/>
          <w:iCs w:val="1"/>
          <w:u w:val="single" w:color="auto"/>
          <w:color w:val="auto"/>
        </w:rPr>
        <w:t>www.fdus.com</w:t>
      </w:r>
      <w:r>
        <w:rPr>
          <w:rFonts w:ascii="Arial" w:cs="Arial" w:eastAsia="Arial" w:hAnsi="Arial"/>
          <w:sz w:val="17"/>
          <w:szCs w:val="17"/>
          <w:color w:val="auto"/>
        </w:rPr>
        <w:t xml:space="preserve">, or by calling us collect at 847.859.3940. The SEC also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such information. The information on the websites referred to herein is not incorporated by reference into this prospectus supplement or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0"/>
              </w:rPr>
              <w:t>Per Note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9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340" w:type="dxa"/>
            <w:vAlign w:val="bottom"/>
            <w:gridSpan w:val="3"/>
          </w:tcPr>
          <w:p>
            <w:pPr>
              <w:spacing w:after="0"/>
              <w:rPr>
                <w:sz w:val="20"/>
                <w:szCs w:val="20"/>
                <w:color w:val="auto"/>
              </w:rPr>
            </w:pPr>
            <w:r>
              <w:rPr>
                <w:rFonts w:ascii="Arial" w:cs="Arial" w:eastAsia="Arial" w:hAnsi="Arial"/>
                <w:sz w:val="18"/>
                <w:szCs w:val="18"/>
                <w:color w:val="auto"/>
              </w:rPr>
              <w:t>Underwriting discount (sales load)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64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0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before expenses, to the Company(1)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6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91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10340" w:type="dxa"/>
            <w:vAlign w:val="bottom"/>
            <w:gridSpan w:val="3"/>
          </w:tcPr>
          <w:p>
            <w:pPr>
              <w:spacing w:after="0"/>
              <w:rPr>
                <w:sz w:val="20"/>
                <w:szCs w:val="20"/>
                <w:color w:val="auto"/>
              </w:rPr>
            </w:pPr>
            <w:r>
              <w:rPr>
                <w:rFonts w:ascii="Arial" w:cs="Arial" w:eastAsia="Arial" w:hAnsi="Arial"/>
                <w:sz w:val="18"/>
                <w:szCs w:val="18"/>
                <w:color w:val="auto"/>
              </w:rPr>
              <w:t>(1)   Before deducting expenses payable by us related to this offering, estimated at $[—] .</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underwriters may also purchase up to an additional $[—] total aggregate principal amount of Notes offered hereby, to cover over-allotments, if any, within days of the date of this prospectus supplement. If the underwriters exercise this option in full, the total public offering price will be $[—], the total underwriting discount (sales load) paid by us will be $[—], and total proceeds, before expenses, will be $[—].</w:t>
      </w:r>
    </w:p>
    <w:p>
      <w:pPr>
        <w:spacing w:after="0" w:line="17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THE NOTES ARE NOT DEPOSITS OR OTHER OBLIGATIONS OF A BANK AND ARE NOT INSURED BY THE FEDERAL DEPOSIT INSURANCE CORPORATION OR ANY OTHER GOVERNMENT AGENCY.</w:t>
      </w:r>
    </w:p>
    <w:p>
      <w:pPr>
        <w:sectPr>
          <w:pgSz w:w="11900" w:h="16838" w:orient="portrait"/>
          <w:cols w:equalWidth="0" w:num="1">
            <w:col w:w="11420"/>
          </w:cols>
          <w:pgMar w:left="240" w:top="274" w:right="239" w:bottom="1440" w:gutter="0" w:footer="0" w:header="0"/>
        </w:sectPr>
      </w:pPr>
    </w:p>
    <w:bookmarkStart w:id="198" w:name="page199"/>
    <w:bookmarkEnd w:id="198"/>
    <w:p>
      <w:pPr>
        <w:ind w:right="40"/>
        <w:spacing w:after="0" w:line="38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Delivery of the Notes in book-entry form only through The Depository Trust Company will be made on or about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[Underwriters]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supplement is [—], 20[—].</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or the accompanying prospectus, as applicable. Our business, financial condition, results of operations and prospects may have changed since that date.</w:t>
      </w:r>
    </w:p>
    <w:p>
      <w:pPr>
        <w:sectPr>
          <w:pgSz w:w="11900" w:h="16838" w:orient="portrait"/>
          <w:cols w:equalWidth="0" w:num="1">
            <w:col w:w="11400"/>
          </w:cols>
          <w:pgMar w:left="240" w:top="270" w:right="259" w:bottom="1440" w:gutter="0" w:footer="0" w:header="0"/>
        </w:sectPr>
      </w:pPr>
    </w:p>
    <w:bookmarkStart w:id="199" w:name="page200"/>
    <w:bookmarkEnd w:id="199"/>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Supplement</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Specific Terms of the Notes and the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Selected Condensed Consolidated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Ratios of Earnings to Fixed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Material U.S. Federal Income Tax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Underwriting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[Insert table of contents from base prospectus.]</w:t>
      </w:r>
    </w:p>
    <w:p>
      <w:pPr>
        <w:sectPr>
          <w:pgSz w:w="11900" w:h="16838" w:orient="portrait"/>
          <w:cols w:equalWidth="0" w:num="1">
            <w:col w:w="11420"/>
          </w:cols>
          <w:pgMar w:left="240" w:top="270" w:right="2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THE PROSPECTUS SUPPLEMENT</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Notes and certain other matters relating to us. The second part, the accompanying prospectus, gives more general information about the securities that we may offer from time to time, some of which may not apply to the Notes offered by this prospectus supplement.</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If information varies between this prospectus supplement and the accompanying prospectus, you should rely only on such information in this prospectus supplement. The information contained in this prospectus supplement supersedes any inconsistent information included in the accompanying prospectus. In various places in this prospectus supplement and the accompanying prospectus, we refer you to other sections of such documents for additional information by indicating the caption heading of such other sections. The page on which each principal caption included in this prospectus supplement and the accompanying prospectus can be found is listed in the table of contents above. All such cross references in this prospectus supplement are to captions contained in this prospectus supplement and not in the accompanying prospectus, unless otherwise stated.</w:t>
      </w:r>
    </w:p>
    <w:p>
      <w:pPr>
        <w:spacing w:after="0" w:line="178" w:lineRule="exact"/>
        <w:rPr>
          <w:sz w:val="20"/>
          <w:szCs w:val="20"/>
          <w:color w:val="auto"/>
        </w:rPr>
      </w:pPr>
    </w:p>
    <w:p>
      <w:pPr>
        <w:jc w:val="both"/>
        <w:ind w:right="660" w:firstLine="456"/>
        <w:spacing w:after="0" w:line="286" w:lineRule="auto"/>
        <w:rPr>
          <w:sz w:val="20"/>
          <w:szCs w:val="20"/>
          <w:color w:val="auto"/>
        </w:rPr>
      </w:pPr>
      <w:r>
        <w:rPr>
          <w:rFonts w:ascii="Arial" w:cs="Arial" w:eastAsia="Arial" w:hAnsi="Arial"/>
          <w:sz w:val="17"/>
          <w:szCs w:val="17"/>
          <w:color w:val="auto"/>
        </w:rPr>
        <w:t>Unless we have indicated otherwise, all information in this prospectus supplement assumes that the underwriters do not exercise their option to purchase an additional principal amount of Notes from us to cover any over-allotments. Unless we have indicated otherwise, or the context otherwise requires, references in this prospectus supplement to “$” or “dollar” are to the lawful currency of the United States.</w:t>
      </w:r>
    </w:p>
    <w:p>
      <w:pPr>
        <w:spacing w:after="0" w:line="1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SUPPLEMENT AND THE ACCOMPANYING PROSPECTUS.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ANY DOCUMENT INCORPORATED BY REFERENCE IS ACCURATE ONLY AS OF THE RESPECTIVE DATES OF SUCH INFORMATION, REGARDLESS OF THE TIME OF DELIVERY OF THIS PROSPECTUS SUPPLEMENT AND THE ACCOMPANYING PROSPECTUS OR ANY SALES OF THE SECURITIES. OUR BUSINESS, FINANCIAL CONDITION, RESULTS OF OPERATIONS AND PROSPECTS MAY HAVE CHANGED SINCE THOSE DATES.</w:t>
      </w:r>
    </w:p>
    <w:p>
      <w:pPr>
        <w:sectPr>
          <w:pgSz w:w="11900" w:h="16838" w:orient="portrait"/>
          <w:cols w:equalWidth="0" w:num="1">
            <w:col w:w="11420"/>
          </w:cols>
          <w:pgMar w:left="240" w:top="270" w:right="239" w:bottom="1440" w:gutter="0" w:footer="0" w:header="0"/>
        </w:sectPr>
      </w:pPr>
    </w:p>
    <w:bookmarkStart w:id="201" w:name="page202"/>
    <w:bookmarkEnd w:id="20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595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6159500"/>
                    </a:xfrm>
                    <a:prstGeom prst="rect">
                      <a:avLst/>
                    </a:prstGeom>
                    <a:noFill/>
                  </pic:spPr>
                </pic:pic>
              </a:graphicData>
            </a:graphic>
          </wp:anchor>
        </w:drawing>
        <w:t>FORWARD-LOOKING STATEMENTS</w:t>
      </w:r>
    </w:p>
    <w:p>
      <w:pPr>
        <w:spacing w:after="0" w:line="229" w:lineRule="exact"/>
        <w:rPr>
          <w:sz w:val="20"/>
          <w:szCs w:val="20"/>
          <w:color w:val="auto"/>
        </w:rPr>
      </w:pPr>
    </w:p>
    <w:p>
      <w:pPr>
        <w:ind w:right="260" w:firstLine="443"/>
        <w:spacing w:after="0" w:line="286" w:lineRule="auto"/>
        <w:rPr>
          <w:sz w:val="20"/>
          <w:szCs w:val="20"/>
          <w:color w:val="auto"/>
        </w:rPr>
      </w:pPr>
      <w:r>
        <w:rPr>
          <w:rFonts w:ascii="Arial" w:cs="Arial" w:eastAsia="Arial" w:hAnsi="Arial"/>
          <w:sz w:val="17"/>
          <w:szCs w:val="17"/>
          <w:color w:val="auto"/>
        </w:rPr>
        <w:t>Some of the statements in this prospectus supplement and the accompanying prospectus constitute forward-looking statements, which relate to future events or our future performance or financial condition. The forward-looking statements contained in this prospectus supplement and the accompanying prospectus involve a number of risks and uncertainties, including statements concerning:</w:t>
      </w:r>
    </w:p>
    <w:p>
      <w:pPr>
        <w:spacing w:after="0" w:line="71" w:lineRule="exact"/>
        <w:rPr>
          <w:sz w:val="20"/>
          <w:szCs w:val="20"/>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dependence on key personnel of our investment advisor and our executive officers;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ability to maintain or develop referral relationships;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use of leverage;</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availability of additional capital on attractive terms or at all;</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uncertain valuations of our portfolio investments;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competition for investment opportunities;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actual and potential conflicts of interest with our investment advisor;</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potential conflicts of interest;</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SBA regulations affecting our wholly-owned SBIC subsidiaries;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 and portfolio investments;</w:t>
      </w:r>
    </w:p>
    <w:p>
      <w:pPr>
        <w:spacing w:after="0" w:line="130" w:lineRule="exact"/>
        <w:rPr>
          <w:rFonts w:ascii="Arial" w:cs="Arial" w:eastAsia="Arial" w:hAnsi="Arial"/>
          <w:sz w:val="18"/>
          <w:szCs w:val="18"/>
          <w:color w:val="auto"/>
        </w:rPr>
      </w:pPr>
    </w:p>
    <w:p>
      <w:pPr>
        <w:ind w:left="860" w:right="40" w:hanging="323"/>
        <w:spacing w:after="0" w:line="264" w:lineRule="auto"/>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ability to maintain our status as a regulated investment company, or RIC, under Subchapter M of the Internal Revenue Code of 1986, as amended, or the Code, and as a business development company, or BDC, under the Investment Company Act of 1940, as amended, or the 1940 Act;</w:t>
      </w:r>
    </w:p>
    <w:p>
      <w:pPr>
        <w:spacing w:after="0" w:line="86"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timing, form and amount of any distributions from our portfolio companies;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changes in laws or regulations applicable to us;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dilution risks related to our ability to issue shares below our current net asset value, or NAV;</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possible resignation of our investment advisor or administrator;</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general economy and its impact on the industries in which we invest;</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risks associated with investing in lower middle-market companies;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ability of our investment advisor to identify, invest in and monitor companies that meet our investment criteria; and</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ability to invest in qualifying assets.</w:t>
      </w:r>
    </w:p>
    <w:p>
      <w:pPr>
        <w:spacing w:after="0" w:line="225" w:lineRule="exact"/>
        <w:rPr>
          <w:sz w:val="20"/>
          <w:szCs w:val="20"/>
          <w:color w:val="auto"/>
        </w:rPr>
      </w:pPr>
    </w:p>
    <w:p>
      <w:pPr>
        <w:jc w:val="both"/>
        <w:ind w:firstLine="443"/>
        <w:spacing w:after="0" w:line="302" w:lineRule="auto"/>
        <w:rPr>
          <w:sz w:val="20"/>
          <w:szCs w:val="20"/>
          <w:color w:val="auto"/>
        </w:rPr>
      </w:pPr>
      <w:r>
        <w:rPr>
          <w:rFonts w:ascii="Arial" w:cs="Arial" w:eastAsia="Arial" w:hAnsi="Arial"/>
          <w:sz w:val="16"/>
          <w:szCs w:val="16"/>
          <w:color w:val="auto"/>
        </w:rPr>
        <w:t>We use words such as “anticipates,” “believes,” “expects,” “intends,” “will,” “should,” “may” and similar expressions to identify forward-looking statements, although not all forward-looking statements include these words. Our actual results and condition could differ materially from those implied or expressed in the forward-looking statements for any reason, including the factors set forth in “Risk Factors” in this prospectus supplement and in the accompanying prospectus and the other information included in this prospectus supplement and the accompanying prospectus.</w:t>
      </w:r>
    </w:p>
    <w:p>
      <w:pPr>
        <w:sectPr>
          <w:pgSz w:w="11900" w:h="16838" w:orient="portrait"/>
          <w:cols w:equalWidth="0" w:num="1">
            <w:col w:w="10960"/>
          </w:cols>
          <w:pgMar w:left="440" w:top="459" w:right="499" w:bottom="1440" w:gutter="0" w:footer="0" w:header="0"/>
        </w:sectPr>
      </w:pPr>
    </w:p>
    <w:bookmarkStart w:id="202" w:name="page203"/>
    <w:bookmarkEnd w:id="202"/>
    <w:p>
      <w:pPr>
        <w:ind w:firstLine="44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459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1459865"/>
                    </a:xfrm>
                    <a:prstGeom prst="rect">
                      <a:avLst/>
                    </a:prstGeom>
                    <a:noFill/>
                  </pic:spPr>
                </pic:pic>
              </a:graphicData>
            </a:graphic>
          </wp:anchor>
        </w:drawing>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supplement should not be regarded as a representation by us that our plans and objectives will be achieved. These risks and uncertainties include those described or identified in “Risk Factors” and elsewhere in this prospectus supplement and the accompanying prospectus. You should not place undue reliance on these forward-looking statements as a prediction of actual results, which apply only as of the date of this prospectus supplement. We expressly disclaim any responsibilities to update forward-looking statements, whether as a result of new information, future events or otherwise, except as required by law. The forward-looking statements and projections contained in this prospectus supplement and the accompanying prospectus are excluded from the safe harbor protection provided by Section 27A of the Securities Act of 1933, as amended, or the Securities Act.</w:t>
      </w:r>
    </w:p>
    <w:p>
      <w:pPr>
        <w:sectPr>
          <w:pgSz w:w="11900" w:h="16838" w:orient="portrait"/>
          <w:cols w:equalWidth="0" w:num="1">
            <w:col w:w="11060"/>
          </w:cols>
          <w:pgMar w:left="440" w:top="463" w:right="39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25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6125210"/>
                    </a:xfrm>
                    <a:prstGeom prst="rect">
                      <a:avLst/>
                    </a:prstGeom>
                    <a:noFill/>
                  </pic:spPr>
                </pic:pic>
              </a:graphicData>
            </a:graphic>
          </wp:anchor>
        </w:drawing>
        <w:t>PROSPECTUS SUPPLEMENT SUMMARY</w:t>
      </w:r>
    </w:p>
    <w:p>
      <w:pPr>
        <w:spacing w:after="0" w:line="229" w:lineRule="exact"/>
        <w:rPr>
          <w:sz w:val="20"/>
          <w:szCs w:val="20"/>
          <w:color w:val="auto"/>
        </w:rPr>
      </w:pPr>
    </w:p>
    <w:p>
      <w:pPr>
        <w:ind w:right="40" w:firstLine="443"/>
        <w:spacing w:after="0" w:line="255" w:lineRule="auto"/>
        <w:rPr>
          <w:sz w:val="20"/>
          <w:szCs w:val="20"/>
          <w:color w:val="auto"/>
        </w:rPr>
      </w:pPr>
      <w:r>
        <w:rPr>
          <w:rFonts w:ascii="Arial" w:cs="Arial" w:eastAsia="Arial" w:hAnsi="Arial"/>
          <w:sz w:val="18"/>
          <w:szCs w:val="18"/>
          <w:i w:val="1"/>
          <w:iCs w:val="1"/>
          <w:color w:val="auto"/>
        </w:rPr>
        <w:t>This summary highlights some of the information in this prospectus supplement. It is not complete and may not contain all of the information that you may want to consider. You should read the entire prospectus supplement and the accompanying prospectus carefully, including “Risk Factors,” “Capitalization,” “Selected Consolidated Financial Data,” “Management’s Discussion and Analysis of Financial Condition and Results of Operations” and the financial statements contained elsewhere in this prospectus supplement and the accompanying prospectus. Together, these documents describe the specific terms of the Notes. Except as otherwise noted, all information in this prospectus supplement and the accompanying prospectus assumes no exercise of the underwriters’ over-allotment option.</w:t>
      </w:r>
    </w:p>
    <w:p>
      <w:pPr>
        <w:spacing w:after="0" w:line="193" w:lineRule="exact"/>
        <w:rPr>
          <w:sz w:val="20"/>
          <w:szCs w:val="20"/>
          <w:color w:val="auto"/>
        </w:rPr>
      </w:pPr>
    </w:p>
    <w:p>
      <w:pPr>
        <w:ind w:firstLine="443"/>
        <w:spacing w:after="0" w:line="270" w:lineRule="auto"/>
        <w:rPr>
          <w:sz w:val="20"/>
          <w:szCs w:val="20"/>
          <w:color w:val="auto"/>
        </w:rPr>
      </w:pPr>
      <w:r>
        <w:rPr>
          <w:rFonts w:ascii="Arial" w:cs="Arial" w:eastAsia="Arial" w:hAnsi="Arial"/>
          <w:sz w:val="17"/>
          <w:szCs w:val="17"/>
          <w:i w:val="1"/>
          <w:iCs w:val="1"/>
          <w:color w:val="auto"/>
        </w:rPr>
        <w:t>Fidus Investment Corporation is a Maryland corporation, formed on February 14, 2011, for the purpose of acquiring 100.0% of the equity interests in Fidus Mezzanine Capital, L.P., or Fund I, and its general partner, Fidus Mezzanine Capital GP, LLC, or FMCGP, raising capital in its initial public offering, or IPO, which was completed in June 2011, and thereafter, operating as an externally managed business development company, or BDC, under the Investment Company Act of 1940, as amended, or the 1940 Act. Fund I is licensed as a small business investment company, or SBIC, by the United States Small Business Administration, or SBA. Simultaneously with the consummation of our IPO, we acquired all of the equity interests in Fund I and its former general partner as described elsewhere in this prospectus supplement under “Formation Transactions,” whereby Fund I became our wholly-owned subsidiary. On March 29, 2013, we commenced operations of a new wholly-owned investment fund, Fidus Mezzanine Capital II, L.P., or Fund II, and on May 28, 2013, were granted a second license by the SBA to operate Fund II as an SBIC. Collectively, Fund I and Fund II are referred to as the Funds. Unless otherwise noted in this prospectus supplement the terms “we,” “us,” “our,” the “Company,” “Fidus” and “FIC” refer to Fidus Investment Corporation and its consolidated subsidiaries.</w:t>
      </w:r>
    </w:p>
    <w:p>
      <w:pPr>
        <w:spacing w:after="0" w:line="178" w:lineRule="exact"/>
        <w:rPr>
          <w:sz w:val="20"/>
          <w:szCs w:val="20"/>
          <w:color w:val="auto"/>
        </w:rPr>
      </w:pPr>
    </w:p>
    <w:p>
      <w:pPr>
        <w:ind w:right="300" w:firstLine="443"/>
        <w:spacing w:after="0" w:line="264" w:lineRule="auto"/>
        <w:rPr>
          <w:sz w:val="20"/>
          <w:szCs w:val="20"/>
          <w:color w:val="auto"/>
        </w:rPr>
      </w:pPr>
      <w:r>
        <w:rPr>
          <w:rFonts w:ascii="Arial" w:cs="Arial" w:eastAsia="Arial" w:hAnsi="Arial"/>
          <w:sz w:val="18"/>
          <w:szCs w:val="18"/>
          <w:i w:val="1"/>
          <w:iCs w:val="1"/>
          <w:color w:val="auto"/>
        </w:rPr>
        <w:t>As used in this prospectus supplement the term “our investment advisor” refers to Fidus Capital, LLC prior to the Formation Transactions and Fidus Investment Advisors, LLC after the Formation Transactions. The investment professionals of Fidus Investment Advisors, LLC were also the investment professionals of Fidus Capital, LLC.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Fidus Investment Corporation</w:t>
      </w:r>
    </w:p>
    <w:p>
      <w:pPr>
        <w:spacing w:after="0" w:line="121" w:lineRule="exact"/>
        <w:rPr>
          <w:sz w:val="20"/>
          <w:szCs w:val="20"/>
          <w:color w:val="auto"/>
        </w:rPr>
      </w:pPr>
    </w:p>
    <w:p>
      <w:pPr>
        <w:ind w:right="140" w:firstLine="443"/>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jc w:val="both"/>
        <w:ind w:right="240" w:firstLine="443"/>
        <w:spacing w:after="0" w:line="257" w:lineRule="auto"/>
        <w:rPr>
          <w:sz w:val="20"/>
          <w:szCs w:val="20"/>
          <w:color w:val="auto"/>
        </w:rPr>
      </w:pPr>
      <w:r>
        <w:rPr>
          <w:rFonts w:ascii="Arial" w:cs="Arial" w:eastAsia="Arial" w:hAnsi="Arial"/>
          <w:sz w:val="18"/>
          <w:szCs w:val="18"/>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$3.0 million and $20.0 million; however, we may from time to time opportunistically make investments in larger or smaller companies. Our investments typically range between $5.0 million and $20.0 million per portfolio company.</w:t>
      </w:r>
    </w:p>
    <w:p>
      <w:pPr>
        <w:spacing w:after="0" w:line="188" w:lineRule="exact"/>
        <w:rPr>
          <w:sz w:val="20"/>
          <w:szCs w:val="20"/>
          <w:color w:val="auto"/>
        </w:rPr>
      </w:pPr>
    </w:p>
    <w:p>
      <w:pPr>
        <w:ind w:right="160" w:firstLine="443"/>
        <w:spacing w:after="0" w:line="259" w:lineRule="auto"/>
        <w:rPr>
          <w:sz w:val="20"/>
          <w:szCs w:val="20"/>
          <w:color w:val="auto"/>
        </w:rPr>
      </w:pPr>
      <w:r>
        <w:rPr>
          <w:rFonts w:ascii="Arial" w:cs="Arial" w:eastAsia="Arial" w:hAnsi="Arial"/>
          <w:sz w:val="18"/>
          <w:szCs w:val="18"/>
          <w:color w:val="auto"/>
        </w:rPr>
        <w:t>As of [—], we had debt and equity investments in [—] portfolio companies with an aggregate fair value of $[—] million. The weighted average yield on our debt investments as of [—] was [—]% (computed using the effective interest rates as of [—], including accretion of original issue discount and loan origination fees, but excluding any debt investments on non-accrual status). There can be no assurance that the weighted average yield will remain at its current level.</w:t>
      </w:r>
    </w:p>
    <w:p>
      <w:pPr>
        <w:sectPr>
          <w:pgSz w:w="11900" w:h="16838" w:orient="portrait"/>
          <w:cols w:equalWidth="0" w:num="1">
            <w:col w:w="11060"/>
          </w:cols>
          <w:pgMar w:left="440" w:top="459" w:right="3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10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5910580"/>
                    </a:xfrm>
                    <a:prstGeom prst="rect">
                      <a:avLst/>
                    </a:prstGeom>
                    <a:noFill/>
                  </pic:spPr>
                </pic:pic>
              </a:graphicData>
            </a:graphic>
          </wp:anchor>
        </w:drawing>
        <w:t>Market Opportunity</w:t>
      </w:r>
    </w:p>
    <w:p>
      <w:pPr>
        <w:spacing w:after="0" w:line="121" w:lineRule="exact"/>
        <w:rPr>
          <w:sz w:val="20"/>
          <w:szCs w:val="20"/>
          <w:color w:val="auto"/>
        </w:rPr>
      </w:pPr>
    </w:p>
    <w:p>
      <w:pPr>
        <w:ind w:right="20" w:firstLine="443"/>
        <w:spacing w:after="0" w:line="255" w:lineRule="auto"/>
        <w:rPr>
          <w:sz w:val="20"/>
          <w:szCs w:val="20"/>
          <w:color w:val="auto"/>
        </w:rPr>
      </w:pPr>
      <w:r>
        <w:rPr>
          <w:rFonts w:ascii="Arial" w:cs="Arial" w:eastAsia="Arial" w:hAnsi="Arial"/>
          <w:sz w:val="18"/>
          <w:szCs w:val="18"/>
          <w:color w:val="auto"/>
        </w:rPr>
        <w:t>We believe that the limited amount of capital available to lower middle-market companies, coupled with the desire of these companies for flexible and partnership-oriented sources of capital, creates an attractive investment environment for us. From our perspective, lower middle-market companies have faced difficulty raising debt capital in both the capital markets and private markets. As a result of the difficulties in the credit markets and fewer sources of capital for lower middle-market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on debt and equity investments. See “The Company” in the accompanying prospectus for more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intend to accomplish our goal of becoming the premier provider of capital to and value-added partner of lower middle-market companies by:</w:t>
      </w:r>
    </w:p>
    <w:p>
      <w:pPr>
        <w:spacing w:after="0" w:line="154" w:lineRule="exact"/>
        <w:rPr>
          <w:sz w:val="20"/>
          <w:szCs w:val="20"/>
          <w:color w:val="auto"/>
        </w:rPr>
      </w:pPr>
    </w:p>
    <w:p>
      <w:pPr>
        <w:ind w:left="860" w:hanging="32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Leveraging the experience of our investment advisor;</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Capitalizing on our strong transaction sourcing network;</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Serving as a value-added partner with customized financing solutions;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Employing rigorous due diligence and underwriting processes focused on capital preservation;</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Actively managing our portfolio;</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Maintaining portfolio diversification; and</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Benefiting from lower cost of capital through our SBIC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right="480" w:firstLine="443"/>
        <w:spacing w:after="0" w:line="277" w:lineRule="auto"/>
        <w:rPr>
          <w:sz w:val="20"/>
          <w:szCs w:val="20"/>
          <w:color w:val="auto"/>
        </w:rPr>
      </w:pPr>
      <w:r>
        <w:rPr>
          <w:rFonts w:ascii="Arial" w:cs="Arial" w:eastAsia="Arial" w:hAnsi="Arial"/>
          <w:sz w:val="18"/>
          <w:szCs w:val="18"/>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70" w:lineRule="exact"/>
        <w:rPr>
          <w:sz w:val="20"/>
          <w:szCs w:val="20"/>
          <w:color w:val="auto"/>
        </w:rPr>
      </w:pPr>
    </w:p>
    <w:p>
      <w:pPr>
        <w:ind w:right="80" w:firstLine="443"/>
        <w:spacing w:after="0" w:line="302" w:lineRule="auto"/>
        <w:rPr>
          <w:sz w:val="20"/>
          <w:szCs w:val="20"/>
          <w:color w:val="auto"/>
        </w:rPr>
      </w:pPr>
      <w:r>
        <w:rPr>
          <w:rFonts w:ascii="Arial" w:cs="Arial" w:eastAsia="Arial" w:hAnsi="Arial"/>
          <w:sz w:val="16"/>
          <w:szCs w:val="16"/>
          <w:i w:val="1"/>
          <w:iCs w:val="1"/>
          <w:color w:val="auto"/>
        </w:rPr>
        <w:t xml:space="preserve">Value Orientation / Positive Cash Flow. </w:t>
      </w:r>
      <w:r>
        <w:rPr>
          <w:rFonts w:ascii="Arial" w:cs="Arial" w:eastAsia="Arial" w:hAnsi="Arial"/>
          <w:sz w:val="16"/>
          <w:szCs w:val="16"/>
          <w:color w:val="auto"/>
        </w:rPr>
        <w:t>Our investment advisor places a premium on analysis of business fundamentals from an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$3.0 million. We do not invest in start-up companies, “turn-around” situations or companies that we believe have unproven business plans.</w:t>
      </w:r>
    </w:p>
    <w:p>
      <w:pPr>
        <w:spacing w:after="0" w:line="154" w:lineRule="exact"/>
        <w:rPr>
          <w:sz w:val="20"/>
          <w:szCs w:val="20"/>
          <w:color w:val="auto"/>
        </w:rPr>
      </w:pPr>
    </w:p>
    <w:p>
      <w:pPr>
        <w:jc w:val="both"/>
        <w:ind w:firstLine="443"/>
        <w:spacing w:after="0" w:line="312" w:lineRule="auto"/>
        <w:rPr>
          <w:sz w:val="20"/>
          <w:szCs w:val="20"/>
          <w:color w:val="auto"/>
        </w:rPr>
      </w:pPr>
      <w:r>
        <w:rPr>
          <w:rFonts w:ascii="Arial" w:cs="Arial" w:eastAsia="Arial" w:hAnsi="Arial"/>
          <w:sz w:val="16"/>
          <w:szCs w:val="16"/>
          <w:i w:val="1"/>
          <w:iCs w:val="1"/>
          <w:color w:val="auto"/>
        </w:rPr>
        <w:t>Experienced Management Teams with Meaningful Equity Ownership</w:t>
      </w:r>
      <w:r>
        <w:rPr>
          <w:rFonts w:ascii="Arial" w:cs="Arial" w:eastAsia="Arial" w:hAnsi="Arial"/>
          <w:sz w:val="16"/>
          <w:szCs w:val="16"/>
          <w:color w:val="auto"/>
        </w:rPr>
        <w:t>. We target portfolio companies that have management teams with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47" w:lineRule="exact"/>
        <w:rPr>
          <w:sz w:val="20"/>
          <w:szCs w:val="20"/>
          <w:color w:val="auto"/>
        </w:rPr>
      </w:pPr>
    </w:p>
    <w:p>
      <w:pPr>
        <w:ind w:right="100" w:firstLine="443"/>
        <w:spacing w:after="0" w:line="264" w:lineRule="auto"/>
        <w:rPr>
          <w:sz w:val="20"/>
          <w:szCs w:val="20"/>
          <w:color w:val="auto"/>
        </w:rPr>
      </w:pPr>
      <w:r>
        <w:rPr>
          <w:rFonts w:ascii="Arial" w:cs="Arial" w:eastAsia="Arial" w:hAnsi="Arial"/>
          <w:sz w:val="18"/>
          <w:szCs w:val="18"/>
          <w:i w:val="1"/>
          <w:iCs w:val="1"/>
          <w:color w:val="auto"/>
        </w:rPr>
        <w:t>Niche Market Leaders with Defensible Market Positions</w:t>
      </w:r>
      <w:r>
        <w:rPr>
          <w:rFonts w:ascii="Arial" w:cs="Arial" w:eastAsia="Arial" w:hAnsi="Arial"/>
          <w:sz w:val="18"/>
          <w:szCs w:val="18"/>
          <w:color w:val="auto"/>
        </w:rPr>
        <w:t>. We seek to invest in companies that have developed defensible and/or leading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their respective markets or market niches and are well positioned to capitalize on growth opportunities. We favor companies that demonstrate significant competitive advantages, which we believe helps to protect their market position and profitability.</w:t>
      </w:r>
    </w:p>
    <w:p>
      <w:pPr>
        <w:sectPr>
          <w:pgSz w:w="11900" w:h="16838" w:orient="portrait"/>
          <w:cols w:equalWidth="0" w:num="1">
            <w:col w:w="11000"/>
          </w:cols>
          <w:pgMar w:left="440" w:top="459" w:right="459" w:bottom="1440" w:gutter="0" w:footer="0" w:header="0"/>
        </w:sectPr>
      </w:pPr>
    </w:p>
    <w:bookmarkStart w:id="205" w:name="page206"/>
    <w:bookmarkEnd w:id="205"/>
    <w:p>
      <w:pPr>
        <w:ind w:right="20" w:firstLine="443"/>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995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6399530"/>
                    </a:xfrm>
                    <a:prstGeom prst="rect">
                      <a:avLst/>
                    </a:prstGeom>
                    <a:noFill/>
                  </pic:spPr>
                </pic:pic>
              </a:graphicData>
            </a:graphic>
          </wp:anchor>
        </w:drawing>
        <w:t xml:space="preserve">Diversified Customer and Supplier Base. </w:t>
      </w:r>
      <w:r>
        <w:rPr>
          <w:rFonts w:ascii="Arial" w:cs="Arial" w:eastAsia="Arial" w:hAnsi="Arial"/>
          <w:sz w:val="18"/>
          <w:szCs w:val="18"/>
          <w:color w:val="auto"/>
        </w:rPr>
        <w:t>We prefer to invest in portfolio companies that have a diversified customer and supplier base.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diversified customer and supplier base are generally better able to endure economic downturns, industry consolidation and shifting customer preferences.</w:t>
      </w:r>
    </w:p>
    <w:p>
      <w:pPr>
        <w:spacing w:after="0" w:line="181" w:lineRule="exact"/>
        <w:rPr>
          <w:sz w:val="20"/>
          <w:szCs w:val="20"/>
          <w:color w:val="auto"/>
        </w:rPr>
      </w:pPr>
    </w:p>
    <w:p>
      <w:pPr>
        <w:ind w:right="200" w:firstLine="443"/>
        <w:spacing w:after="0" w:line="264" w:lineRule="auto"/>
        <w:rPr>
          <w:sz w:val="20"/>
          <w:szCs w:val="20"/>
          <w:color w:val="auto"/>
        </w:rPr>
      </w:pPr>
      <w:r>
        <w:rPr>
          <w:rFonts w:ascii="Arial" w:cs="Arial" w:eastAsia="Arial" w:hAnsi="Arial"/>
          <w:sz w:val="18"/>
          <w:szCs w:val="18"/>
          <w:i w:val="1"/>
          <w:iCs w:val="1"/>
          <w:color w:val="auto"/>
        </w:rPr>
        <w:t>Significant Invested Capital</w:t>
      </w:r>
      <w:r>
        <w:rPr>
          <w:rFonts w:ascii="Arial" w:cs="Arial" w:eastAsia="Arial" w:hAnsi="Arial"/>
          <w:sz w:val="18"/>
          <w:szCs w:val="18"/>
          <w:color w:val="auto"/>
        </w:rPr>
        <w:t>. We believe the existence of significant underlying equity value provides important support to our debt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debt investments, we look for portfolio companies where we believe aggregate enterprise value significantly exceeds aggregate indebtedness, after consideration of our investment.</w:t>
      </w:r>
    </w:p>
    <w:p>
      <w:pPr>
        <w:spacing w:after="0" w:line="181" w:lineRule="exact"/>
        <w:rPr>
          <w:sz w:val="20"/>
          <w:szCs w:val="20"/>
          <w:color w:val="auto"/>
        </w:rPr>
      </w:pPr>
    </w:p>
    <w:p>
      <w:pPr>
        <w:ind w:right="60" w:firstLine="443"/>
        <w:spacing w:after="0" w:line="291" w:lineRule="auto"/>
        <w:rPr>
          <w:sz w:val="20"/>
          <w:szCs w:val="20"/>
          <w:color w:val="auto"/>
        </w:rPr>
      </w:pPr>
      <w:r>
        <w:rPr>
          <w:rFonts w:ascii="Arial" w:cs="Arial" w:eastAsia="Arial" w:hAnsi="Arial"/>
          <w:sz w:val="16"/>
          <w:szCs w:val="16"/>
          <w:i w:val="1"/>
          <w:iCs w:val="1"/>
          <w:color w:val="auto"/>
        </w:rPr>
        <w:t xml:space="preserve">Viable Exit Strategy. </w:t>
      </w:r>
      <w:r>
        <w:rPr>
          <w:rFonts w:ascii="Arial" w:cs="Arial" w:eastAsia="Arial" w:hAnsi="Arial"/>
          <w:sz w:val="16"/>
          <w:szCs w:val="16"/>
          <w:color w:val="auto"/>
        </w:rPr>
        <w:t>We invest in portfolio companies that we believe will provide a steady stream of cash flow to repay our debt investments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reinvest in their respective businesses. In addition, we seek to invest in portfolio companies whose business models and expected future cash flows offer attractive exit possibilities for our equity investments. We expect to exit our investments typically through one of three scenarios: (a) the sale of the portfolio company resulting in repayment of all outstanding debt and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Advisor</w:t>
      </w:r>
    </w:p>
    <w:p>
      <w:pPr>
        <w:spacing w:after="0" w:line="121" w:lineRule="exact"/>
        <w:rPr>
          <w:sz w:val="20"/>
          <w:szCs w:val="20"/>
          <w:color w:val="auto"/>
        </w:rPr>
      </w:pPr>
    </w:p>
    <w:p>
      <w:pPr>
        <w:ind w:right="60" w:firstLine="443"/>
        <w:spacing w:after="0" w:line="269" w:lineRule="auto"/>
        <w:rPr>
          <w:sz w:val="20"/>
          <w:szCs w:val="20"/>
          <w:color w:val="auto"/>
        </w:rPr>
      </w:pPr>
      <w:r>
        <w:rPr>
          <w:rFonts w:ascii="Arial" w:cs="Arial" w:eastAsia="Arial" w:hAnsi="Arial"/>
          <w:sz w:val="17"/>
          <w:szCs w:val="17"/>
          <w:color w:val="auto"/>
        </w:rPr>
        <w:t>Our investment activities are managed by Fidus Investment Advisors, LLC, our investment advisor, and supervised by our board of directors, a majority of whom are not “interested persons” of Fidus as defined in Section 2(a)(19) of the 1940 Act, and who we refer to hereafter as the Independent Directors. Pursuant to the terms of the investment advisory and management agreement, which we refer to as the Investment Advisory Agreement,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credit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 For information regarding the people who control our investment advisor and their affiliations with the Company, see “Certain Relationships and Related Transactions— Investment Advisory Agreement” in the accompanying prospectus.</w:t>
      </w:r>
    </w:p>
    <w:p>
      <w:pPr>
        <w:spacing w:after="0" w:line="183" w:lineRule="exact"/>
        <w:rPr>
          <w:sz w:val="20"/>
          <w:szCs w:val="20"/>
          <w:color w:val="auto"/>
        </w:rPr>
      </w:pPr>
    </w:p>
    <w:p>
      <w:pPr>
        <w:ind w:firstLine="443"/>
        <w:spacing w:after="0" w:line="285" w:lineRule="auto"/>
        <w:rPr>
          <w:sz w:val="20"/>
          <w:szCs w:val="20"/>
          <w:color w:val="auto"/>
        </w:rPr>
      </w:pPr>
      <w:r>
        <w:rPr>
          <w:rFonts w:ascii="Arial" w:cs="Arial" w:eastAsia="Arial" w:hAnsi="Arial"/>
          <w:sz w:val="16"/>
          <w:szCs w:val="16"/>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 – 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previously paid capital gain incentive fees. We accrue, but do not pay, a capital gains incentive fee in connection with any unrealized capital appreciation, as appropriate. For more information about how we compensate our investment advisor and the related conflicts of interest, see “Management and Other Agreements – Investment Advisory Agreement” and “Certain Relationships and Related Transactions – Conflicts of Interest” in the accompanying prospectus.</w:t>
      </w:r>
    </w:p>
    <w:p>
      <w:pPr>
        <w:spacing w:after="0" w:line="164" w:lineRule="exact"/>
        <w:rPr>
          <w:sz w:val="20"/>
          <w:szCs w:val="20"/>
          <w:color w:val="auto"/>
        </w:rPr>
      </w:pPr>
    </w:p>
    <w:p>
      <w:pPr>
        <w:ind w:right="140" w:firstLine="443"/>
        <w:spacing w:after="0" w:line="312" w:lineRule="auto"/>
        <w:rPr>
          <w:sz w:val="20"/>
          <w:szCs w:val="20"/>
          <w:color w:val="auto"/>
        </w:rPr>
      </w:pPr>
      <w:r>
        <w:rPr>
          <w:rFonts w:ascii="Arial" w:cs="Arial" w:eastAsia="Arial" w:hAnsi="Arial"/>
          <w:sz w:val="16"/>
          <w:szCs w:val="16"/>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w:t>
      </w:r>
    </w:p>
    <w:p>
      <w:pPr>
        <w:sectPr>
          <w:pgSz w:w="11900" w:h="16838" w:orient="portrait"/>
          <w:cols w:equalWidth="0" w:num="1">
            <w:col w:w="11040"/>
          </w:cols>
          <w:pgMar w:left="440" w:top="463" w:right="419" w:bottom="1440" w:gutter="0" w:footer="0" w:header="0"/>
        </w:sectPr>
      </w:pPr>
    </w:p>
    <w:bookmarkStart w:id="206" w:name="page207"/>
    <w:bookmarkEnd w:id="206"/>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5455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6545580"/>
                    </a:xfrm>
                    <a:prstGeom prst="rect">
                      <a:avLst/>
                    </a:prstGeom>
                    <a:noFill/>
                  </pic:spPr>
                </pic:pic>
              </a:graphicData>
            </a:graphic>
          </wp:anchor>
        </w:drawing>
        <w:t>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w:t>
      </w:r>
    </w:p>
    <w:p>
      <w:pPr>
        <w:spacing w:after="0" w:line="166" w:lineRule="exact"/>
        <w:rPr>
          <w:sz w:val="20"/>
          <w:szCs w:val="20"/>
          <w:color w:val="auto"/>
        </w:rPr>
      </w:pPr>
    </w:p>
    <w:p>
      <w:pPr>
        <w:ind w:firstLine="443"/>
        <w:spacing w:after="0" w:line="259" w:lineRule="auto"/>
        <w:rPr>
          <w:sz w:val="20"/>
          <w:szCs w:val="20"/>
          <w:color w:val="auto"/>
        </w:rPr>
      </w:pPr>
      <w:r>
        <w:rPr>
          <w:rFonts w:ascii="Arial" w:cs="Arial" w:eastAsia="Arial" w:hAnsi="Arial"/>
          <w:sz w:val="18"/>
          <w:szCs w:val="18"/>
          <w:color w:val="auto"/>
        </w:rPr>
        <w:t>Fidus Investment Advisors, LLC is a Delaware limited liability company that is registered as an investment advisor under the Investment Advisers Act of 1940, as amended, or the Advisers Act. In addition, Fidus Investment Advisors, LLC also serves as our administrator and provides us with office space, equipment and clerical, book-keeping and record-keeping services pursuant to an administration agreement, which we refer to as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right="120" w:firstLine="443"/>
        <w:spacing w:after="0" w:line="277" w:lineRule="auto"/>
        <w:rPr>
          <w:sz w:val="20"/>
          <w:szCs w:val="20"/>
          <w:color w:val="auto"/>
        </w:rPr>
      </w:pPr>
      <w:r>
        <w:rPr>
          <w:rFonts w:ascii="Arial" w:cs="Arial" w:eastAsia="Arial" w:hAnsi="Arial"/>
          <w:sz w:val="18"/>
          <w:szCs w:val="18"/>
          <w:color w:val="auto"/>
        </w:rPr>
        <w:t>Our investment activities are managed by our investment advisor and supervised by our board of directors, a majority of whom are not interested persons of us, our investment advisor or its affiliates.</w:t>
      </w:r>
    </w:p>
    <w:p>
      <w:pPr>
        <w:spacing w:after="0" w:line="170" w:lineRule="exact"/>
        <w:rPr>
          <w:sz w:val="20"/>
          <w:szCs w:val="20"/>
          <w:color w:val="auto"/>
        </w:rPr>
      </w:pPr>
    </w:p>
    <w:p>
      <w:pPr>
        <w:ind w:right="40" w:firstLine="443"/>
        <w:spacing w:after="0" w:line="270" w:lineRule="auto"/>
        <w:rPr>
          <w:sz w:val="20"/>
          <w:szCs w:val="20"/>
          <w:color w:val="auto"/>
        </w:rPr>
      </w:pPr>
      <w:r>
        <w:rPr>
          <w:rFonts w:ascii="Arial" w:cs="Arial" w:eastAsia="Arial" w:hAnsi="Arial"/>
          <w:sz w:val="17"/>
          <w:szCs w:val="17"/>
          <w:color w:val="auto"/>
        </w:rPr>
        <w:t>As a BDC, we are required to comply with certain regulatory requirements. For example, while we are permitted to finance investments using leverage, which may include the issuance of shares of preferred stock, or notes and other borrowings, our ability to use leverage is limited in significant respects. See “Regulation” in the accompanying prospectus. Any decision on our part to use leverage will depend upon our assessment of the attractiveness of available investment opportunities in relation to the costs and perceived risks of such leverage. The use of leverage to finance investments creates certain risks and potential conflicts of interest. See “Risk Factors—Risks Relating to Our Business and Structure—Regulations governing our operations as a BDC affect our ability to raise, and the way in which we raise, additional capital which may have a negative effect on our growth” and “Risk Factors—Risks Relating to Our Business and Structure—Because we borrow money and may in the future issue additional senior securities including preferred stock and debt securities, the potential for gain or loss on amounts invested in us is magnified and may increase the risk of investing in us” in the accompanying prospectus.</w:t>
      </w:r>
    </w:p>
    <w:p>
      <w:pPr>
        <w:spacing w:after="0" w:line="182" w:lineRule="exact"/>
        <w:rPr>
          <w:sz w:val="20"/>
          <w:szCs w:val="20"/>
          <w:color w:val="auto"/>
        </w:rPr>
      </w:pPr>
    </w:p>
    <w:p>
      <w:pPr>
        <w:ind w:right="60" w:firstLine="443"/>
        <w:spacing w:after="0" w:line="264" w:lineRule="auto"/>
        <w:rPr>
          <w:sz w:val="20"/>
          <w:szCs w:val="20"/>
          <w:color w:val="auto"/>
        </w:rPr>
      </w:pPr>
      <w:r>
        <w:rPr>
          <w:rFonts w:ascii="Arial" w:cs="Arial" w:eastAsia="Arial" w:hAnsi="Arial"/>
          <w:sz w:val="18"/>
          <w:szCs w:val="18"/>
          <w:color w:val="auto"/>
        </w:rPr>
        <w:t>We have elected to be treated for U.S. federal income tax purposes as a RIC, under Subchapter M of the Code. In order to maintain our status as a RIC, we must satisfy certain source of income, asset diversification and distribution requirements. See “Material U.S. Federal Income Tax Considerations” in the accompanying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40" w:firstLine="443"/>
        <w:spacing w:after="0" w:line="277" w:lineRule="auto"/>
        <w:rPr>
          <w:sz w:val="20"/>
          <w:szCs w:val="20"/>
          <w:color w:val="auto"/>
        </w:rPr>
      </w:pPr>
      <w:r>
        <w:rPr>
          <w:rFonts w:ascii="Arial" w:cs="Arial" w:eastAsia="Arial" w:hAnsi="Arial"/>
          <w:sz w:val="18"/>
          <w:szCs w:val="18"/>
          <w:color w:val="auto"/>
        </w:rPr>
        <w:t>The value of our assets, as well as the market price of our shares, will fluctuate. Our investments may be risky, and you may lose part of or all of your investment in us. Investing in our securities involves other risks, including the following:</w:t>
      </w:r>
    </w:p>
    <w:p>
      <w:pPr>
        <w:spacing w:after="0" w:line="76" w:lineRule="exact"/>
        <w:rPr>
          <w:sz w:val="20"/>
          <w:szCs w:val="20"/>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dependence on key personnel of our investment advisor and our executive officers;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ability to maintain or develop referral relationships;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use of leverage;</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availability of additional capital on attractive terms or at all;</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uncertain valuations of our portfolio investments;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competition for investment opportunities;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actual and potential conflicts of interests with our investment advisor;</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 potential conflicts of interest;</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SBA regulations affecting our wholly-owned SBIC subsidiaries;</w:t>
      </w:r>
    </w:p>
    <w:p>
      <w:pPr>
        <w:sectPr>
          <w:pgSz w:w="11900" w:h="16838" w:orient="portrait"/>
          <w:cols w:equalWidth="0" w:num="1">
            <w:col w:w="11000"/>
          </w:cols>
          <w:pgMar w:left="440" w:top="463" w:right="459" w:bottom="1440" w:gutter="0" w:footer="0" w:header="0"/>
        </w:sectPr>
      </w:pPr>
    </w:p>
    <w:bookmarkStart w:id="207" w:name="page208"/>
    <w:bookmarkEnd w:id="207"/>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466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466465"/>
                    </a:xfrm>
                    <a:prstGeom prst="rect">
                      <a:avLst/>
                    </a:prstGeom>
                    <a:noFill/>
                  </pic:spPr>
                </pic:pic>
              </a:graphicData>
            </a:graphic>
          </wp:anchor>
        </w:drawing>
        <w:t>changes in interest rates;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impact of a protracted decline in liquidity of credit markets on our business and portfolio of investments;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ability to maintain our status as a RIC and as a BDC;</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timing, form and amount of any distributions from our portfolio companies;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changes in laws or regulations applicable to us;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dilutions risks related to our ability to issue shares below our current net asset value;</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possible resignation of our investment advisor;</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general economy and its impact on the industries in which we invest;</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risks associated with investing in lower middle-market companies;</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ability of our investment advisor to identify, invest in and monitor companies that meet our investment criteria; and</w:t>
      </w:r>
    </w:p>
    <w:p>
      <w:pPr>
        <w:spacing w:after="0" w:line="130" w:lineRule="exact"/>
        <w:rPr>
          <w:rFonts w:ascii="Arial" w:cs="Arial" w:eastAsia="Arial" w:hAnsi="Arial"/>
          <w:sz w:val="18"/>
          <w:szCs w:val="18"/>
          <w:color w:val="auto"/>
        </w:rPr>
      </w:pPr>
    </w:p>
    <w:p>
      <w:pPr>
        <w:ind w:left="860" w:hanging="323"/>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ability to invest in qualifying assets.</w:t>
      </w:r>
    </w:p>
    <w:p>
      <w:pPr>
        <w:spacing w:after="0" w:line="225" w:lineRule="exact"/>
        <w:rPr>
          <w:sz w:val="20"/>
          <w:szCs w:val="20"/>
          <w:color w:val="auto"/>
        </w:rPr>
      </w:pPr>
    </w:p>
    <w:p>
      <w:pPr>
        <w:ind w:firstLine="443"/>
        <w:spacing w:after="0" w:line="277" w:lineRule="auto"/>
        <w:rPr>
          <w:sz w:val="20"/>
          <w:szCs w:val="20"/>
          <w:color w:val="auto"/>
        </w:rPr>
      </w:pPr>
      <w:r>
        <w:rPr>
          <w:rFonts w:ascii="Arial" w:cs="Arial" w:eastAsia="Arial" w:hAnsi="Arial"/>
          <w:sz w:val="18"/>
          <w:szCs w:val="18"/>
          <w:color w:val="auto"/>
        </w:rPr>
        <w:t>See “Risk Factors” beginning on page [—] of the accompanying prospectus, for additional discussion of factors you should carefully consider before deciding to invest in our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660"/>
          </w:cols>
          <w:pgMar w:left="440" w:top="463" w:right="79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SPECIFIC TERMS OF THE NOTES AND THE OFFERING</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supplements the accompanying prospectus. This section outlines the specific legal and financial terms of the Notes. You should read this section together with the more general description of the Notes under the heading “Description of the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ectPr>
          <w:pgSz w:w="11900" w:h="16838" w:orient="portrait"/>
          <w:cols w:equalWidth="0" w:num="1">
            <w:col w:w="11420"/>
          </w:cols>
          <w:pgMar w:left="240" w:top="270"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Fidus Investment Corporation</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[Senior] Notes due [—]</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Initial Aggregate Principal Amount Being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3640" w:space="700"/>
            <w:col w:w="7080"/>
          </w:cols>
          <w:pgMar w:left="240" w:top="270"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underwriters may also purchase from us up to an additional $[—] aggregate principal amount of Notes to cover over-allotments, if any, within days of the date of this prospectus supplement.</w:t>
      </w:r>
    </w:p>
    <w:p>
      <w:pPr>
        <w:spacing w:after="0" w:line="151"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We intend to list the Notes on the [NASDAQ], within [—] days of the original issue date under the trading symbol “—.”</w:t>
      </w:r>
    </w:p>
    <w:p>
      <w:pPr>
        <w:spacing w:after="0" w:line="197"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aggregate principal amount of Notes</w:t>
      </w:r>
    </w:p>
    <w:p>
      <w:pPr>
        <w:spacing w:after="0" w:line="211"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20[—]</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20[—]</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and [—], commencing [—], 20[—].</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Interest periods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initial interest period will be the period from and including [—], 20[—], to, but excluding, the initial interest payment date, and the subsequent interest periods will be the periods from and including an interest payment date to, but excluding, the next interest payment date or the stated maturity date, as the case may be.</w:t>
      </w:r>
    </w:p>
    <w:p>
      <w:pPr>
        <w:spacing w:after="0" w:line="200" w:lineRule="exact"/>
        <w:rPr>
          <w:sz w:val="20"/>
          <w:szCs w:val="20"/>
          <w:color w:val="auto"/>
        </w:rPr>
      </w:pPr>
    </w:p>
    <w:p>
      <w:pPr>
        <w:sectPr>
          <w:pgSz w:w="11900" w:h="16838" w:orient="portrait"/>
          <w:cols w:equalWidth="0" w:num="2">
            <w:col w:w="3620" w:space="720"/>
            <w:col w:w="7080"/>
          </w:cols>
          <w:pgMar w:left="240" w:top="270"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Ranking of Notes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 xml:space="preserve">The Notes will be our general unsecured obligations that rank senior in right of payment to all of our existing and future indebtedness that is expressly subordinated, or junior, in right of payment to the Notes. The Notes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in right of payment with all of our existing and future senior liabilities that are not so subordinated, or junior, effectively subordinated, or junior, to any of our secured indebtedness (including unsecured indebtedness that we later secure) to the extent of the value of the assets</w:t>
      </w:r>
    </w:p>
    <w:p>
      <w:pPr>
        <w:sectPr>
          <w:pgSz w:w="11900" w:h="16838" w:orient="portrait"/>
          <w:cols w:equalWidth="0" w:num="2">
            <w:col w:w="3620" w:space="720"/>
            <w:col w:w="7080"/>
          </w:cols>
          <w:pgMar w:left="240" w:top="270" w:right="239" w:bottom="1440" w:gutter="0" w:footer="0" w:header="0"/>
          <w:type w:val="continuous"/>
        </w:sectPr>
      </w:pPr>
    </w:p>
    <w:bookmarkStart w:id="209" w:name="page210"/>
    <w:bookmarkEnd w:id="209"/>
    <w:p>
      <w:pPr>
        <w:ind w:left="434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securing such indebtedness, and structurally subordinated, or junior, to all existing and future indebtedness (including trade payables) incurred by our subsidiaries (including, without limitation, our subsidiaries that are small business investment companies (“</w:t>
      </w:r>
      <w:r>
        <w:rPr>
          <w:rFonts w:ascii="Arial" w:cs="Arial" w:eastAsia="Arial" w:hAnsi="Arial"/>
          <w:sz w:val="18"/>
          <w:szCs w:val="18"/>
          <w:b w:val="1"/>
          <w:bCs w:val="1"/>
          <w:color w:val="auto"/>
        </w:rPr>
        <w:t>SBICs</w:t>
      </w:r>
      <w:r>
        <w:rPr>
          <w:rFonts w:ascii="Arial" w:cs="Arial" w:eastAsia="Arial" w:hAnsi="Arial"/>
          <w:sz w:val="18"/>
          <w:szCs w:val="18"/>
          <w:color w:val="auto"/>
        </w:rPr>
        <w:t>”), financing vehicles or similar facilities.</w:t>
      </w:r>
    </w:p>
    <w:p>
      <w:pPr>
        <w:spacing w:after="0" w:line="214" w:lineRule="exact"/>
        <w:rPr>
          <w:sz w:val="20"/>
          <w:szCs w:val="20"/>
          <w:color w:val="auto"/>
        </w:rPr>
      </w:pPr>
    </w:p>
    <w:p>
      <w:pPr>
        <w:ind w:left="4340" w:right="60"/>
        <w:spacing w:after="0" w:line="257" w:lineRule="auto"/>
        <w:rPr>
          <w:sz w:val="20"/>
          <w:szCs w:val="20"/>
          <w:color w:val="auto"/>
        </w:rPr>
      </w:pPr>
      <w:r>
        <w:rPr>
          <w:rFonts w:ascii="Arial" w:cs="Arial" w:eastAsia="Arial" w:hAnsi="Arial"/>
          <w:sz w:val="18"/>
          <w:szCs w:val="18"/>
          <w:color w:val="auto"/>
        </w:rPr>
        <w:t>As of [—], 20[—], our total consolidated indebtedness was approximately $[—] principal amount. After giving effect to the issuance of the Notes and assuming the proceeds therefrom are used to repay outstanding borrowings under our revolving credit facility (the “Revolving Credit Facility”), our total consolidated indebtedness would have been approximately $[—] principal amount as of [—], 20[—]. See “Capitalization.”</w:t>
      </w:r>
    </w:p>
    <w:p>
      <w:pPr>
        <w:sectPr>
          <w:pgSz w:w="11900" w:h="16838" w:orient="portrait"/>
          <w:cols w:equalWidth="0" w:num="1">
            <w:col w:w="11400"/>
          </w:cols>
          <w:pgMar w:left="240" w:top="274" w:right="25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will issue the Notes in denominations of $[—] and integral multiples of $[—] in excess thereof.</w:t>
      </w:r>
    </w:p>
    <w:p>
      <w:pPr>
        <w:spacing w:after="0" w:line="197"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We may redeem some or all of the Notes at any time, or from time to time, at a redemption price equal to the greater of (1) [—]% of the principal amount of the Notes to be redeemed or (2) 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basis points, plus, in each case, accrued and unpaid interest to the redemption date.</w:t>
      </w:r>
    </w:p>
    <w:p>
      <w:pPr>
        <w:spacing w:after="0" w:line="200"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Offer to Purchase upon a Change of Control Repurchase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Event</w:t>
      </w:r>
    </w:p>
    <w:p>
      <w:pPr>
        <w:spacing w:after="0" w:line="20" w:lineRule="exact"/>
        <w:rPr>
          <w:sz w:val="20"/>
          <w:szCs w:val="20"/>
          <w:color w:val="auto"/>
        </w:rPr>
      </w:pPr>
      <w:r>
        <w:rPr>
          <w:sz w:val="20"/>
          <w:szCs w:val="20"/>
          <w:color w:val="auto"/>
        </w:rPr>
        <w:br w:type="column"/>
      </w:r>
    </w:p>
    <w:p>
      <w:pPr>
        <w:ind w:right="140"/>
        <w:spacing w:after="0" w:line="279" w:lineRule="auto"/>
        <w:rPr>
          <w:sz w:val="20"/>
          <w:szCs w:val="20"/>
          <w:color w:val="auto"/>
        </w:rPr>
      </w:pPr>
      <w:r>
        <w:rPr>
          <w:rFonts w:ascii="Arial" w:cs="Arial" w:eastAsia="Arial" w:hAnsi="Arial"/>
          <w:sz w:val="17"/>
          <w:szCs w:val="17"/>
          <w:color w:val="auto"/>
        </w:rPr>
        <w:t>If a Change of Control Repurchase Event occurs prior to maturity, holders will have the right, at their option, to require us to repurchase for cash some or all of the Notes at a repurchase price equal to [—]% of the principal amount of the Notes being repurchased, plus accrued and unpaid interest to, but not including, the repurchase date.</w:t>
      </w:r>
    </w:p>
    <w:p>
      <w:pPr>
        <w:spacing w:after="0" w:line="198" w:lineRule="exact"/>
        <w:rPr>
          <w:sz w:val="20"/>
          <w:szCs w:val="20"/>
          <w:color w:val="auto"/>
        </w:rPr>
      </w:pPr>
    </w:p>
    <w:p>
      <w:pPr>
        <w:sectPr>
          <w:pgSz w:w="11900" w:h="16838" w:orient="portrait"/>
          <w:cols w:equalWidth="0" w:num="2">
            <w:col w:w="4080" w:space="260"/>
            <w:col w:w="70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Legal Defeasance</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The Notes are subject to legal defeasance by us, which means that, subject to the satisfaction of certain conditions, including depositing in trust for the benefit of the holders of the Notes a combination of money and U.S. government or U.S. government agency notes or bonds that will generate enough cash to make interest, principal and any other payments on the Notes on their various due dates, we can legally release ourselves from all payment and other obligations on the Notes.</w:t>
      </w:r>
    </w:p>
    <w:p>
      <w:pPr>
        <w:spacing w:after="0" w:line="200"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Covenant Defeasance</w:t>
      </w:r>
    </w:p>
    <w:p>
      <w:pPr>
        <w:spacing w:after="0" w:line="20" w:lineRule="exact"/>
        <w:rPr>
          <w:sz w:val="20"/>
          <w:szCs w:val="20"/>
          <w:color w:val="auto"/>
        </w:rPr>
      </w:pPr>
      <w:r>
        <w:rPr>
          <w:sz w:val="20"/>
          <w:szCs w:val="20"/>
          <w:color w:val="auto"/>
        </w:rPr>
        <w:br w:type="column"/>
      </w:r>
    </w:p>
    <w:p>
      <w:pPr>
        <w:ind w:right="80"/>
        <w:spacing w:after="0" w:line="297" w:lineRule="auto"/>
        <w:rPr>
          <w:sz w:val="20"/>
          <w:szCs w:val="20"/>
          <w:color w:val="auto"/>
        </w:rPr>
      </w:pPr>
      <w:r>
        <w:rPr>
          <w:rFonts w:ascii="Arial" w:cs="Arial" w:eastAsia="Arial" w:hAnsi="Arial"/>
          <w:sz w:val="16"/>
          <w:szCs w:val="16"/>
          <w:color w:val="auto"/>
        </w:rPr>
        <w:t>The Notes are subject to covenant defeasance by us, which means that, subject to the satisfaction of certain conditions, including depositing in trust for the benefit of the holders of the Notes a combination of money and U.S. government or U.S. government agency notes or bonds that will generate enough cash to make interest, principal and any other payments on the Notes on their various due dates, we will be released from some of the restrictive covenants in the indenture.</w:t>
      </w:r>
    </w:p>
    <w:p>
      <w:pPr>
        <w:spacing w:after="0" w:line="185"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Form of Notes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Notes will be represented by global securities that will be deposited and registered in the name of The Depository Trust Company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spacing w:after="0" w:line="200"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Trustee, Paying Agent, Registrar and 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800" w:space="540"/>
            <w:col w:w="7060"/>
          </w:cols>
          <w:pgMar w:left="240" w:top="274" w:right="2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Events of Default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an event of default (as described herein under “Description of Notes”) on the Notes occurs, the principal amount of the Notes, plus accrued and unpaid interest, may be declared immediately due and payable, subject to conditions set forth in the indenture. These amounts automatically become due and payable in the case of certain types of bankruptcy or insolvency events involving us.</w:t>
      </w:r>
    </w:p>
    <w:p>
      <w:pPr>
        <w:sectPr>
          <w:pgSz w:w="11900" w:h="16838" w:orient="portrait"/>
          <w:cols w:equalWidth="0" w:num="2">
            <w:col w:w="3620" w:space="720"/>
            <w:col w:w="7060"/>
          </w:cols>
          <w:pgMar w:left="240" w:top="274" w:right="259" w:bottom="1440" w:gutter="0" w:footer="0" w:header="0"/>
          <w:type w:val="continuous"/>
        </w:sectPr>
      </w:pPr>
    </w:p>
    <w:bookmarkStart w:id="210" w:name="page211"/>
    <w:bookmarkEnd w:id="210"/>
    <w:p>
      <w:pPr>
        <w:spacing w:after="0"/>
        <w:rPr>
          <w:sz w:val="20"/>
          <w:szCs w:val="20"/>
          <w:color w:val="auto"/>
        </w:rPr>
      </w:pPr>
      <w:r>
        <w:rPr>
          <w:rFonts w:ascii="Arial" w:cs="Arial" w:eastAsia="Arial" w:hAnsi="Arial"/>
          <w:sz w:val="16"/>
          <w:szCs w:val="16"/>
          <w:color w:val="auto"/>
        </w:rPr>
        <w:t>Other Covenants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In addition to the covenants described in the accompanying prospectus, the following covenants shall apply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-387985</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620" w:space="720"/>
            <w:col w:w="7040"/>
          </w:cols>
          <w:pgMar w:left="240" w:top="274" w:right="279" w:bottom="1440" w:gutter="0" w:footer="0" w:header="0"/>
        </w:sectPr>
      </w:pPr>
    </w:p>
    <w:p>
      <w:pPr>
        <w:ind w:left="4780" w:right="60" w:hanging="159"/>
        <w:spacing w:after="0" w:line="264" w:lineRule="auto"/>
        <w:tabs>
          <w:tab w:leader="none" w:pos="4760" w:val="left"/>
        </w:tabs>
        <w:rPr>
          <w:sz w:val="20"/>
          <w:szCs w:val="20"/>
          <w:color w:val="auto"/>
        </w:rPr>
      </w:pPr>
      <w:r>
        <w:rPr>
          <w:rFonts w:ascii="Arial" w:cs="Arial" w:eastAsia="Arial" w:hAnsi="Arial"/>
          <w:sz w:val="18"/>
          <w:szCs w:val="18"/>
          <w:color w:val="auto"/>
        </w:rPr>
        <w:t>•</w:t>
        <w:tab/>
        <w:t>We agree that for the period of time during which the Notes are outstanding, we will not violate, whether or not we are subject to, Section 18(a)(1)(A) as modified by Section 61(a) (1) of the Investment Company Act or any successor provisions.</w:t>
      </w:r>
    </w:p>
    <w:p>
      <w:pPr>
        <w:spacing w:after="0" w:line="87" w:lineRule="exact"/>
        <w:rPr>
          <w:sz w:val="20"/>
          <w:szCs w:val="20"/>
          <w:color w:val="auto"/>
        </w:rPr>
      </w:pPr>
    </w:p>
    <w:p>
      <w:pPr>
        <w:ind w:left="4780" w:hanging="159"/>
        <w:spacing w:after="0" w:line="253" w:lineRule="auto"/>
        <w:tabs>
          <w:tab w:leader="none" w:pos="4760" w:val="left"/>
        </w:tabs>
        <w:rPr>
          <w:sz w:val="20"/>
          <w:szCs w:val="20"/>
          <w:color w:val="auto"/>
        </w:rPr>
      </w:pPr>
      <w:r>
        <w:rPr>
          <w:rFonts w:ascii="Arial" w:cs="Arial" w:eastAsia="Arial" w:hAnsi="Arial"/>
          <w:sz w:val="18"/>
          <w:szCs w:val="18"/>
          <w:color w:val="auto"/>
        </w:rPr>
        <w:t>•</w:t>
        <w:tab/>
        <w:t>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United States generally accepted accounting principles (“GAAP”).</w:t>
      </w:r>
    </w:p>
    <w:p>
      <w:pPr>
        <w:sectPr>
          <w:pgSz w:w="11900" w:h="16838" w:orient="portrait"/>
          <w:cols w:equalWidth="0" w:num="1">
            <w:col w:w="11380"/>
          </w:cols>
          <w:pgMar w:left="240" w:top="274" w:right="27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 Established Trading Market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 Although the underwriters have informed us that they intend to make a market in the Notes, they are not obligated to do so, and may discontinue any such market making at any time without notice. Accordingly, we cannot assure you that a liquid market for the Notes will develop or be maintained.</w:t>
      </w:r>
    </w:p>
    <w:p>
      <w:pPr>
        <w:spacing w:after="0" w:line="200" w:lineRule="exact"/>
        <w:rPr>
          <w:sz w:val="20"/>
          <w:szCs w:val="20"/>
          <w:color w:val="auto"/>
        </w:rPr>
      </w:pPr>
    </w:p>
    <w:p>
      <w:pPr>
        <w:sectPr>
          <w:pgSz w:w="11900" w:h="16838" w:orient="portrait"/>
          <w:cols w:equalWidth="0" w:num="2">
            <w:col w:w="3620" w:space="720"/>
            <w:col w:w="7040"/>
          </w:cols>
          <w:pgMar w:left="240" w:top="274" w:right="2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Global Clearance and Settlement Procedures</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spacing w:after="0" w:line="185" w:lineRule="exact"/>
        <w:rPr>
          <w:sz w:val="20"/>
          <w:szCs w:val="20"/>
          <w:color w:val="auto"/>
        </w:rPr>
      </w:pPr>
    </w:p>
    <w:p>
      <w:pPr>
        <w:sectPr>
          <w:pgSz w:w="11900" w:h="16838" w:orient="portrait"/>
          <w:cols w:equalWidth="0" w:num="2">
            <w:col w:w="3620" w:space="720"/>
            <w:col w:w="7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Events of Default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You will have rights if an Event of Default occurs with respect to the Notes and is not cured. The term “Event of Default” in respect of the Notes means any of the following:</w:t>
      </w:r>
    </w:p>
    <w:p>
      <w:pPr>
        <w:spacing w:after="0" w:line="76" w:lineRule="exact"/>
        <w:rPr>
          <w:sz w:val="20"/>
          <w:szCs w:val="20"/>
          <w:color w:val="auto"/>
        </w:rPr>
      </w:pPr>
    </w:p>
    <w:p>
      <w:pPr>
        <w:sectPr>
          <w:pgSz w:w="11900" w:h="16838" w:orient="portrait"/>
          <w:cols w:equalWidth="0" w:num="2">
            <w:col w:w="3620" w:space="720"/>
            <w:col w:w="7040"/>
          </w:cols>
          <w:pgMar w:left="240" w:top="274" w:right="279" w:bottom="1440" w:gutter="0" w:footer="0" w:header="0"/>
          <w:type w:val="continuous"/>
        </w:sectPr>
      </w:pPr>
    </w:p>
    <w:p>
      <w:pPr>
        <w:ind w:left="4340"/>
        <w:spacing w:after="0"/>
        <w:rPr>
          <w:sz w:val="20"/>
          <w:szCs w:val="20"/>
          <w:color w:val="auto"/>
        </w:rPr>
      </w:pPr>
      <w:r>
        <w:rPr>
          <w:rFonts w:ascii="Arial" w:cs="Arial" w:eastAsia="Arial" w:hAnsi="Arial"/>
          <w:sz w:val="18"/>
          <w:szCs w:val="18"/>
          <w:color w:val="auto"/>
        </w:rPr>
        <w:t>- We do not pay the principal of any Note on its due date.</w:t>
      </w:r>
    </w:p>
    <w:p>
      <w:pPr>
        <w:spacing w:after="0" w:line="13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 We do not pay interest on any Note when due, and such default is not cured within 30 days.</w:t>
      </w:r>
    </w:p>
    <w:p>
      <w:pPr>
        <w:spacing w:after="0" w:line="142" w:lineRule="exact"/>
        <w:rPr>
          <w:sz w:val="20"/>
          <w:szCs w:val="20"/>
          <w:color w:val="auto"/>
        </w:rPr>
      </w:pPr>
    </w:p>
    <w:p>
      <w:pPr>
        <w:ind w:left="4340" w:right="120"/>
        <w:spacing w:after="0" w:line="286" w:lineRule="auto"/>
        <w:rPr>
          <w:sz w:val="20"/>
          <w:szCs w:val="20"/>
          <w:color w:val="auto"/>
        </w:rPr>
      </w:pPr>
      <w:r>
        <w:rPr>
          <w:rFonts w:ascii="Arial" w:cs="Arial" w:eastAsia="Arial" w:hAnsi="Arial"/>
          <w:sz w:val="17"/>
          <w:szCs w:val="17"/>
          <w:color w:val="auto"/>
        </w:rPr>
        <w:t>- We remain in breach of any other covenant with respect to the Notes for 60 days after we receive a written notice of default stating we are in breach. The notice must be sent by either the Trustee or holders of at least 25% of the principal amount of the Notes.</w:t>
      </w:r>
    </w:p>
    <w:p>
      <w:pPr>
        <w:spacing w:after="0" w:line="71" w:lineRule="exact"/>
        <w:rPr>
          <w:sz w:val="20"/>
          <w:szCs w:val="20"/>
          <w:color w:val="auto"/>
        </w:rPr>
      </w:pPr>
    </w:p>
    <w:p>
      <w:pPr>
        <w:ind w:left="4340" w:right="20"/>
        <w:spacing w:after="0" w:line="286" w:lineRule="auto"/>
        <w:rPr>
          <w:sz w:val="20"/>
          <w:szCs w:val="20"/>
          <w:color w:val="auto"/>
        </w:rPr>
      </w:pPr>
      <w:r>
        <w:rPr>
          <w:rFonts w:ascii="Arial" w:cs="Arial" w:eastAsia="Arial" w:hAnsi="Arial"/>
          <w:sz w:val="17"/>
          <w:szCs w:val="17"/>
          <w:color w:val="auto"/>
        </w:rPr>
        <w:t>- We file for bankruptcy or certain other events of bankruptcy, insolvency or reorganization occur and in the case of certain orders or decrees entered against us under any bankruptcy law, such order or decree remains undischarged or unstayed for a period of 60 days.</w:t>
      </w:r>
    </w:p>
    <w:p>
      <w:pPr>
        <w:spacing w:after="0" w:line="71" w:lineRule="exact"/>
        <w:rPr>
          <w:sz w:val="20"/>
          <w:szCs w:val="20"/>
          <w:color w:val="auto"/>
        </w:rPr>
      </w:pPr>
    </w:p>
    <w:p>
      <w:pPr>
        <w:ind w:left="4340" w:right="40"/>
        <w:spacing w:after="0" w:line="277" w:lineRule="auto"/>
        <w:rPr>
          <w:sz w:val="20"/>
          <w:szCs w:val="20"/>
          <w:color w:val="auto"/>
        </w:rPr>
      </w:pPr>
      <w:r>
        <w:rPr>
          <w:rFonts w:ascii="Arial" w:cs="Arial" w:eastAsia="Arial" w:hAnsi="Arial"/>
          <w:sz w:val="18"/>
          <w:szCs w:val="18"/>
          <w:color w:val="auto"/>
        </w:rPr>
        <w:t>- On the last business day of each of twenty-four consecutive calendar months, the Notes have an asset coverage of less than 100%.</w:t>
      </w:r>
    </w:p>
    <w:p>
      <w:pPr>
        <w:sectPr>
          <w:pgSz w:w="11900" w:h="16838" w:orient="portrait"/>
          <w:cols w:equalWidth="0" w:num="1">
            <w:col w:w="11380"/>
          </w:cols>
          <w:pgMar w:left="240" w:top="274" w:right="27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jc w:val="both"/>
        <w:ind w:right="340"/>
        <w:spacing w:after="0" w:line="264" w:lineRule="auto"/>
        <w:rPr>
          <w:sz w:val="20"/>
          <w:szCs w:val="20"/>
          <w:color w:val="auto"/>
        </w:rPr>
      </w:pPr>
      <w:r>
        <w:rPr>
          <w:rFonts w:ascii="Arial" w:cs="Arial" w:eastAsia="Arial" w:hAnsi="Arial"/>
          <w:sz w:val="18"/>
          <w:szCs w:val="18"/>
          <w:color w:val="auto"/>
        </w:rPr>
        <w:t>We have the ability to issue additional debt securities under the indenture with terms different from the Notes and, without the consent of the holders thereof, to reopen the Notes and issue additional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-518160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We estimate that the net proceeds we will receive from the sale of the $[—] million aggregate principal amount of Notes in this offering will be approximately $[—] million (or approximately $[—] million if the underwriters fully exercise their over-allotment option), in each case assuming a public offering price of [—]% of par, after deducting the underwriting discount of $[—] million (or approximately $[—] million if the underwriters fully exercise their over-allotment option) payable by us and estimated offering expenses of approximately $[—] payable by us. We intend to use the net proceeds of this offering to invest in lower middle market companies in accordance with our investment objective and strategies and for working capital and general corporate purposes.</w:t>
      </w:r>
    </w:p>
    <w:p>
      <w:pPr>
        <w:sectPr>
          <w:pgSz w:w="11900" w:h="16838" w:orient="portrait"/>
          <w:cols w:equalWidth="0" w:num="2">
            <w:col w:w="3620" w:space="720"/>
            <w:col w:w="7080"/>
          </w:cols>
          <w:pgMar w:left="240" w:top="274" w:right="239" w:bottom="1440"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FACTORS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 factors described below and under the caption “Risk Factors” in the accompanying prospectus, together with all of the other information included in this prospectus supplement and the accompanying prospectus, including our consolidated financial statements and the related notes thereto,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we have currently incurred or may incur in the future.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Notes will not be secured by any of our assets or any of the assets of our subsidiaries. As a result, the Notes are effectively subordinated, or junior,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 20[—], we had $[—] aggregate principal amount of outstanding indebtedness under the Revolving Credit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Notes are obligations exclusively of the Company and not of any of our subsidiaries. None of our subsidiaries is a guarantor of the Notes and the Notes are not required to be guaranteed by any subsidiaries we may acquire or create in the future. A significant portion of the indebtedness required to be consolidated on our balance sheet is held though our SBIC subsidiaries. For example, as of [—], 20[—], the Funds have issued $[—] of SBA-guaranteed debentures and has the current capacity to issue up to the statutory maximum of $225.0 million of SBA-guaranteed debentures. The assets of such subsidiaries are not be directly available to satisfy the claims of our creditors, including holders of the Notes. See “Management’s Discussion and Analysis of Financial Condition and Results of Operations—Financial Condition, Liquidity and Capital Resources— Financing Transactions” in this prospectus supplement for more detail on the SBA-guaranteed debentures.</w:t>
      </w:r>
    </w:p>
    <w:p>
      <w:pPr>
        <w:spacing w:after="0" w:line="189"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Except to the extent we are a creditor with recognized claims against our subsidiaries, all claims of creditors of our subsidiaries would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including SBA-guaranteed debentures, and other liabilities of any of our subsidiaries and any subsidiaries that we may in the future acquire or establish as financing vehicles or otherwise. In addition, our subsidiaries may incur substantial additional indebtedness in the future, all of which would be structurally senior to the Notes.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will be issued will contain limited protection for holders of the Notes.</w:t>
      </w:r>
    </w:p>
    <w:p>
      <w:pPr>
        <w:spacing w:after="0" w:line="11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900" w:right="1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Notes, (2) any indebtedness</w:t>
      </w:r>
    </w:p>
    <w:p>
      <w:pPr>
        <w:sectPr>
          <w:pgSz w:w="11900" w:h="16838" w:orient="portrait"/>
          <w:cols w:equalWidth="0" w:num="1">
            <w:col w:w="11420"/>
          </w:cols>
          <w:pgMar w:left="240" w:top="270" w:right="239" w:bottom="1440" w:gutter="0" w:footer="0" w:header="0"/>
        </w:sectPr>
      </w:pPr>
    </w:p>
    <w:bookmarkStart w:id="213" w:name="page214"/>
    <w:bookmarkEnd w:id="213"/>
    <w:p>
      <w:pPr>
        <w:ind w:left="92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as modified by Section 61(a)(1) of the Investment Company Act or any successor provisions;</w:t>
      </w:r>
    </w:p>
    <w:p>
      <w:pPr>
        <w:spacing w:after="0" w:line="99" w:lineRule="exact"/>
        <w:rPr>
          <w:sz w:val="20"/>
          <w:szCs w:val="20"/>
          <w:color w:val="auto"/>
        </w:rPr>
      </w:pPr>
    </w:p>
    <w:p>
      <w:pPr>
        <w:ind w:left="900" w:right="16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and the Notes. See in the accompanying prospectus “Risk Factors—Risks Relating to Our Business—In addition to regulatory requirements that restrict our ability to raise capital, the Facilities, the Unsecured Notes (as defined below) and the Convertible Unsecured Notes (as defined below) contain various covenants, or agreements, that, if not complied with, could accelerate repayment under the Facilities, the Unsecured Notes and the Convertible Unsecured Notes, thereby materially and adversely affecting our liquidity, financial condition and results of operations.”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 which coule limit the market price of the Notes or your ability to sell them.</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Notes are a new issue of debt securities for which there currently is no trading market. We intend to list the Notes on the [NASDAQ] within [—] days of the original issue date under the symbol [“—”]. Although we expect the Notes to be listed on the [NASDAQ], we cannot provide and assurance that an active trading market will develop or be maintained for the Notes or that you will be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w:t>
      </w:r>
    </w:p>
    <w:p>
      <w:pPr>
        <w:sectPr>
          <w:pgSz w:w="11900" w:h="16838" w:orient="portrait"/>
          <w:cols w:equalWidth="0" w:num="1">
            <w:col w:w="11420"/>
          </w:cols>
          <w:pgMar w:left="240" w:top="274" w:right="239" w:bottom="1440" w:gutter="0" w:footer="0" w:header="0"/>
        </w:sectPr>
      </w:pPr>
    </w:p>
    <w:bookmarkStart w:id="214" w:name="page215"/>
    <w:bookmarkEnd w:id="21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choose to redeem the Notes when prevailing interest rates are relatively low.</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or after [—], 20[—] , we may choose to redeem the Notes from time to time, especially when prevailing interest rates are lower than the rate borne by the Notes. If prevailing rates are lower at the time of redemption, you would not be able to reinvest the redemption proceeds in a comparable security at an effective interest rate as high as the interest rate on the Notes being redeemed. Our redemption right also may adversely impact your ability to sell the Notes as the optional redemption date or period approaches.</w:t>
      </w:r>
    </w:p>
    <w:p>
      <w:pPr>
        <w:spacing w:after="0" w:line="29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Our amount of debt outstanding will increase as a result of this offering, and if we default on our obligations to pay our other indebtedness, we may not be able to make payments on the Notes.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As of [—], 20 , we had approximately $[—] of indebtedness, including $[—] outstanding under the Revolving Credit Facility and $[—] outstanding from SBA-guaranteed debentures. Any default under the agreements governing our indebtedness, including a default under the Revolving Credit Facility or other indebtedness to which we may be a party that is not waived by the required lenders,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the Revolving Credit Facility),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Revolving Credit Facility or other debt we may incur in the future could elect to terminate their commitments, cease making further loans and institute foreclosure proceedings against our assets, and we could be forced into bankruptcy or liquidation. 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Revolving Credit Facility or otherwise, in an amount sufficient to enable us to meet our payment obligations under the Notes and our other debt and to fund other liquidity needs.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our operating performance declines and we are not able to generate sufficient cash flow to service our debt obligations, we may in the future need to refinance or restructure our debt, including any Notes sold, sell assets, reduce or delay capital investments, seek to raise additional capital or seek to obtain waivers from the required lenders under the Revolving Credit Facility or other debt that we may incur in the future to avoid being in default. If we are unable to implement one or more of these alternatives, we may not be able to meet our payment obligations under the Notes and our other debt. If we breach our covenants under the Revolving Credit Facility or other debt and seek a waiver, we may not be able to obtain a waiver from the required lenders. If this occurs, we would be in default under the Revolving Credit Facility or other debt, the lenders could exercise their rights as described above, and we could be forced into bankruptcy or liquidation. If we are unable to repay debt, lenders having secured obligations could proceed against the collateral securing the debt. Because the Revolving Credit Facility has, and any future credit facilities will likely have, customary cross-default provisions, if the indebtedness under the Notes, the Revolving Credit Facility or under any future credit facility is accelerated, we may be unable to repay or finance the amounts due.</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[Update for any other risk factors applicable to the Notes and any additional relevant risk factors not included in the base prospectus to the extent required to be disclosed by applicable law or regulation.]</w:t>
      </w:r>
    </w:p>
    <w:p>
      <w:pPr>
        <w:sectPr>
          <w:pgSz w:w="11900" w:h="16838" w:orient="portrait"/>
          <w:cols w:equalWidth="0" w:num="1">
            <w:col w:w="11400"/>
          </w:cols>
          <w:pgMar w:left="240" w:top="274" w:right="25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CONDENSED CONSOLIDATED FINANCIAL DATA OF FIDUS INVESTMENT CORPORATION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selected financial and other data as of and for the years ended December 31, 20[—], 20[—], 20[—], 20[—] and 20[—] are derived from our consolidated financial statements, which have been audited by McGladrey LLP, an independent registered public accounting firm whose report thereon is included elsewhere in the accompanying prospectus. The selected financial and other data as of and for the [—] ended [—], 20[—] and other quarterly financial information is derived from our unaudited financial statements, but in the opinion of management, reflects all adjustments (consisting only of normal recurring adjustments) that are necessary to present fairly the results of such interim periods. Interim results as of and for the [—] ended[—], 20[—] are not necessarily indicative of the results that may be expected for the year ending December 31, 20[—]. The data should be read in conjunction with our consolidated financial statements and notes thereto and “Management’s Discussion and Analysis of Financial Condition and Results of Operations” and “Senior Securities,” which are included elsewhere in this prospectus supplement or the accompanying prospectus.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[Insert Selected Condensed Consolidated Financial Data of Fidus Investment Corporation reflecting most recently filed financials prior to the offering.]</w:t>
      </w:r>
    </w:p>
    <w:p>
      <w:pPr>
        <w:sectPr>
          <w:pgSz w:w="11900" w:h="16838" w:orient="portrait"/>
          <w:cols w:equalWidth="0" w:num="1">
            <w:col w:w="11420"/>
          </w:cols>
          <w:pgMar w:left="240" w:top="270" w:right="2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estimate that the net proceeds we will receive from the sale of the $[—] million aggregate principal amount of Notes in this offering will be approximately $[—] million, in each case assuming a public offering price of [—]% of par, after deducting the underwriting discount of $[—] million payable by us and estimated offering expenses of approximately $[—] million payable by us.</w:t>
      </w:r>
    </w:p>
    <w:p>
      <w:pPr>
        <w:spacing w:after="0" w:line="18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We intend to use the net proceeds of this offering to invest in lower middle market companies in accordance with our investment objective and strategies and for working capital and general corporate purposes. Pending such use, we will invest the net proceeds of this offering primarily in short-term securities consistent with our BDC election and our election to be taxed as a regulated investment company, or RIC.</w:t>
      </w:r>
    </w:p>
    <w:p>
      <w:pPr>
        <w:sectPr>
          <w:pgSz w:w="11900" w:h="16838" w:orient="portrait"/>
          <w:cols w:equalWidth="0" w:num="1">
            <w:col w:w="11400"/>
          </w:cols>
          <w:pgMar w:left="240" w:top="270" w:right="25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RATIOS OF EARNINGS TO FIXED CHARGES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 ended [—], 20[—] and the years ended December 31, 20[—], 20[—], 20[—], 20[—] and 20[—], the ratios of earnings to fixed charges of the Company, computed as set forth below, were as follows:</w:t>
      </w:r>
    </w:p>
    <w:p>
      <w:pPr>
        <w:spacing w:after="0" w:line="177" w:lineRule="exact"/>
        <w:rPr>
          <w:sz w:val="20"/>
          <w:szCs w:val="20"/>
          <w:color w:val="auto"/>
        </w:rPr>
      </w:pPr>
    </w:p>
    <w:tbl>
      <w:tblPr>
        <w:tblLayout w:type="fixed"/>
        <w:tblInd w:w="3800" w:type="dxa"/>
        <w:tblCellMar>
          <w:top w:w="0" w:type="dxa"/>
          <w:left w:w="0" w:type="dxa"/>
          <w:bottom w:w="0" w:type="dxa"/>
          <w:right w:w="0" w:type="dxa"/>
        </w:tblCellMar>
      </w:tblPr>
      <w:tr>
        <w:trPr>
          <w:trHeight w:val="161"/>
        </w:trPr>
        <w:tc>
          <w:tcPr>
            <w:tcW w:w="1000" w:type="dxa"/>
            <w:vAlign w:val="bottom"/>
          </w:tcPr>
          <w:p>
            <w:pPr>
              <w:jc w:val="center"/>
              <w:ind w:right="188"/>
              <w:spacing w:after="0"/>
              <w:rPr>
                <w:sz w:val="20"/>
                <w:szCs w:val="20"/>
                <w:color w:val="auto"/>
              </w:rPr>
            </w:pPr>
            <w:r>
              <w:rPr>
                <w:rFonts w:ascii="Arial" w:cs="Arial" w:eastAsia="Arial" w:hAnsi="Arial"/>
                <w:sz w:val="14"/>
                <w:szCs w:val="14"/>
                <w:b w:val="1"/>
                <w:bCs w:val="1"/>
                <w:color w:val="auto"/>
                <w:w w:val="99"/>
              </w:rPr>
              <w:t>For the [</w:t>
            </w:r>
            <w:r>
              <w:rPr>
                <w:rFonts w:ascii="Arial" w:cs="Arial" w:eastAsia="Arial" w:hAnsi="Arial"/>
                <w:sz w:val="14"/>
                <w:szCs w:val="14"/>
                <w:color w:val="auto"/>
                <w:w w:val="99"/>
              </w:rPr>
              <w:t>—</w:t>
            </w:r>
            <w:r>
              <w:rPr>
                <w:rFonts w:ascii="Arial" w:cs="Arial" w:eastAsia="Arial" w:hAnsi="Arial"/>
                <w:sz w:val="14"/>
                <w:szCs w:val="14"/>
                <w:b w:val="1"/>
                <w:bCs w:val="1"/>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10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Ended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Year Ended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Year Ended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10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3"/>
        </w:trPr>
        <w:tc>
          <w:tcPr>
            <w:tcW w:w="100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20[</w:t>
            </w:r>
            <w:r>
              <w:rPr>
                <w:rFonts w:ascii="Arial" w:cs="Arial" w:eastAsia="Arial" w:hAnsi="Arial"/>
                <w:sz w:val="14"/>
                <w:szCs w:val="14"/>
                <w:color w:val="auto"/>
                <w:w w:val="97"/>
              </w:rPr>
              <w:t>—</w:t>
            </w:r>
            <w:r>
              <w:rPr>
                <w:rFonts w:ascii="Arial" w:cs="Arial" w:eastAsia="Arial" w:hAnsi="Arial"/>
                <w:sz w:val="14"/>
                <w:szCs w:val="14"/>
                <w:b w:val="1"/>
                <w:bCs w:val="1"/>
                <w:color w:val="auto"/>
                <w:w w:val="97"/>
              </w:rPr>
              <w: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20[</w:t>
            </w:r>
            <w:r>
              <w:rPr>
                <w:rFonts w:ascii="Arial" w:cs="Arial" w:eastAsia="Arial" w:hAnsi="Arial"/>
                <w:sz w:val="14"/>
                <w:szCs w:val="14"/>
                <w:color w:val="auto"/>
                <w:w w:val="97"/>
              </w:rPr>
              <w:t>—</w:t>
            </w:r>
            <w:r>
              <w:rPr>
                <w:rFonts w:ascii="Arial" w:cs="Arial" w:eastAsia="Arial" w:hAnsi="Arial"/>
                <w:sz w:val="14"/>
                <w:szCs w:val="14"/>
                <w:b w:val="1"/>
                <w:bCs w:val="1"/>
                <w:color w:val="auto"/>
                <w:w w:val="97"/>
              </w:rPr>
              <w: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20[</w:t>
            </w:r>
            <w:r>
              <w:rPr>
                <w:rFonts w:ascii="Arial" w:cs="Arial" w:eastAsia="Arial" w:hAnsi="Arial"/>
                <w:sz w:val="14"/>
                <w:szCs w:val="14"/>
                <w:color w:val="auto"/>
                <w:w w:val="97"/>
              </w:rPr>
              <w:t>—</w:t>
            </w:r>
            <w:r>
              <w:rPr>
                <w:rFonts w:ascii="Arial" w:cs="Arial" w:eastAsia="Arial" w:hAnsi="Arial"/>
                <w:sz w:val="14"/>
                <w:szCs w:val="14"/>
                <w:b w:val="1"/>
                <w:bCs w:val="1"/>
                <w:color w:val="auto"/>
                <w:w w:val="97"/>
              </w:rPr>
              <w: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20[</w:t>
            </w:r>
            <w:r>
              <w:rPr>
                <w:rFonts w:ascii="Arial" w:cs="Arial" w:eastAsia="Arial" w:hAnsi="Arial"/>
                <w:sz w:val="14"/>
                <w:szCs w:val="14"/>
                <w:color w:val="auto"/>
                <w:w w:val="97"/>
              </w:rPr>
              <w:t>—</w:t>
            </w:r>
            <w:r>
              <w:rPr>
                <w:rFonts w:ascii="Arial" w:cs="Arial" w:eastAsia="Arial" w:hAnsi="Arial"/>
                <w:sz w:val="14"/>
                <w:szCs w:val="14"/>
                <w:b w:val="1"/>
                <w:bCs w:val="1"/>
                <w:color w:val="auto"/>
                <w:w w:val="97"/>
              </w:rPr>
              <w: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20[</w:t>
            </w:r>
            <w:r>
              <w:rPr>
                <w:rFonts w:ascii="Arial" w:cs="Arial" w:eastAsia="Arial" w:hAnsi="Arial"/>
                <w:sz w:val="14"/>
                <w:szCs w:val="14"/>
                <w:color w:val="auto"/>
                <w:w w:val="97"/>
              </w:rPr>
              <w:t>—</w:t>
            </w:r>
            <w:r>
              <w:rPr>
                <w:rFonts w:ascii="Arial" w:cs="Arial" w:eastAsia="Arial" w:hAnsi="Arial"/>
                <w:sz w:val="14"/>
                <w:szCs w:val="14"/>
                <w:b w:val="1"/>
                <w:bCs w:val="1"/>
                <w:color w:val="auto"/>
                <w:w w:val="97"/>
              </w:rPr>
              <w:t>]</w:t>
            </w: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rPr>
              <w:t>20[</w:t>
            </w:r>
            <w:r>
              <w:rPr>
                <w:rFonts w:ascii="Arial" w:cs="Arial" w:eastAsia="Arial" w:hAnsi="Arial"/>
                <w:sz w:val="14"/>
                <w:szCs w:val="14"/>
                <w:color w:val="auto"/>
              </w:rPr>
              <w:t>—</w:t>
            </w: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Earnings to Fixed Charges(1)</w:t>
      </w:r>
    </w:p>
    <w:p>
      <w:pPr>
        <w:spacing w:after="0" w:line="20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purposes of computing the ratios of earnings to fixed charges, earnings represent net increase in stockholders’ equity resulting from operations plus (or minus) income tax expense (benefit) including excise tax expense plus fixed charges. Fixed charges include interest and credit facility fees expense and amortization of debt issuance costs.</w:t>
      </w:r>
    </w:p>
    <w:p>
      <w:pPr>
        <w:spacing w:after="0" w:line="87" w:lineRule="exact"/>
        <w:rPr>
          <w:sz w:val="20"/>
          <w:szCs w:val="20"/>
          <w:color w:val="auto"/>
        </w:rPr>
      </w:pPr>
    </w:p>
    <w:p>
      <w:pPr>
        <w:ind w:left="580" w:right="420" w:hanging="572"/>
        <w:spacing w:after="0" w:line="264"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Earnings include net realized and unrealized gains or losses and the capital gains incentive fee expense accrued in accordance with GAAP. Net realized and unrealized gains or losses and the capital gains incentive fee expense accrued in accordance with GAAP can vary substantially from period to period.</w:t>
      </w:r>
    </w:p>
    <w:p>
      <w:pPr>
        <w:sectPr>
          <w:pgSz w:w="11900" w:h="16838" w:orient="portrait"/>
          <w:cols w:equalWidth="0" w:num="1">
            <w:col w:w="11420"/>
          </w:cols>
          <w:pgMar w:left="240" w:top="270"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sets forth our actual capitalization at [—], 20[—]. You should read this table together with “Management’s Discussion and Analysis of Financial Condition and Results of Operations” and our most recent balance sheet included elsewhere in this prospectus supplement or the accompanying prospectus.</w:t>
      </w:r>
    </w:p>
    <w:p>
      <w:pPr>
        <w:spacing w:after="0" w:line="200"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As of [</w:t>
      </w:r>
      <w:r>
        <w:rPr>
          <w:rFonts w:ascii="Arial" w:cs="Arial" w:eastAsia="Arial" w:hAnsi="Arial"/>
          <w:sz w:val="14"/>
          <w:szCs w:val="14"/>
          <w:color w:val="auto"/>
        </w:rPr>
        <w:t>—</w:t>
      </w:r>
      <w:r>
        <w:rPr>
          <w:rFonts w:ascii="Arial" w:cs="Arial" w:eastAsia="Arial" w:hAnsi="Arial"/>
          <w:sz w:val="14"/>
          <w:szCs w:val="14"/>
          <w:b w:val="1"/>
          <w:bCs w:val="1"/>
          <w:color w:val="auto"/>
        </w:rPr>
        <w:t>], 20[</w:t>
      </w:r>
      <w:r>
        <w:rPr>
          <w:rFonts w:ascii="Arial" w:cs="Arial" w:eastAsia="Arial" w:hAnsi="Arial"/>
          <w:sz w:val="14"/>
          <w:szCs w:val="14"/>
          <w:color w:val="auto"/>
        </w:rPr>
        <w:t>—</w:t>
      </w:r>
      <w:r>
        <w:rPr>
          <w:rFonts w:ascii="Arial" w:cs="Arial" w:eastAsia="Arial" w:hAnsi="Arial"/>
          <w:sz w:val="14"/>
          <w:szCs w:val="14"/>
          <w:b w:val="1"/>
          <w:bCs w:val="1"/>
          <w:color w:val="auto"/>
        </w:rPr>
        <w:t>]</w:t>
      </w:r>
    </w:p>
    <w:p>
      <w:pPr>
        <w:jc w:val="center"/>
        <w:ind w:left="9660"/>
        <w:spacing w:after="0" w:line="226" w:lineRule="auto"/>
        <w:rPr>
          <w:sz w:val="20"/>
          <w:szCs w:val="20"/>
          <w:color w:val="auto"/>
        </w:rPr>
      </w:pPr>
      <w:r>
        <w:rPr>
          <w:rFonts w:ascii="Arial" w:cs="Arial" w:eastAsia="Arial" w:hAnsi="Arial"/>
          <w:sz w:val="14"/>
          <w:szCs w:val="14"/>
          <w:b w:val="1"/>
          <w:bCs w:val="1"/>
          <w:color w:val="auto"/>
        </w:rPr>
        <w:t>(unaudited, dollar</w:t>
      </w:r>
    </w:p>
    <w:p>
      <w:pPr>
        <w:jc w:val="center"/>
        <w:ind w:left="9660"/>
        <w:spacing w:after="0" w:line="232" w:lineRule="auto"/>
        <w:rPr>
          <w:sz w:val="20"/>
          <w:szCs w:val="20"/>
          <w:color w:val="auto"/>
        </w:rPr>
      </w:pPr>
      <w:r>
        <w:rPr>
          <w:rFonts w:ascii="Arial" w:cs="Arial" w:eastAsia="Arial" w:hAnsi="Arial"/>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972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7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Debt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7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[List Debt outstanding as of period reported]</w:t>
            </w:r>
          </w:p>
        </w:tc>
        <w:tc>
          <w:tcPr>
            <w:tcW w:w="6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6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740" w:type="dxa"/>
            <w:vAlign w:val="bottom"/>
            <w:gridSpan w:val="2"/>
          </w:tcPr>
          <w:p>
            <w:pPr>
              <w:spacing w:after="0"/>
              <w:rPr>
                <w:sz w:val="20"/>
                <w:szCs w:val="20"/>
                <w:color w:val="auto"/>
              </w:rPr>
            </w:pPr>
            <w:r>
              <w:rPr>
                <w:rFonts w:ascii="Arial" w:cs="Arial" w:eastAsia="Arial" w:hAnsi="Arial"/>
                <w:sz w:val="18"/>
                <w:szCs w:val="18"/>
                <w:color w:val="auto"/>
                <w:w w:val="94"/>
              </w:rPr>
              <w:t>Common stock, par value $.001 per share, common shares authorized, and common shares issued and outstanding, respectively</w:t>
            </w:r>
          </w:p>
        </w:tc>
        <w:tc>
          <w:tcPr>
            <w:tcW w:w="640" w:type="dxa"/>
            <w:vAlign w:val="bottom"/>
          </w:tcPr>
          <w:p>
            <w:pPr>
              <w:jc w:val="right"/>
              <w:ind w:right="454"/>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740" w:type="dxa"/>
            <w:vAlign w:val="bottom"/>
            <w:gridSpan w:val="2"/>
          </w:tcPr>
          <w:p>
            <w:pPr>
              <w:spacing w:after="0"/>
              <w:rPr>
                <w:sz w:val="20"/>
                <w:szCs w:val="20"/>
                <w:color w:val="auto"/>
              </w:rPr>
            </w:pPr>
            <w:r>
              <w:rPr>
                <w:rFonts w:ascii="Arial" w:cs="Arial" w:eastAsia="Arial" w:hAnsi="Arial"/>
                <w:sz w:val="18"/>
                <w:szCs w:val="18"/>
                <w:color w:val="auto"/>
              </w:rPr>
              <w:t>Accumulated over distributed net investment income</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 foreign currency transactions, extinguishment of debt and acquisitions</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740" w:type="dxa"/>
            <w:vAlign w:val="bottom"/>
            <w:gridSpan w:val="2"/>
          </w:tcPr>
          <w:p>
            <w:pPr>
              <w:spacing w:after="0"/>
              <w:rPr>
                <w:sz w:val="20"/>
                <w:szCs w:val="20"/>
                <w:color w:val="auto"/>
              </w:rPr>
            </w:pPr>
            <w:r>
              <w:rPr>
                <w:rFonts w:ascii="Arial" w:cs="Arial" w:eastAsia="Arial" w:hAnsi="Arial"/>
                <w:sz w:val="18"/>
                <w:szCs w:val="18"/>
                <w:color w:val="auto"/>
              </w:rPr>
              <w:t>Net unrealized loss on investments and foreign currency transactions</w:t>
            </w:r>
          </w:p>
        </w:tc>
        <w:tc>
          <w:tcPr>
            <w:tcW w:w="6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7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640" w:type="dxa"/>
            <w:vAlign w:val="bottom"/>
          </w:tcPr>
          <w:p>
            <w:pPr>
              <w:jc w:val="right"/>
              <w:ind w:right="454"/>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OF FINANCIAL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information contained in this section contains forward-looking statements that involve risks and uncertainties. Please see “Special Note Regarding Forward-Looking Statements” in this prospectus supplement and “Risk Factors” and “Special Note Regarding Forward-Looking Statements” in the accompanying prospectus for a discussion of the uncertainties, risks and assumptions associated with these statements. You should read the following discussion in conjunction with the “Selected Condensed Consolidated Financial Information” and our financial statements and notes thereto appearing elsewhere in this prospectus supplement or the accompanying prospectus.</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following discussion is designed to provide a better understanding of our unaudited consolidated financial statements for the months ended [—], 20[—], including a brief discussion of our business, key factors that impacted our performance and a summary of our operating results. The following discussion should be read in conjunction with the unaudited financial statements and the notes thereto included elsewhere in this prospectus supplement, and the audited financial statements and notes thereto and Management’s Discussion and Analysis of Financial Condition and Results of Operations for the year ended December 31, 20[—] contained in the accompanying prospectus. Historical results and percentage relationships among any amounts in the financial statements are not necessarily indicative of trends in operating results for any future periods.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[Insert Management’s Discussion and Analysis of Financial Condition and Results of Operations from most recently filed Quarterly Report on Form 10-Q or Annual Report on Form 10-K, as applicable, prior to the offering.]</w:t>
      </w:r>
    </w:p>
    <w:p>
      <w:pPr>
        <w:sectPr>
          <w:pgSz w:w="11900" w:h="16838" w:orient="portrait"/>
          <w:cols w:equalWidth="0" w:num="1">
            <w:col w:w="11380"/>
          </w:cols>
          <w:pgMar w:left="240" w:top="270" w:right="27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NOTES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description of the particular terms of the [—]% [Senior] Notes due [—] supplements and, to the extent inconsistent with, replaces the description of the general terms and provisions of the debt securities set forth in the accompanying prospectus.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will issue the Notes under a base indenture dated as of [—], between us and U.S. Bank National Association, as trustee (the “trustee”), as supplemented by a separate supplemental indenture to be dated as of the settlement date for the Notes. 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or the TIA.</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 purposes of this description, references to “we,” “our” and “us” refer only to Fidus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be our general unsecured, senior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initially be issued in an aggregate principal amount of $ ;</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mature on [—], 20[—], unless earlier redeemed or repurchased,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bear cash interest from [—], 20[—] at an annual rate of [—]% payable on and of each year, beginning on [—],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be issued in denominations of $[—] and integral multiples of $[—] thereof;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5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We may, without the consent of the holders, issue additional Notes under the indenture with the same terms and with the same CUSIP numbers as the Notes offered hereby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must be part of the same issue as the Notes offered hereby for U.S. federal income tax purposes.</w:t>
      </w:r>
    </w:p>
    <w:p>
      <w:pPr>
        <w:sectPr>
          <w:pgSz w:w="11900" w:h="16838" w:orient="portrait"/>
          <w:cols w:equalWidth="0" w:num="1">
            <w:col w:w="11420"/>
          </w:cols>
          <w:pgMar w:left="240" w:top="270" w:right="239" w:bottom="1440" w:gutter="0" w:footer="0" w:header="0"/>
        </w:sectPr>
      </w:pPr>
    </w:p>
    <w:bookmarkStart w:id="221" w:name="page222"/>
    <w:bookmarkEnd w:id="2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do not intend to list the Notes on any securities exchange or any automated dealer quotation system.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Payment of principal of (and premium, if any) and any such interest on the Notes will be made at the corporate trust office of the trustee in such coin or currency of 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our option payment of interest may be made by check mailed to the address of the person entitled thereto as such address shall appear in the security register.</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The registrar and the trustee may require a holder,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Notes will bear cash interest at a rate of [—]% per year until maturity. Interest on the Notes will accrue from [—], 20[—] or from the most recent date on which interest has been paid or duly provided for. Interest will be payable in arrears on and of each year, beginning on [—], 20[—].</w:t>
      </w:r>
    </w:p>
    <w:p>
      <w:pPr>
        <w:spacing w:after="0" w:line="14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 on or , as the case may be, immediately preceding the relevant interest payment date (each, a “regular record date”). Interest on the Notes will be computed on the basis of a 360-day year composed of twelve 30-day months.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interest payment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are authorized or obligated by law or executive order to close.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Notes will be our general unsecured obligations that rank senior in right of payment to all of our existing and future indebtedness that is expressly subordinated, or junior, in right of payment to the Notes. The Notes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in right of payment with all of our existing and future liabilities that are not so subordinated, or junior. The Notes will effectively rank subordinated, or junior, to any of our secured indebtedness (including unsecured indebtedness that we later secure) to the extent of the value of the assets securing such indebtedness. The Notes will rank structurally subordinated, or junior, to all existing and future indebtedness (including trade payables) incurred by our subsidiaries, financing vehicles or similar facilities. 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179"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As of [—], 20[—], our total consolidated indebtedness was approximately $[—] aggregate principal amount outstanding. After giving effect to the issuance of the Notes and assuming the proceeds therefrom are used to repay outstanding borrowings under the Revolving Credit Facility, our total consolidated indebtedness would have been approximately $[—] aggregate principal amount outstanding as of [—], 20[—]. See “Capitalization.”</w:t>
      </w:r>
    </w:p>
    <w:p>
      <w:pPr>
        <w:sectPr>
          <w:pgSz w:w="11900" w:h="16838" w:orient="portrait"/>
          <w:cols w:equalWidth="0" w:num="1">
            <w:col w:w="11380"/>
          </w:cols>
          <w:pgMar w:left="240" w:top="274" w:right="27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Optional Redemption</w:t>
      </w:r>
    </w:p>
    <w:p>
      <w:pPr>
        <w:spacing w:after="0" w:line="121"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of the principal amount of the Notes to be redeemed, or</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basis points.</w:t>
      </w:r>
    </w:p>
    <w:p>
      <w:pPr>
        <w:spacing w:after="0" w:line="18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If we choose to redeem any Notes, we will deliver a notice of redemption to holders of Notes not less than nor more than days before the redemption date. If we are redeeming less than all of the Notes, the particular Notes to be redeemed will be selected in accordance with the applicable procedures of the trustee and, so long as the Notes are registered to DTC or its nominee, DTC;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partial redemption shall reduce the portion of the principal amount of a Note not redeemed to less than $[—]. Unless we default in payment of the redemption price, on and after the redemption date, interest will cease to accrue on the Notes or portions of the Notes called for redemption.</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7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5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“Reference Treasury Dealer” means each of (1) , (2) and (3) , or their respective affiliates which are primary U.S.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or their affiliates shall cease to be a primary U.S. government securities dealer in the United States (a “Primary Treasury Dealer”), we shall select another Primary Treasury Dealer.</w:t>
      </w:r>
    </w:p>
    <w:p>
      <w:pPr>
        <w:spacing w:after="0" w:line="7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ectPr>
          <w:pgSz w:w="11900" w:h="16838" w:orient="portrait"/>
          <w:cols w:equalWidth="0" w:num="1">
            <w:col w:w="11420"/>
          </w:cols>
          <w:pgMar w:left="240" w:top="270" w:right="239" w:bottom="1440" w:gutter="0" w:footer="0" w:header="0"/>
        </w:sectPr>
      </w:pPr>
    </w:p>
    <w:bookmarkStart w:id="223" w:name="page224"/>
    <w:bookmarkEnd w:id="223"/>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determinations made by any Reference Treasury Dealer, including the Quotation Agent, with respect to determining the redemption price will be final and binding absent manifest error.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Fidus or its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jc w:val="both"/>
        <w:ind w:left="900" w:right="36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6"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92"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78" w:lineRule="exact"/>
        <w:rPr>
          <w:sz w:val="20"/>
          <w:szCs w:val="20"/>
          <w:color w:val="auto"/>
        </w:rPr>
      </w:pPr>
    </w:p>
    <w:p>
      <w:pPr>
        <w:jc w:val="both"/>
        <w:ind w:right="660" w:firstLine="456"/>
        <w:spacing w:after="0" w:line="312"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ectPr>
          <w:pgSz w:w="11900" w:h="16838" w:orient="portrait"/>
          <w:cols w:equalWidth="0" w:num="1">
            <w:col w:w="11380"/>
          </w:cols>
          <w:pgMar w:left="240" w:top="274" w:right="27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Covenants</w:t>
      </w:r>
    </w:p>
    <w:p>
      <w:pPr>
        <w:spacing w:after="0" w:line="131"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agree that for the period of time during which the Notes are outstanding, we will not violate, whether or not we are subject to, Section 18(a)</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(1)(A) as modified by Section 61(a)(1) of the Investment Company Act or any successor provisions.</w:t>
      </w:r>
    </w:p>
    <w:p>
      <w:pPr>
        <w:spacing w:after="0" w:line="116"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due and payable and the default continues for a period of days;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Note and continuance of such default for a period of five days;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failure for consecutive days after written notice from the trustee or the holders of at least % in principal amount of the Notes then outstanding has been received to comply with any of our other agreements contained in the Notes or indenture;</w:t>
      </w:r>
    </w:p>
    <w:p>
      <w:pPr>
        <w:spacing w:after="0" w:line="75" w:lineRule="exact"/>
        <w:rPr>
          <w:rFonts w:ascii="Arial" w:cs="Arial" w:eastAsia="Arial" w:hAnsi="Arial"/>
          <w:sz w:val="18"/>
          <w:szCs w:val="18"/>
          <w:color w:val="auto"/>
        </w:rPr>
      </w:pPr>
    </w:p>
    <w:p>
      <w:pPr>
        <w:ind w:left="900" w:right="260" w:hanging="446"/>
        <w:spacing w:after="0" w:line="34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Investment Company Act, on the last business day of each of 24 consecutive calendar months, any class of securities shall have an asset coverage (as such term is used in the Investment Company Act) of less than 100%;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certain events of bankruptcy, insolvency, or reorganization involving us occur and remain undischarged or unstayed for a period of days.</w:t>
      </w:r>
    </w:p>
    <w:p>
      <w:pPr>
        <w:spacing w:after="0" w:line="23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5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w:t>
      </w:r>
    </w:p>
    <w:p>
      <w:pPr>
        <w:sectPr>
          <w:pgSz w:w="11900" w:h="16838" w:orient="portrait"/>
          <w:cols w:equalWidth="0" w:num="1">
            <w:col w:w="11420"/>
          </w:cols>
          <w:pgMar w:left="240" w:top="274" w:right="239" w:bottom="1440" w:gutter="0" w:footer="0" w:header="0"/>
        </w:sectPr>
      </w:pPr>
    </w:p>
    <w:bookmarkStart w:id="225" w:name="page226"/>
    <w:bookmarkEnd w:id="22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holders of not less than [—]%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for days after its receipt of such notice, request and offer of indemnity has failed to institute any such proceeding;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The trustee shall be under no obligation to exercise any of the rights or powers vested in it by the indenture at the request or direction of any of the holders of the Notes unless such holders shall have offered to the trustee reasonable security or indemnity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direction shall not be in conflict with any rule of law or with this indenture,</w:t>
      </w:r>
    </w:p>
    <w:p>
      <w:pPr>
        <w:spacing w:after="0" w:line="2" w:lineRule="exact"/>
        <w:rPr>
          <w:sz w:val="20"/>
          <w:szCs w:val="20"/>
          <w:color w:val="auto"/>
        </w:rPr>
      </w:pPr>
    </w:p>
    <w:p>
      <w:pPr>
        <w:ind w:right="60" w:firstLine="8"/>
        <w:spacing w:after="0" w:line="290" w:lineRule="auto"/>
        <w:tabs>
          <w:tab w:leader="none" w:pos="26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that is not inconsistent with such direction and (iii) the trustee need not take any action that it determines in good faith may involve it in personal liability or be unjustly prejudicial to the holders of Notes not consenting.</w:t>
      </w:r>
    </w:p>
    <w:p>
      <w:pPr>
        <w:spacing w:after="0" w:line="1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5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are required to deliver to the trustee, within [—]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 xml:space="preserve">Within [—] days after the occurrence of any default under the indenture with respect to the Notes, the trustee shall transmit notice of such default known to the trustee, unless such default shall have been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principal of (or premium, if any, on) or</w:t>
      </w:r>
    </w:p>
    <w:p>
      <w:pPr>
        <w:sectPr>
          <w:pgSz w:w="11900" w:h="16838" w:orient="portrait"/>
          <w:cols w:equalWidth="0" w:num="1">
            <w:col w:w="11400"/>
          </w:cols>
          <w:pgMar w:left="240" w:top="274" w:right="259" w:bottom="1440" w:gutter="0" w:footer="0" w:header="0"/>
        </w:sectPr>
      </w:pPr>
    </w:p>
    <w:bookmarkStart w:id="226" w:name="page227"/>
    <w:bookmarkEnd w:id="226"/>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if any, on any Note, the trustee shall be protected in withholding such notice if and so long as the board of directors, the executive committee or a trust committee of directors of the trustee in good faith determines that withholding of such notice is in the interest of the holders of the 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4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addition, the Notes are subject to defeasance and covenant defeasance, in each case, in accordance with the terms of the indenture. Defeasance means that, subject to the satisfaction of certain conditions, including depositing in trust for the benefit of the holders of the Notes a combination of money and U.S. government or U.S. government agency notes or bonds that will generate enough cash to make interest, principal and any other payments on the Notes on their various due dates, we can legally release ourselves from all payment and other obligations on the Notes. Covenant defeasance means that, subject to the satisfaction of certain conditions, including depositing in trust for the benefit of the holders of the Notes a combination of money and U.S. government or U.S. government agency notes or bonds that will generate enough cash to make interest, principal and any other payments on the Notes on their various due dates, we will be released from some of the restrictive covenants in the indenture.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U.S. Bank National Association is the trustee, security registrar and paying agent. U.S. Bank National Association,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2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900" w:right="10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ectPr>
          <w:pgSz w:w="11900" w:h="16838" w:orient="portrait"/>
          <w:cols w:equalWidth="0" w:num="1">
            <w:col w:w="11360"/>
          </w:cols>
          <w:pgMar w:left="240" w:top="274" w:right="299" w:bottom="1440" w:gutter="0" w:footer="0" w:header="0"/>
        </w:sectPr>
      </w:pPr>
    </w:p>
    <w:bookmarkStart w:id="227" w:name="page228"/>
    <w:bookmarkEnd w:id="227"/>
    <w:p>
      <w:pPr>
        <w:ind w:left="900" w:right="160" w:hanging="325"/>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underwriters are responsible for those operations or procedures.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ectPr>
          <w:pgSz w:w="11900" w:h="16838" w:orient="portrait"/>
          <w:cols w:equalWidth="0" w:num="1">
            <w:col w:w="11380"/>
          </w:cols>
          <w:pgMar w:left="240" w:top="274" w:right="279" w:bottom="1440" w:gutter="0" w:footer="0" w:header="0"/>
        </w:sectPr>
      </w:pPr>
    </w:p>
    <w:bookmarkStart w:id="228" w:name="page229"/>
    <w:bookmarkEnd w:id="228"/>
    <w:p>
      <w:pPr>
        <w:ind w:right="5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900" w:right="4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900" w:right="40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ectPr>
          <w:pgSz w:w="11900" w:h="16838" w:orient="portrait"/>
          <w:cols w:equalWidth="0" w:num="1">
            <w:col w:w="11180"/>
          </w:cols>
          <w:pgMar w:left="240" w:top="274" w:right="479" w:bottom="1440" w:gutter="0" w:footer="0" w:header="0"/>
        </w:sectPr>
      </w:pPr>
    </w:p>
    <w:bookmarkStart w:id="229" w:name="page230"/>
    <w:bookmarkEnd w:id="22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MATERIAL U.S. FEDERAL INCOME TAX CONSEQUENCES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discussion is a summary of certain material U.S. federal income tax consequences relevant to the purchase, ownership and disposition of the Notes, but does not purport to be a complete analysis of all potential tax consequences. The discussion is based upon the Internal Revenue Code of 1986, as amended (the “Code”), the regulations promulgated thereunder by the U.S. Treasury (the “Treasury Regulations”), rulings and pronouncements issued by the Internal Revenue Service (the “IRS”) and judicial decisions, each as of the date of this prospectus supplement and all of which are subject to change at any time. Any such change may be applied retroactively in a manner that could adversely affect a holder of the Notes. We have not sough any ruling from the IRS with respect to the statements made and the conclusions reached in the following discussion, and there can be no assurance that the IRS will agree with such statements and conclusions.</w:t>
      </w:r>
    </w:p>
    <w:p>
      <w:pPr>
        <w:spacing w:after="0" w:line="18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This discussion does not address all of the U.S. federal income tax consequences that may be relevant to a holder in light of such holder’s particular circumstances or to holders subject to special rules, including, without limitation:</w:t>
      </w:r>
    </w:p>
    <w:p>
      <w:pPr>
        <w:spacing w:after="0" w:line="197"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traders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partnerships, S corporations or other pass-through entities;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holding the Notes as part of a “straddle,” “hedge,” “conversion transaction” or other risk reduction transaction;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deemed to sell the Notes under the constructive sale provisions of the Code.</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this discussion is limited to persons purchasing the Notes for cash at original issue and at their original “issue price” within the meaning of Section 1273 of the Code (i.e., the first price at which a substantial amount of the Notes are sold to the public for cash). Moreover, the effects of other U.S. federal tax laws (such as estate and gift tax laws) and any applicable state, local or foreign tax laws are not discussed. The discussion deals only with notes held as “capital assets” within the meaning of Section 1221 of the Code.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other entity taxable as a partnership holds the Notes, the tax treatment of the partners in the partnership generally will depend on the status of the particular partner in question and the activities of the partnership. Such partners should consult their tax advisors as to the specific tax consequences to them of holding the Notes indirectly through ownership of their partnership interests.</w:t>
      </w:r>
    </w:p>
    <w:p>
      <w:pPr>
        <w:spacing w:after="0" w:line="17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THE NOTES ARISING UNDER THE FEDERAL ESTATE OR GIFT TAX LAWS OR UNDER THE LAWS OF ANY STATE, LOCAL, FOREIGN OR OTHER TAXING JURISDICTION OR UNDER ANY APPLICABLE TAX TREATY.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is a summary of the material U.S. federal income tax consequences that will apply to you if you are a “U.S. holder” of the Notes. As used herein, “U.S. holder” means a beneficial owner of the Notes who is for U.S. federal income tax purposes:</w:t>
      </w:r>
    </w:p>
    <w:p>
      <w:pPr>
        <w:spacing w:after="0" w:line="76" w:lineRule="exact"/>
        <w:rPr>
          <w:sz w:val="20"/>
          <w:szCs w:val="20"/>
          <w:color w:val="auto"/>
        </w:rPr>
      </w:pPr>
    </w:p>
    <w:p>
      <w:pPr>
        <w:ind w:left="900" w:right="3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including an alien individual who is a lawful permanent resident of the United States or meets the “substantial presence” test under Section 7701(b) of the Code;</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ectPr>
          <w:pgSz w:w="11900" w:h="16838" w:orient="portrait"/>
          <w:cols w:equalWidth="0" w:num="1">
            <w:col w:w="11380"/>
          </w:cols>
          <w:pgMar w:left="240" w:top="270" w:right="279" w:bottom="1440" w:gutter="0" w:footer="0" w:header="0"/>
        </w:sectPr>
      </w:pPr>
    </w:p>
    <w:bookmarkStart w:id="230" w:name="page231"/>
    <w:bookmarkEnd w:id="230"/>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if a U.S. court can exercise primary supervision over the administration of the trust and one or more “United States persons” within the meaning of Section 7701(a)(30) of the Code can control all substantial trust decisions, or, if the trust was in existence on August 20, 1996, and it has elected to continue to be treated as a United States person.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Stated interest on the Notes generally will be taxable to a U.S. holder as ordinary income at the time that such interest is received or accrued, in accordance with such U.S. holder’s method of tax accounting for U.S. federal income tax purposes.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Notes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U.S. holder will recognize gain or loss on the sale, exchange, redemption, retirement or other taxable disposition of a note equal to the difference between the amount realized upon the disposition (less a portion allocable to any accrued and unpaid interest, which will be taxable as interest) and the U.S. holder’s adjusted tax basis in the note. A U.S. holder’s adjusted tax basis in a note generally will be equal to the amount that the U.S. holder paid for the note less any principal payments received by the U.S. holder. Any gain or loss will be a capital gain or loss, and will be a long-term capital gain or loss if the U.S. holder has held the note for more than one year at the time of disposition. Otherwise, such gain or loss will be a short-term capital gain or loss. Long-term capital gains recognized by certain non-corporate U.S. holders, including individuals, generally will be subject to a reduced tax rate. The deductibility of capital losses is subject to limitations.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U.S. holder may be subject to information reporting and backup withholding when such holder receives interest payments on the Notes held or upon the proceeds received upon the sale or other disposition of such notes (including a redemption or retirement of the Notes). Certain holders generally are not subject to information reporting or backup withholding. A U.S. holder will be subject to backup withholding if such holder is not otherwise exempt and such holder:</w:t>
      </w:r>
    </w:p>
    <w:p>
      <w:pPr>
        <w:spacing w:after="0" w:line="92"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fails to furnish the holder’s taxpayer identification number (“TIN”), which, for an individual, ordinarily is his or her social security number;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furnishes an incorrect TIN;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is notified by the IRS that the holder has failed properly to report payments of interest or dividends; or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fails to certify, under penalties of perjury, that the holder has furnished a correct TIN and that the IRS has not notified the holder that the holder is subject to backup withholding.</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U.S. holders should consult their tax advisors regarding their qualification for an exemption from backup withholding and the procedures for obtaining such an exemption, if applicable. Backup withholding is not an additional tax, and taxpayers may use amounts withheld as a credit against their U.S. federal income tax liability or may claim a refund if they timely provide certain information to the IRS.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Unearned Income Medicare Contribution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tax of 3.8% will be imposed on the amount of “net investment income,” in the case of an individual, or undistributed “net investment income,” in the case of an estate or trust (other than a charitable trust), which exceeds certain threshold amounts. “Net investment income” as defined for United States federal Medicare contribution purposes generally includes interest payments and gain recognized from the sale or other disposition of the Notes. Qualified pension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is a summary of certain material U.S. federal income tax consequences that will apply to you if you are a “Non-U.S. holder” of the Notes. A “Non-U.S. holder” is a beneficial owner of the Notes who is not a U.S. holder or a partnership for federal income tax purposes. Special rules may apply to Non-U.S. holders that are subject</w:t>
      </w:r>
    </w:p>
    <w:p>
      <w:pPr>
        <w:sectPr>
          <w:pgSz w:w="11900" w:h="16838" w:orient="portrait"/>
          <w:cols w:equalWidth="0" w:num="1">
            <w:col w:w="11380"/>
          </w:cols>
          <w:pgMar w:left="240" w:top="274" w:right="279" w:bottom="1440" w:gutter="0" w:footer="0" w:header="0"/>
        </w:sectPr>
      </w:pPr>
    </w:p>
    <w:bookmarkStart w:id="231" w:name="page232"/>
    <w:bookmarkEnd w:id="23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special treatment under the Code, including controlled foreign corporations, passive foreign investment companies, U.S. expatriates, and foreign persons eligible for benefits under an applicable income tax treaty with the U.S. Such Non-U.S. holders should consult their tax advisors to determine the U.S. federal, state, local and other tax consequences that may be relevant to them including any reporting requirements.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Generally, interest income paid to a Non-U.S. holder that is not effectively connected with the Non-U.S. holder’s conduct of a U.S. trade or business is subject to withholding tax at a rate of 30% (or, if applicable, a lower treaty rate). Nevertheless, interest paid on a note to a Non-U.S. holder that is not effectively connected with the Non-U.S. holder’s conduct of a U.S. trade or business generally will not be subject to U.S. federal withholding tax provided that:</w:t>
      </w:r>
    </w:p>
    <w:p>
      <w:pPr>
        <w:spacing w:after="0" w:line="92" w:lineRule="exact"/>
        <w:rPr>
          <w:sz w:val="20"/>
          <w:szCs w:val="20"/>
          <w:color w:val="auto"/>
        </w:rPr>
      </w:pPr>
    </w:p>
    <w:p>
      <w:pPr>
        <w:ind w:left="900" w:right="20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holder does not directly or indirectly, actually or constructively, own 10% or more of the total combined voting power of all classes of our voting stock;</w:t>
      </w:r>
    </w:p>
    <w:p>
      <w:pPr>
        <w:spacing w:after="0" w:line="75"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such holder is not a controlled foreign corporation that is related to us through actual or constructive stock ownership and is not a bank that received such note on an extension of credit made pursuant to a loan agreement entered into in the ordinary course of its trade or business; and</w:t>
      </w:r>
    </w:p>
    <w:p>
      <w:pPr>
        <w:spacing w:after="0" w:line="29"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either (1) the Non-U.S. holder certifies in a statement provided to us or the paying agent, under penalties of perjury, that it is not a “United States person” within the meaning of the Code and provides its name and address, (2) a securities clearing organization, bank or other financial institution that holds customers’ securities in the ordinary course of its trade or business and holds the note on behalf of the Non-U.S. holder certifies to us or the paying agent under penalties of perjury that it, or the financial institution between it and the Non-U.S. holder, has received from the Non-U.S. holder a statement, under penalties of perjury, that such holder is not a United States person and provides us or the paying agent with a copy of such statement or (3) the Non-U.S. holder holds its note directly through a “qualified intermediary” and certain conditions are satisfied.</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Even if the above conditions are not met, a Non-U.S. holder generally will be entitled to a reduction in or an exemption from withholding tax on interest if the Non-U.S. holder provides us or our agent with a properly executed IRS Form W-8BEN claiming an exemption from or reduction of the withholding tax under the benefit of a tax treaty between the United States and the Non-U.S. holder’s country of residence or a substantially similar substitute form. A Non-U.S. holder is required to inform the recipient of any change in the information on such statement within 30 days of such change. Special certification rules apply to Non-U.S. holders that are pass-through entities rather than corporations or individuals.</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interest paid to a Non-U.S. holder is effectively connected with the Non-U.S. holder’s conduct of a U.S. trade or business (and, if required by an applicable income tax treaty, the Non-U.S. holder maintains a U.S. permanent establishment to which such interest is attributable), then, the Non-U.S. holder will be exempt from U.S. federal withholding tax, so long as the Non-U.S. holder has provided an IRS Form W-8ECI or substantially similar substitute form stating that the interest that the Non-U.S. holder receives on the Notes is effectively connected with the Non-U.S. holder’s conduct of a trade or business in the United States. In such a case, a Non-U.S. holder will be subject to tax on the interest it receives on a net income basis in the same manner as if such Non-U.S. holder were a U.S. holder. In addition, if the Non-U.S. holder is a foreign corporation, such interest may be subject to a branch profits tax at a rate of 30% or lower applicable treaty rate.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by a Non-U.S. holder on the sale, exchange, retirement, redemption or other disposition of a note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unless:</w:t>
      </w:r>
    </w:p>
    <w:p>
      <w:pPr>
        <w:spacing w:after="0" w:line="116" w:lineRule="exact"/>
        <w:rPr>
          <w:sz w:val="20"/>
          <w:szCs w:val="20"/>
          <w:color w:val="auto"/>
        </w:rPr>
      </w:pPr>
    </w:p>
    <w:p>
      <w:pPr>
        <w:ind w:left="900" w:right="120" w:hanging="325"/>
        <w:spacing w:after="0" w:line="30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the Non-U.S. holder maintains a U.S. permanent establishment to which such gain is attributable); or</w:t>
      </w:r>
    </w:p>
    <w:p>
      <w:pPr>
        <w:spacing w:after="0" w:line="51" w:lineRule="exact"/>
        <w:rPr>
          <w:rFonts w:ascii="Arial" w:cs="Arial" w:eastAsia="Arial" w:hAnsi="Arial"/>
          <w:sz w:val="17"/>
          <w:szCs w:val="17"/>
          <w:color w:val="auto"/>
        </w:rPr>
      </w:pPr>
    </w:p>
    <w:p>
      <w:pPr>
        <w:ind w:left="900" w:right="540" w:hanging="325"/>
        <w:spacing w:after="0" w:line="30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sale, exchange or other disposition, certain conditions are met and the Non-U.S. holder is not eligible for relief under an applicable income tax treaty.</w:t>
      </w:r>
    </w:p>
    <w:p>
      <w:pPr>
        <w:sectPr>
          <w:pgSz w:w="11900" w:h="16838" w:orient="portrait"/>
          <w:cols w:equalWidth="0" w:num="1">
            <w:col w:w="11420"/>
          </w:cols>
          <w:pgMar w:left="240" w:top="274" w:right="239" w:bottom="1440" w:gutter="0" w:footer="0" w:header="0"/>
        </w:sectPr>
      </w:pPr>
    </w:p>
    <w:bookmarkStart w:id="232" w:name="page233"/>
    <w:bookmarkEnd w:id="232"/>
    <w:p>
      <w:pPr>
        <w:ind w:right="16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Non-U.S. holder described in the first bullet point above will be required to pay U.S. federal income tax on the net gain derived from the sale generally in the same manner as if such Non-U.S. holder were a U.S. holder, and if such Non-U.S. holder is a foreign corporation, it may also be required to pay an additional branch profits tax at a 30% rate (or a lower rate if so specified by an applicable income tax treaty). A Non-U.S. holder described in the second bullet point above will be subject to U.S. federal income tax at a rate of 30% (or, if applicable, a lower treaty rate) on the gain derived from the sale, which may be offset by certain U.S. source capital losses, even though the Non-U.S. holder is not considered a resident of the United States.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Non-U.S. holder generally will not be subject to backup withholding and information reporting with respect to payments that we make to the Non-U.S. holder, provided that we do not have actual knowledge or reason to know that such holder is a “United States person,” within the meaning of the Code, and the holder has given us the statement described above under “Non-U.S. holders — Payments of Interest.” In addition, a Non-U.S. holder will not be subject to backup withholding or information reporting with respect to the proceeds of the sale or other disposition of a note (including a retirement or redemption of a note) within the United States or conducted through certain U.S.-related brokers, if the payor receives the statement described above and does not have actual knowledge or reason to know that such holder is a United States person or the holder otherwise establishes an exemption. However, the amount of interest that we pay to any Non-U.S. holder on the Notes will be reported to the Non-U.S. holder and to the IRS annually on an IRS Form 1042-S, regardless of whether any tax was actually withheld. Copies of these information returns may also be made available under the provisions of a specific treaty or agreement to the tax authorities of the country in which the Non-U.S. holder resides.</w:t>
      </w:r>
    </w:p>
    <w:p>
      <w:pPr>
        <w:spacing w:after="0" w:line="18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 Non-U.S. holder generally will be entitled to credit any amounts withheld under the backup withholding rules against the holder’s U.S. federal income tax liability or may claim a refund provided that the required information is furnished to the IRS in a timely manner.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Legislation enacted in 2010 imposes a withholding tax of 30% on payments of interest or gross proceeds from the disposition of a debt instrument paid after December 31, 2012 to certain non-U.S. entities, including certain foreign financial institutions and investment funds, unless such non-U.S. entity complies with certain reporting requirements regarding its United States account holders and its United States owners. The date for implementation of these rules generally was extended by the IRS to January 1, 2014 for payments of fixed or determinable annual or periodic (FDAP) income, including interest, and to January 1, 2015 for other “withholdable payments,” including payments of gross proceeds. After these dates, payments of interest on, or gross proceeds from the sale of, the notes made to a non-United States entity generally will be subject to the new information reporting regime; however, the new withholding obligations will only apply to obligations issued after March 18, 2012, and proposed Treasury regulations would extend this grandfathering provision to obligations that are outstanding on January 1, 2013. Congress delegated broad authority to the United States Treasury Department to promulgate regulations to implement the new withholding and reporting regime. It cannot be predicted whether or how any regulations promulgated by the United States Treasury Department pursuant to this broad delegation of regulatory authority will affect holders of the notes. Prospective purchasers of the notes should consult their own tax advisors regarding the new withholding and reporting provisions.</w:t>
      </w:r>
    </w:p>
    <w:p>
      <w:pPr>
        <w:sectPr>
          <w:pgSz w:w="11900" w:h="16838" w:orient="portrait"/>
          <w:cols w:equalWidth="0" w:num="1">
            <w:col w:w="11400"/>
          </w:cols>
          <w:pgMar w:left="240" w:top="274" w:right="25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65"/>
        </w:trPr>
        <w:tc>
          <w:tcPr>
            <w:tcW w:w="10740" w:type="dxa"/>
            <w:vAlign w:val="bottom"/>
            <w:gridSpan w:val="2"/>
            <w:vMerge w:val="continue"/>
          </w:tcPr>
          <w:p>
            <w:pPr>
              <w:spacing w:after="0"/>
              <w:rPr>
                <w:sz w:val="14"/>
                <w:szCs w:val="14"/>
                <w:color w:val="auto"/>
              </w:rPr>
            </w:pPr>
          </w:p>
        </w:tc>
        <w:tc>
          <w:tcPr>
            <w:tcW w:w="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780" w:type="dxa"/>
            <w:vAlign w:val="bottom"/>
            <w:tcBorders>
              <w:top w:val="single" w:sz="8" w:color="auto"/>
            </w:tcBorders>
            <w:shd w:val="clear" w:color="auto" w:fill="CCEEFF"/>
          </w:tcPr>
          <w:p>
            <w:pPr>
              <w:spacing w:after="0"/>
              <w:rPr>
                <w:sz w:val="17"/>
                <w:szCs w:val="17"/>
                <w:color w:val="auto"/>
              </w:rPr>
            </w:pPr>
          </w:p>
        </w:tc>
        <w:tc>
          <w:tcPr>
            <w:tcW w:w="99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tabs>
          <w:tab w:leader="none" w:pos="107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6823075</wp:posOffset>
            </wp:positionH>
            <wp:positionV relativeFrom="paragraph">
              <wp:posOffset>14605</wp:posOffset>
            </wp:positionV>
            <wp:extent cx="3689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31750</wp:posOffset>
            </wp:positionV>
            <wp:extent cx="3689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58"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Subject to the terms and conditions set forth in the purchase agreement, the underwriters have agreed, severally and not jointly, to purchase all of the Notes sold under the purchase agreement if any of these Notes are purchased. If an underwriter defaults, the purchase agreement provides that the purchase commitments of the nondefaulting underwriters may be increased or the purchase agreement may be terminated.</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expect that delivery of the Notes will be made against payment therefor on or about [—], 20[—], which will be the third business day following the date of the pricing of the Notes. Under Rule 15c6-1 under the Exchange Act, trades in the secondary market generally are required to settle in three business days, unless the parties to any such trade expressly agree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An underwriting discount of [—]% per Note will be paid by us. This underwriting discount will also apply to any Notes purchased pursuant to the over-allotment option.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shows the total underwriting discounts and commissions that we are to pay to the underwriters in connection with this offering. The information assumes either no exercise or full exercise by the underwriters of their over-allotment option.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Per Note</w:t>
            </w: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Without</w:t>
            </w:r>
          </w:p>
        </w:tc>
        <w:tc>
          <w:tcPr>
            <w:tcW w:w="3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34" w:name="page235"/>
    <w:bookmarkEnd w:id="234"/>
    <w:p>
      <w:pPr>
        <w:ind w:right="2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propose to offer some of the Notes to the public at the public offering price set forth on the cover page of this prospectus supplement and may offer the Notes to certain other Financial Industry Regulatory Authority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at $[•] and are payable by 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granted an option to the underwriters to purchase up to an additional $[•] aggregate principal amount of the Notes offered hereby at the public offering price within days from the date of this prospectus supplement solely to cover any over-allotments. If the underwriters exercise this option, each will be obligated, subject to conditions contained in the underwriting agreement, to purchase a number of additional Notes proportionate to that underwriter’s initial principal amount reflected in the table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for a period of [—] days after the date of this prospectus supplement without first obtaining the written consent of [—] other than certain private sales of debt securities to a limited number of institutional investors. This consent may be given at any time without public notice.]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Notes are a new issue of securities with no established trading market. We intend to list the Notes on the [NASDA]. We expect trading in the Notes on the [NASDA] to begin within days after the original issue date under the trading symbol “[—].” Currently there is no public market for the Notes.</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been advised by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securities in excess of the aggregate principal amount of securities to be purchased by the underwriters in the offering, which creates a short position for the underwriters. Covering transactions involve purchases of the securities in the open market after the distribution has been completed in order to cover short positions. Stabilizing transactions consist of certain bids or purchases of securities made for the purpose of preventing or retarding a decline in the market price of the securities while the offering is in progress.</w:t>
      </w:r>
    </w:p>
    <w:p>
      <w:pPr>
        <w:spacing w:after="0" w:line="15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ectPr>
          <w:pgSz w:w="11900" w:h="16838" w:orient="portrait"/>
          <w:cols w:equalWidth="0" w:num="1">
            <w:col w:w="11380"/>
          </w:cols>
          <w:pgMar w:left="240" w:top="274" w:right="279" w:bottom="1440" w:gutter="0" w:footer="0" w:header="0"/>
        </w:sectPr>
      </w:pPr>
    </w:p>
    <w:bookmarkStart w:id="235" w:name="page236"/>
    <w:bookmarkEnd w:id="235"/>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Notes</w:t>
      </w:r>
    </w:p>
    <w:p>
      <w:pPr>
        <w:spacing w:after="0" w:line="229"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limited principal amount of the Notes for sale to online brokerage account holders. Any such allocation for online distributions will be made by the underwriters on the same basis as other allocations.</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Other than the prospectus in electronic format, information contained in any other web site maintained by an underwriter or selling group member is not part of this prospectus or the registration statement of which this prospectus forms a part, has not been endorsed by us and should not be relied on by investors in deciding whether to purchase any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in the past and may provide from time to time in the future in the ordinary course of their business certain commercial banking, financial advisory, investment banking and other services to the Advisor and its affiliates and the Company or our portfolio companies for which they have received or will be entitled to receive separate fees. In particular, the underwriters or their affiliates may execute transactions with the Company or on behalf of the Company, the Advisor or any of our or their portfolio companies or affiliates. In addition, the underwriters or their affiliates may act as arrangers, underwriters or placement agents for companies whose securities are sold to or whose loans are syndicated to the Advisor, the Company and their affiliates.</w:t>
      </w:r>
    </w:p>
    <w:p>
      <w:pPr>
        <w:spacing w:after="0" w:line="17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the Advisor, the Company or any of our portfolio companies.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things—we identified securities that satisfied our investment needs and completed our due diligence review of such securities.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their business and not in connection with the offering of the Notes. In addition, after the offering period for the sale of the Notes, the underwriters or their affiliates may develop analyses or opinions related to the Company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the Company to our noteholders or any other persons.</w:t>
      </w:r>
    </w:p>
    <w:p>
      <w:pPr>
        <w:sectPr>
          <w:pgSz w:w="11900" w:h="16838" w:orient="portrait"/>
          <w:cols w:equalWidth="0" w:num="1">
            <w:col w:w="11400"/>
          </w:cols>
          <w:pgMar w:left="240" w:top="274" w:right="259" w:bottom="1440" w:gutter="0" w:footer="0" w:header="0"/>
        </w:sectPr>
      </w:pPr>
    </w:p>
    <w:bookmarkStart w:id="236" w:name="page237"/>
    <w:bookmarkEnd w:id="236"/>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[Describe any other specific transactions and compensation related thereto to the extent required to be disclosed by applicable law or regulation.]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applicable legends for jurisdictions in which offers and sales may be made.]</w:t>
      </w:r>
    </w:p>
    <w:p>
      <w:pPr>
        <w:sectPr>
          <w:pgSz w:w="11900" w:h="16838" w:orient="portrait"/>
          <w:cols w:equalWidth="0" w:num="1">
            <w:col w:w="11320"/>
          </w:cols>
          <w:pgMar w:left="240" w:top="274" w:right="339"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Certain legal matters in connection with the offering will be passed upon for us by Morrison &amp; Foerster LLP, Washington DC. Certain legal matters in connection with the offering will be passed upon for the underwriters by [—].</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PRIVACY NOTICE</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are committed to protecting your privacy. This privacy notice explains the privacy policies of the Company. This notice supersedes any other privacy notice you may have received from the Company. We will safeguard, according to strict standards of security and confidentiality, all information we receive about you. The only information we collect from you is your name, address, and number of shares you hold. This information is used only so that we can send you annual reports and other information about us, and send you proxy statements or other information required by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share this information with any non-affiliated third party except as described below.</w:t>
      </w:r>
    </w:p>
    <w:p>
      <w:pPr>
        <w:spacing w:after="0" w:line="131" w:lineRule="exact"/>
        <w:rPr>
          <w:sz w:val="20"/>
          <w:szCs w:val="20"/>
          <w:color w:val="auto"/>
        </w:rPr>
      </w:pPr>
    </w:p>
    <w:p>
      <w:pPr>
        <w:ind w:left="90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People and Companies that Make Up Fidus. It is our policy that only our authorized employees who need to know your personal information will have access to it. Our personnel who violate our privacy policy are subject to disciplinary action.</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Service Providers. We may disclose your personal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86"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Courts and Government Officials. If required by law, we may disclose your personal information in accordance with a court order or at the request of government regulators. Only that information required by law, subpoena, or court order will be disclosed.</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supplement.</w:t>
      </w:r>
    </w:p>
    <w:p>
      <w:pPr>
        <w:spacing w:after="0" w:line="18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file with or submit to the SEC annual, quarterly and current periodic reports, proxy statements, code of ethics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1-800-SEC-0330. The SEC maintains an Internet site that contains reports, proxy and information statements and other information filed electronically by us with the SEC which are available on the SEC’s website at http://www.sec.gov. Copies of these reports, proxy and information statements and other information may be obtained, after paying a duplicating fee, by electronic request at the following e-mail address: publicinfo@sec.gov, or by writing the SEC’s Public Reference Section, 100 F Street, N.E., Washington, D.C. 20549.</w:t>
      </w:r>
    </w:p>
    <w:p>
      <w:pPr>
        <w:sectPr>
          <w:pgSz w:w="11900" w:h="16838" w:orient="portrait"/>
          <w:cols w:equalWidth="0" w:num="1">
            <w:col w:w="11380"/>
          </w:cols>
          <w:pgMar w:left="240" w:top="270" w:right="279" w:bottom="1440" w:gutter="0" w:footer="0" w:header="0"/>
        </w:sectPr>
      </w:pPr>
    </w:p>
    <w:bookmarkStart w:id="238" w:name="page239"/>
    <w:bookmarkEnd w:id="2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financial statements and notes thereto from most recently filed Quarterly Report on Form 10-Q or Annual Report on Form 10-K, as applicable, prior to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270" w:right="25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Fidus Investment Corporation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[Senior]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256540</wp:posOffset>
            </wp:positionV>
            <wp:extent cx="15176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1)"/>
      <w:numFmt w:val="decimal"/>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decimal"/>
      <w:start w:val="847"/>
    </w:lvl>
  </w:abstractNum>
  <w:abstractNum w:abstractNumId="6">
    <w:nsid w:val="6B94764"/>
    <w:multiLevelType w:val="hybridMultilevel"/>
    <w:lvl w:ilvl="0">
      <w:lvlJc w:val="left"/>
      <w:lvlText w:val="(%1)"/>
      <w:numFmt w:val="decimal"/>
      <w:start w:val="1"/>
    </w:lvl>
  </w:abstractNum>
  <w:abstractNum w:abstractNumId="7">
    <w:nsid w:val="42C296BD"/>
    <w:multiLevelType w:val="hybridMultilevel"/>
    <w:lvl w:ilvl="0">
      <w:lvlJc w:val="left"/>
      <w:lvlText w:val="(%1)"/>
      <w:numFmt w:val="decimal"/>
      <w:start w:val="8"/>
    </w:lvl>
  </w:abstractNum>
  <w:abstractNum w:abstractNumId="8">
    <w:nsid w:val="168E121F"/>
    <w:multiLevelType w:val="hybridMultilevel"/>
    <w:lvl w:ilvl="0">
      <w:lvlJc w:val="left"/>
      <w:lvlText w:val="(%1)"/>
      <w:numFmt w:val="decimal"/>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emdash "/>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1)"/>
      <w:numFmt w:val="decimal"/>
      <w:start w:val="1"/>
    </w:lvl>
    <w:lvl w:ilvl="1">
      <w:lvlJc w:val="left"/>
      <w:lvlText w:val="•"/>
      <w:numFmt w:val="bullet"/>
      <w:start w:val="1"/>
    </w:lvl>
  </w:abstractNum>
  <w:abstractNum w:abstractNumId="20">
    <w:nsid w:val="8F2B15E"/>
    <w:multiLevelType w:val="hybridMultilevel"/>
    <w:lvl w:ilvl="0">
      <w:lvlJc w:val="left"/>
      <w:lvlText w:val="(%1)"/>
      <w:numFmt w:val="decimal"/>
      <w:start w:val="1"/>
    </w:lvl>
  </w:abstractNum>
  <w:abstractNum w:abstractNumId="21">
    <w:nsid w:val="1A32234B"/>
    <w:multiLevelType w:val="hybridMultilevel"/>
    <w:lvl w:ilvl="0">
      <w:lvlJc w:val="left"/>
      <w:lvlText w:val="(%1)"/>
      <w:numFmt w:val="decimal"/>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1)"/>
      <w:numFmt w:val="decimal"/>
      <w:start w:val="1"/>
    </w:lvl>
  </w:abstractNum>
  <w:abstractNum w:abstractNumId="26">
    <w:nsid w:val="6A5EE64"/>
    <w:multiLevelType w:val="hybridMultilevel"/>
    <w:lvl w:ilvl="0">
      <w:lvlJc w:val="left"/>
      <w:lvlText w:val="(%1)"/>
      <w:numFmt w:val="decimal"/>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1)"/>
      <w:numFmt w:val="decimal"/>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1)"/>
      <w:numFmt w:val="decimal"/>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lvl w:ilvl="1">
      <w:lvlJc w:val="left"/>
      <w:lvlText w:val="•"/>
      <w:numFmt w:val="bullet"/>
      <w:start w:val="1"/>
    </w:lvl>
  </w:abstractNum>
  <w:abstractNum w:abstractNumId="51">
    <w:nsid w:val="60EF0119"/>
    <w:multiLevelType w:val="hybridMultilevel"/>
    <w:lvl w:ilvl="0">
      <w:lvlJc w:val="left"/>
      <w:lvlText w:val="(%1)"/>
      <w:numFmt w:val="lowerRoman"/>
      <w:start w:val="1"/>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1)"/>
      <w:numFmt w:val="lowerLetter"/>
      <w:start w:val="2"/>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74">
    <w:nsid w:val="53299938"/>
    <w:multiLevelType w:val="hybridMultilevel"/>
    <w:lvl w:ilvl="0">
      <w:lvlJc w:val="left"/>
      <w:lvlText w:val="(%1)"/>
      <w:numFmt w:val="lowerLetter"/>
      <w:start w:val="3"/>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1)"/>
      <w:numFmt w:val="decimal"/>
      <w:start w:val="1"/>
    </w:lvl>
  </w:abstractNum>
  <w:abstractNum w:abstractNumId="78">
    <w:nsid w:val="59ADEA3D"/>
    <w:multiLevelType w:val="hybridMultilevel"/>
    <w:lvl w:ilvl="0">
      <w:lvlJc w:val="left"/>
      <w:lvlText w:val="(%1)"/>
      <w:numFmt w:val="decimal"/>
      <w:start w:val="1"/>
    </w:lvl>
  </w:abstractNum>
  <w:abstractNum w:abstractNumId="79">
    <w:nsid w:val="288F1A34"/>
    <w:multiLevelType w:val="hybridMultilevel"/>
    <w:lvl w:ilvl="0">
      <w:lvlJc w:val="left"/>
      <w:lvlText w:val="(%1)"/>
      <w:numFmt w:val="decimal"/>
      <w:start w:val="7"/>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1)"/>
      <w:numFmt w:val="lowerRoman"/>
      <w:start w:val="2"/>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1)"/>
      <w:numFmt w:val="decimal"/>
      <w:start w:val="1"/>
    </w:lvl>
  </w:abstractNum>
  <w:abstractNum w:abstractNumId="86">
    <w:nsid w:val="415E286C"/>
    <w:multiLevelType w:val="hybridMultilevel"/>
    <w:lvl w:ilvl="0">
      <w:lvlJc w:val="left"/>
      <w:lvlText w:val="(%1)"/>
      <w:numFmt w:val="decimal"/>
      <w:start w:val="2"/>
    </w:lvl>
  </w:abstractNum>
  <w:abstractNum w:abstractNumId="87">
    <w:nsid w:val="7C58FD05"/>
    <w:multiLevelType w:val="hybridMultilevel"/>
    <w:lvl w:ilvl="0">
      <w:lvlJc w:val="left"/>
      <w:lvlText w:val="(%1)"/>
      <w:numFmt w:val="decimal"/>
      <w:start w:val="1"/>
    </w:lvl>
  </w:abstractNum>
  <w:abstractNum w:abstractNumId="88">
    <w:nsid w:val="23D86AAC"/>
    <w:multiLevelType w:val="hybridMultilevel"/>
    <w:lvl w:ilvl="0">
      <w:lvlJc w:val="left"/>
      <w:lvlText w:val="(%1)"/>
      <w:numFmt w:val="decimal"/>
      <w:start w:val="1"/>
    </w:lvl>
  </w:abstractNum>
  <w:abstractNum w:abstractNumId="89">
    <w:nsid w:val="45E6D486"/>
    <w:multiLevelType w:val="hybridMultilevel"/>
    <w:lvl w:ilvl="0">
      <w:lvlJc w:val="left"/>
      <w:lvlText w:val="(%1)"/>
      <w:numFmt w:val="decimal"/>
      <w:start w:val="1"/>
    </w:lvl>
  </w:abstractNum>
  <w:abstractNum w:abstractNumId="90">
    <w:nsid w:val="5C10FE21"/>
    <w:multiLevelType w:val="hybridMultilevel"/>
    <w:lvl w:ilvl="0">
      <w:lvlJc w:val="left"/>
      <w:lvlText w:val="(%1)"/>
      <w:numFmt w:val="decimal"/>
      <w:start w:val="1"/>
    </w:lvl>
  </w:abstractNum>
  <w:abstractNum w:abstractNumId="91">
    <w:nsid w:val="E7FFA2B"/>
    <w:multiLevelType w:val="hybridMultilevel"/>
    <w:lvl w:ilvl="0">
      <w:lvlJc w:val="left"/>
      <w:lvlText w:val="(%1)"/>
      <w:numFmt w:val="decimal"/>
      <w:start w:val="4"/>
    </w:lvl>
  </w:abstractNum>
  <w:abstractNum w:abstractNumId="92">
    <w:nsid w:val="3C5991AA"/>
    <w:multiLevelType w:val="hybridMultilevel"/>
    <w:lvl w:ilvl="0">
      <w:lvlJc w:val="left"/>
      <w:lvlText w:val="(%1)"/>
      <w:numFmt w:val="lowerLetter"/>
      <w:start w:val="3"/>
    </w:lvl>
  </w:abstractNum>
  <w:abstractNum w:abstractNumId="93">
    <w:nsid w:val="4BD8591A"/>
    <w:multiLevelType w:val="hybridMultilevel"/>
    <w:lvl w:ilvl="0">
      <w:lvlJc w:val="left"/>
      <w:lvlText w:val="(%1)"/>
      <w:numFmt w:val="lowerLetter"/>
      <w:start w:val="5"/>
    </w:lvl>
  </w:abstractNum>
  <w:abstractNum w:abstractNumId="94">
    <w:nsid w:val="78DF6A55"/>
    <w:multiLevelType w:val="hybridMultilevel"/>
    <w:lvl w:ilvl="0">
      <w:lvlJc w:val="left"/>
      <w:lvlText w:val="(%1)"/>
      <w:numFmt w:val="lowerLetter"/>
      <w:start w:val="9"/>
    </w:lvl>
  </w:abstractNum>
  <w:abstractNum w:abstractNumId="95">
    <w:nsid w:val="39B7AAA2"/>
    <w:multiLevelType w:val="hybridMultilevel"/>
    <w:lvl w:ilvl="0">
      <w:lvlJc w:val="left"/>
      <w:lvlText w:val="(%1)"/>
      <w:numFmt w:val="lowerLetter"/>
      <w:start w:val="12"/>
    </w:lvl>
  </w:abstractNum>
  <w:abstractNum w:abstractNumId="96">
    <w:nsid w:val="2B0D8DBE"/>
    <w:multiLevelType w:val="hybridMultilevel"/>
    <w:lvl w:ilvl="0">
      <w:lvlJc w:val="left"/>
      <w:lvlText w:val="(%1)"/>
      <w:numFmt w:val="lowerLetter"/>
      <w:start w:val="15"/>
    </w:lvl>
  </w:abstractNum>
  <w:abstractNum w:abstractNumId="97">
    <w:nsid w:val="6C80EC70"/>
    <w:multiLevelType w:val="hybridMultilevel"/>
    <w:lvl w:ilvl="0">
      <w:lvlJc w:val="left"/>
      <w:lvlText w:val="(%1)"/>
      <w:numFmt w:val="decimal"/>
      <w:start w:val="1"/>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1)"/>
      <w:numFmt w:val="lowerLetter"/>
      <w:start w:val="2"/>
    </w:lvl>
  </w:abstractNum>
  <w:abstractNum w:abstractNumId="100">
    <w:nsid w:val="2C27173B"/>
    <w:multiLevelType w:val="hybridMultilevel"/>
    <w:lvl w:ilvl="0">
      <w:lvlJc w:val="left"/>
      <w:lvlText w:val="(%1)"/>
      <w:numFmt w:val="decimal"/>
      <w:start w:val="1"/>
    </w:lvl>
  </w:abstractNum>
  <w:abstractNum w:abstractNumId="101">
    <w:nsid w:val="4C9B0904"/>
    <w:multiLevelType w:val="hybridMultilevel"/>
    <w:lvl w:ilvl="0">
      <w:lvlJc w:val="left"/>
      <w:lvlText w:val="(%1)"/>
      <w:numFmt w:val="decimal"/>
      <w:start w:val="1"/>
    </w:lvl>
  </w:abstractNum>
  <w:abstractNum w:abstractNumId="102">
    <w:nsid w:val="6AA7B75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3">
    <w:nsid w:val="1DF029D3"/>
    <w:multiLevelType w:val="hybridMultilevel"/>
    <w:lvl w:ilvl="0">
      <w:lvlJc w:val="left"/>
      <w:lvlText w:val="(%1)"/>
      <w:numFmt w:val="decimal"/>
      <w:start w:val="7"/>
    </w:lvl>
  </w:abstractNum>
  <w:abstractNum w:abstractNumId="104">
    <w:nsid w:val="5675FF36"/>
    <w:multiLevelType w:val="hybridMultilevel"/>
    <w:lvl w:ilvl="0">
      <w:lvlJc w:val="left"/>
      <w:lvlText w:val="(%1)"/>
      <w:numFmt w:val="lowerRoman"/>
      <w:start w:val="1"/>
    </w:lvl>
  </w:abstractNum>
  <w:abstractNum w:abstractNumId="105">
    <w:nsid w:val="3DD15094"/>
    <w:multiLevelType w:val="hybridMultilevel"/>
    <w:lvl w:ilvl="0">
      <w:lvlJc w:val="left"/>
      <w:lvlText w:val="(%1)"/>
      <w:numFmt w:val="decimal"/>
      <w:start w:val="1"/>
    </w:lvl>
  </w:abstractNum>
  <w:abstractNum w:abstractNumId="106">
    <w:nsid w:val="3DB012B3"/>
    <w:multiLevelType w:val="hybridMultilevel"/>
    <w:lvl w:ilvl="0">
      <w:lvlJc w:val="left"/>
      <w:lvlText w:val="(%1)"/>
      <w:numFmt w:val="decimal"/>
      <w:start w:val="3"/>
    </w:lvl>
  </w:abstractNum>
  <w:abstractNum w:abstractNumId="107">
    <w:nsid w:val="2708C9AF"/>
    <w:multiLevelType w:val="hybridMultilevel"/>
    <w:lvl w:ilvl="0">
      <w:lvlJc w:val="left"/>
      <w:lvlText w:val="1"/>
      <w:numFmt w:val="bullet"/>
      <w:start w:val="1"/>
    </w:lvl>
  </w:abstractNum>
  <w:abstractNum w:abstractNumId="108">
    <w:nsid w:val="5B25ACE2"/>
    <w:multiLevelType w:val="hybridMultilevel"/>
    <w:lvl w:ilvl="0">
      <w:lvlJc w:val="left"/>
      <w:lvlText w:val="2"/>
      <w:numFmt w:val="bullet"/>
      <w:start w:val="1"/>
    </w:lvl>
  </w:abstractNum>
  <w:abstractNum w:abstractNumId="109">
    <w:nsid w:val="175DFCF0"/>
    <w:multiLevelType w:val="hybridMultilevel"/>
    <w:lvl w:ilvl="0">
      <w:lvlJc w:val="left"/>
      <w:lvlText w:val="•"/>
      <w:numFmt w:val="bullet"/>
      <w:start w:val="1"/>
    </w:lvl>
  </w:abstractNum>
  <w:abstractNum w:abstractNumId="110">
    <w:nsid w:val="4F97E3E4"/>
    <w:multiLevelType w:val="hybridMultilevel"/>
    <w:lvl w:ilvl="0">
      <w:lvlJc w:val="left"/>
      <w:lvlText w:val="•"/>
      <w:numFmt w:val="bullet"/>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
      <w:numFmt w:val="bullet"/>
      <w:start w:val="1"/>
    </w:lvl>
  </w:abstractNum>
  <w:abstractNum w:abstractNumId="115">
    <w:nsid w:val="519E3149"/>
    <w:multiLevelType w:val="hybridMultilevel"/>
    <w:lvl w:ilvl="0">
      <w:lvlJc w:val="left"/>
      <w:lvlText w:val="(%1)"/>
      <w:numFmt w:val="decimal"/>
      <w:start w:val="1"/>
    </w:lvl>
  </w:abstractNum>
  <w:abstractNum w:abstractNumId="116">
    <w:nsid w:val="2C6E4AFD"/>
    <w:multiLevelType w:val="hybridMultilevel"/>
    <w:lvl w:ilvl="0">
      <w:lvlJc w:val="left"/>
      <w:lvlText w:val="•"/>
      <w:numFmt w:val="bullet"/>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1)"/>
      <w:numFmt w:val="decimal"/>
      <w:start w:val="1"/>
    </w:lvl>
  </w:abstractNum>
  <w:abstractNum w:abstractNumId="121">
    <w:nsid w:val="2A082C70"/>
    <w:multiLevelType w:val="hybridMultilevel"/>
    <w:lvl w:ilvl="0">
      <w:lvlJc w:val="left"/>
      <w:lvlText w:val="(%1)"/>
      <w:numFmt w:val="lowerRoman"/>
      <w:start w:val="1"/>
    </w:lvl>
  </w:abstractNum>
  <w:abstractNum w:abstractNumId="122">
    <w:nsid w:val="5EC6AFD4"/>
    <w:multiLevelType w:val="hybridMultilevel"/>
    <w:lvl w:ilvl="0">
      <w:lvlJc w:val="left"/>
      <w:lvlText w:val="(%1)"/>
      <w:numFmt w:val="lowerRoman"/>
      <w:start w:val="2"/>
    </w:lvl>
  </w:abstractNum>
  <w:abstractNum w:abstractNumId="123">
    <w:nsid w:val="19E21BB2"/>
    <w:multiLevelType w:val="hybridMultilevel"/>
    <w:lvl w:ilvl="0">
      <w:lvlJc w:val="left"/>
      <w:lvlText w:val="•"/>
      <w:numFmt w:val="bullet"/>
      <w:start w:val="1"/>
    </w:lvl>
  </w:abstractNum>
  <w:abstractNum w:abstractNumId="124">
    <w:nsid w:val="75E0858A"/>
    <w:multiLevelType w:val="hybridMultilevel"/>
    <w:lvl w:ilvl="0">
      <w:lvlJc w:val="left"/>
      <w:lvlText w:val="•"/>
      <w:numFmt w:val="bullet"/>
      <w:start w:val="1"/>
    </w:lvl>
  </w:abstractNum>
  <w:abstractNum w:abstractNumId="125">
    <w:nsid w:val="57A61A29"/>
    <w:multiLevelType w:val="hybridMultilevel"/>
    <w:lvl w:ilvl="0">
      <w:lvlJc w:val="left"/>
      <w:lvlText w:val="•"/>
      <w:numFmt w:val="bullet"/>
      <w:start w:val="1"/>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
      <w:numFmt w:val="bullet"/>
      <w:start w:val="1"/>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emdash ]"/>
      <w:numFmt w:val="bullet"/>
      <w:start w:val="1"/>
    </w:lvl>
  </w:abstractNum>
  <w:abstractNum w:abstractNumId="135">
    <w:nsid w:val="2E48F04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2019-12-09T00:11:01Z</dcterms:created>
  <dcterms:modified xsi:type="dcterms:W3CDTF">2019-12-09T00:11:01Z</dcterms:modified>
</cp:coreProperties>
</file>