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8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39" w:lineRule="exact"/>
        <w:rPr>
          <w:sz w:val="24"/>
          <w:szCs w:val="24"/>
          <w:color w:val="auto"/>
        </w:rPr>
      </w:pPr>
    </w:p>
    <w:p>
      <w:pPr>
        <w:ind w:left="1200" w:hanging="297"/>
        <w:spacing w:after="0"/>
        <w:tabs>
          <w:tab w:leader="none" w:pos="12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200" w:hanging="304"/>
        <w:spacing w:after="0"/>
        <w:tabs>
          <w:tab w:leader="none" w:pos="12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90"/>
        </w:trPr>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814-00861</w:t>
            </w:r>
          </w:p>
        </w:tc>
        <w:tc>
          <w:tcPr>
            <w:tcW w:w="200" w:type="dxa"/>
            <w:vAlign w:val="bottom"/>
          </w:tcPr>
          <w:p>
            <w:pPr>
              <w:spacing w:after="0"/>
              <w:rPr>
                <w:sz w:val="24"/>
                <w:szCs w:val="24"/>
                <w:color w:val="auto"/>
              </w:rPr>
            </w:pPr>
          </w:p>
        </w:tc>
      </w:tr>
    </w:tbl>
    <w:p>
      <w:pPr>
        <w:spacing w:after="0" w:line="16" w:lineRule="exact"/>
        <w:rPr>
          <w:sz w:val="24"/>
          <w:szCs w:val="24"/>
          <w:color w:val="auto"/>
        </w:rPr>
      </w:pPr>
    </w:p>
    <w:tbl>
      <w:tblPr>
        <w:tblLayout w:type="fixed"/>
        <w:tblInd w:w="1760" w:type="dxa"/>
        <w:tblCellMar>
          <w:top w:w="0" w:type="dxa"/>
          <w:left w:w="0" w:type="dxa"/>
          <w:bottom w:w="0" w:type="dxa"/>
          <w:right w:w="0" w:type="dxa"/>
        </w:tblCellMar>
      </w:tblPr>
      <w:tr>
        <w:trPr>
          <w:trHeight w:val="531"/>
        </w:trPr>
        <w:tc>
          <w:tcPr>
            <w:tcW w:w="6680" w:type="dxa"/>
            <w:vAlign w:val="bottom"/>
            <w:gridSpan w:val="2"/>
          </w:tcPr>
          <w:p>
            <w:pPr>
              <w:jc w:val="center"/>
              <w:ind w:left="961"/>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tc>
      </w:tr>
      <w:tr>
        <w:trPr>
          <w:trHeight w:val="236"/>
        </w:trPr>
        <w:tc>
          <w:tcPr>
            <w:tcW w:w="6680" w:type="dxa"/>
            <w:vAlign w:val="bottom"/>
            <w:gridSpan w:val="2"/>
          </w:tcPr>
          <w:p>
            <w:pPr>
              <w:jc w:val="center"/>
              <w:ind w:left="961"/>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r>
      <w:tr>
        <w:trPr>
          <w:trHeight w:val="297"/>
        </w:trPr>
        <w:tc>
          <w:tcPr>
            <w:tcW w:w="3980" w:type="dxa"/>
            <w:vAlign w:val="bottom"/>
          </w:tcPr>
          <w:p>
            <w:pPr>
              <w:jc w:val="center"/>
              <w:ind w:right="120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70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27-5017321</w:t>
            </w:r>
          </w:p>
        </w:tc>
      </w:tr>
      <w:tr>
        <w:trPr>
          <w:trHeight w:val="151"/>
        </w:trPr>
        <w:tc>
          <w:tcPr>
            <w:tcW w:w="3980" w:type="dxa"/>
            <w:vAlign w:val="bottom"/>
          </w:tcPr>
          <w:p>
            <w:pPr>
              <w:jc w:val="center"/>
              <w:ind w:right="1221"/>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00" w:type="dxa"/>
            <w:vAlign w:val="bottom"/>
          </w:tcPr>
          <w:p>
            <w:pPr>
              <w:jc w:val="center"/>
              <w:ind w:left="8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right="12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0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980" w:type="dxa"/>
            <w:vAlign w:val="bottom"/>
          </w:tcPr>
          <w:p>
            <w:pPr>
              <w:jc w:val="center"/>
              <w:ind w:right="1201"/>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w:t>
            </w:r>
          </w:p>
        </w:tc>
        <w:tc>
          <w:tcPr>
            <w:tcW w:w="2700" w:type="dxa"/>
            <w:vAlign w:val="bottom"/>
          </w:tcPr>
          <w:p>
            <w:pPr>
              <w:spacing w:after="0"/>
              <w:rPr>
                <w:sz w:val="24"/>
                <w:szCs w:val="24"/>
                <w:color w:val="auto"/>
              </w:rPr>
            </w:pPr>
          </w:p>
        </w:tc>
      </w:tr>
      <w:tr>
        <w:trPr>
          <w:trHeight w:val="238"/>
        </w:trPr>
        <w:tc>
          <w:tcPr>
            <w:tcW w:w="3980" w:type="dxa"/>
            <w:vAlign w:val="bottom"/>
          </w:tcPr>
          <w:p>
            <w:pPr>
              <w:jc w:val="center"/>
              <w:ind w:right="1221"/>
              <w:spacing w:after="0"/>
              <w:rPr>
                <w:sz w:val="20"/>
                <w:szCs w:val="20"/>
                <w:color w:val="auto"/>
              </w:rPr>
            </w:pPr>
            <w:r>
              <w:rPr>
                <w:rFonts w:ascii="Times New Roman" w:cs="Times New Roman" w:eastAsia="Times New Roman" w:hAnsi="Times New Roman"/>
                <w:sz w:val="18"/>
                <w:szCs w:val="18"/>
                <w:b w:val="1"/>
                <w:bCs w:val="1"/>
                <w:color w:val="auto"/>
                <w:w w:val="99"/>
              </w:rPr>
              <w:t>Evanston, Illinois</w:t>
            </w:r>
          </w:p>
        </w:tc>
        <w:tc>
          <w:tcPr>
            <w:tcW w:w="270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60201</w:t>
            </w:r>
          </w:p>
        </w:tc>
      </w:tr>
      <w:tr>
        <w:trPr>
          <w:trHeight w:val="193"/>
        </w:trPr>
        <w:tc>
          <w:tcPr>
            <w:tcW w:w="3980" w:type="dxa"/>
            <w:vAlign w:val="bottom"/>
          </w:tcPr>
          <w:p>
            <w:pPr>
              <w:jc w:val="center"/>
              <w:ind w:right="12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859-3940</w:t>
      </w:r>
    </w:p>
    <w:p>
      <w:pPr>
        <w:spacing w:after="0" w:line="31" w:lineRule="exact"/>
        <w:rPr>
          <w:rFonts w:ascii="Times New Roman" w:cs="Times New Roman" w:eastAsia="Times New Roman" w:hAnsi="Times New Roman"/>
          <w:sz w:val="18"/>
          <w:szCs w:val="18"/>
          <w:b w:val="1"/>
          <w:bCs w:val="1"/>
          <w:color w:val="auto"/>
        </w:rPr>
      </w:pPr>
    </w:p>
    <w:p>
      <w:pPr>
        <w:ind w:left="3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9" w:lineRule="exact"/>
        <w:rPr>
          <w:rFonts w:ascii="Times New Roman" w:cs="Times New Roman" w:eastAsia="Times New Roman" w:hAnsi="Times New Roman"/>
          <w:sz w:val="18"/>
          <w:szCs w:val="18"/>
          <w:b w:val="1"/>
          <w:bCs w:val="1"/>
          <w:color w:val="auto"/>
        </w:rPr>
      </w:pPr>
    </w:p>
    <w:p>
      <w:pPr>
        <w:ind w:left="4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6"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14"/>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44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4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6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22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Accelerated filer</w:t>
            </w:r>
          </w:p>
        </w:tc>
        <w:tc>
          <w:tcPr>
            <w:tcW w:w="220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0" w:type="dxa"/>
            <w:vAlign w:val="bottom"/>
          </w:tcPr>
          <w:p>
            <w:pPr>
              <w:spacing w:after="0"/>
              <w:rPr>
                <w:sz w:val="1"/>
                <w:szCs w:val="1"/>
                <w:color w:val="auto"/>
              </w:rPr>
            </w:pPr>
          </w:p>
        </w:tc>
      </w:tr>
      <w:tr>
        <w:trPr>
          <w:trHeight w:val="303"/>
        </w:trPr>
        <w:tc>
          <w:tcPr>
            <w:tcW w:w="2200" w:type="dxa"/>
            <w:vAlign w:val="bottom"/>
            <w:vMerge w:val="continue"/>
          </w:tcPr>
          <w:p>
            <w:pPr>
              <w:spacing w:after="0"/>
              <w:rPr>
                <w:sz w:val="24"/>
                <w:szCs w:val="24"/>
                <w:color w:val="auto"/>
              </w:rPr>
            </w:pPr>
          </w:p>
        </w:tc>
        <w:tc>
          <w:tcPr>
            <w:tcW w:w="2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0" w:type="dxa"/>
            <w:vAlign w:val="bottom"/>
          </w:tcPr>
          <w:p>
            <w:pPr>
              <w:jc w:val="center"/>
              <w:ind w:left="11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7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0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As of July 30, 2024, the Registrant had outstanding 33,161,240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2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bottom w:val="single" w:sz="8" w:color="0000EE"/>
            </w:tcBorders>
          </w:tcPr>
          <w:p>
            <w:pPr>
              <w:spacing w:after="0"/>
              <w:rPr>
                <w:sz w:val="19"/>
                <w:szCs w:val="19"/>
                <w:color w:val="auto"/>
              </w:rPr>
            </w:pPr>
          </w:p>
        </w:tc>
        <w:tc>
          <w:tcPr>
            <w:tcW w:w="8180" w:type="dxa"/>
            <w:vAlign w:val="bottom"/>
            <w:gridSpan w:val="18"/>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Statements of Assets and Liabilities — June 30, 2024 (unaudited) and December 31, 2023</w:t>
            </w:r>
          </w:p>
        </w:tc>
        <w:tc>
          <w:tcPr>
            <w:tcW w:w="20" w:type="dxa"/>
            <w:vAlign w:val="bottom"/>
            <w:tcBorders>
              <w:bottom w:val="single" w:sz="8" w:color="0000EE"/>
            </w:tcBorders>
          </w:tcPr>
          <w:p>
            <w:pPr>
              <w:spacing w:after="0"/>
              <w:rPr>
                <w:sz w:val="19"/>
                <w:szCs w:val="19"/>
                <w:color w:val="auto"/>
              </w:rPr>
            </w:pPr>
          </w:p>
        </w:tc>
        <w:tc>
          <w:tcPr>
            <w:tcW w:w="224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Operations — three and six months ended June 30, 2024 (unaudited) and 2023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 three and six months ended June 30, 2024 (unaudited) and 2023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Cash Flows — three and six months ended June 30, 2024 (unaudited) and 2023 (unaudited)</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6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Schedules of Investments — June 30, 2024 (unaudited) and December 31, 2023</w:t>
            </w:r>
          </w:p>
        </w:tc>
        <w:tc>
          <w:tcPr>
            <w:tcW w:w="1860" w:type="dxa"/>
            <w:vAlign w:val="bottom"/>
            <w:tcBorders>
              <w:top w:val="single" w:sz="8" w:color="0000FF"/>
            </w:tcBorders>
            <w:gridSpan w:val="4"/>
          </w:tcPr>
          <w:p>
            <w:pPr>
              <w:spacing w:after="0"/>
              <w:rPr>
                <w:sz w:val="19"/>
                <w:szCs w:val="19"/>
                <w:color w:val="auto"/>
              </w:rPr>
            </w:pPr>
          </w:p>
        </w:tc>
        <w:tc>
          <w:tcPr>
            <w:tcW w:w="114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r>
              <w:rPr>
                <w:rFonts w:ascii="Times New Roman" w:cs="Times New Roman" w:eastAsia="Times New Roman" w:hAnsi="Times New Roman"/>
                <w:sz w:val="18"/>
                <w:szCs w:val="18"/>
                <w:color w:val="00000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40" w:type="dxa"/>
            <w:vAlign w:val="bottom"/>
            <w:tcBorders>
              <w:top w:val="single" w:sz="8" w:color="0000FF"/>
            </w:tcBorders>
            <w:gridSpan w:val="2"/>
          </w:tcPr>
          <w:p>
            <w:pPr>
              <w:spacing w:after="0"/>
              <w:rPr>
                <w:sz w:val="19"/>
                <w:szCs w:val="19"/>
                <w:color w:val="auto"/>
              </w:rPr>
            </w:pPr>
          </w:p>
        </w:tc>
        <w:tc>
          <w:tcPr>
            <w:tcW w:w="3300" w:type="dxa"/>
            <w:vAlign w:val="bottom"/>
            <w:gridSpan w:val="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60" w:type="dxa"/>
            <w:vAlign w:val="bottom"/>
          </w:tcPr>
          <w:p>
            <w:pPr>
              <w:spacing w:after="0"/>
              <w:rPr>
                <w:sz w:val="19"/>
                <w:szCs w:val="19"/>
                <w:color w:val="auto"/>
              </w:rPr>
            </w:pP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4"/>
          </w:tcPr>
          <w:p>
            <w:pPr>
              <w:spacing w:after="0"/>
              <w:rPr>
                <w:sz w:val="19"/>
                <w:szCs w:val="19"/>
                <w:color w:val="auto"/>
              </w:rPr>
            </w:pPr>
          </w:p>
        </w:tc>
        <w:tc>
          <w:tcPr>
            <w:tcW w:w="3360" w:type="dxa"/>
            <w:vAlign w:val="bottom"/>
            <w:gridSpan w:val="9"/>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20" w:type="dxa"/>
            <w:vAlign w:val="bottom"/>
            <w:tcBorders>
              <w:top w:val="single" w:sz="8" w:color="0000FF"/>
            </w:tcBorders>
            <w:gridSpan w:val="2"/>
          </w:tcPr>
          <w:p>
            <w:pPr>
              <w:spacing w:after="0"/>
              <w:rPr>
                <w:sz w:val="19"/>
                <w:szCs w:val="19"/>
                <w:color w:val="auto"/>
              </w:rPr>
            </w:pPr>
          </w:p>
        </w:tc>
        <w:tc>
          <w:tcPr>
            <w:tcW w:w="8380" w:type="dxa"/>
            <w:vAlign w:val="bottom"/>
            <w:gridSpan w:val="20"/>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60" w:type="dxa"/>
            <w:vAlign w:val="bottom"/>
            <w:gridSpan w:val="11"/>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380" w:type="dxa"/>
            <w:vAlign w:val="bottom"/>
            <w:gridSpan w:val="1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940" w:type="dxa"/>
            <w:vAlign w:val="bottom"/>
            <w:gridSpan w:val="1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00" w:type="dxa"/>
            <w:vAlign w:val="bottom"/>
            <w:gridSpan w:val="21"/>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400" w:type="dxa"/>
            <w:vAlign w:val="bottom"/>
            <w:gridSpan w:val="15"/>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8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Control investments (cost: $6,832 and $6,832, respectively)</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Affiliate investments (cost: $48,014 and $46,485, respectively)</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83,747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83,876</w:t>
            </w:r>
          </w:p>
        </w:tc>
      </w:tr>
      <w:tr>
        <w:trPr>
          <w:trHeight w:val="176"/>
        </w:trPr>
        <w:tc>
          <w:tcPr>
            <w:tcW w:w="80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Non-control/non-affiliate investments (cost: $1,003,139 and $883,312, respectively)</w:t>
            </w: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994,677</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874,030</w:t>
            </w:r>
          </w:p>
        </w:tc>
      </w:tr>
      <w:tr>
        <w:trPr>
          <w:trHeight w:val="16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(cost: $1,057,985 and $936,629, respectively)</w:t>
            </w:r>
          </w:p>
        </w:tc>
        <w:tc>
          <w:tcPr>
            <w:tcW w:w="22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1,078,424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957,906</w:t>
            </w:r>
          </w:p>
        </w:tc>
      </w:tr>
      <w:tr>
        <w:trPr>
          <w:trHeight w:val="175"/>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48,320</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119,131</w:t>
            </w:r>
          </w:p>
        </w:tc>
      </w:tr>
      <w:tr>
        <w:trPr>
          <w:trHeight w:val="17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17,315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11,965</w:t>
            </w:r>
          </w:p>
        </w:tc>
      </w:tr>
      <w:tr>
        <w:trPr>
          <w:trHeight w:val="175"/>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1,880</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1,896</w:t>
            </w:r>
          </w:p>
        </w:tc>
      </w:tr>
      <w:tr>
        <w:trPr>
          <w:trHeight w:val="16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1,145,939</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1,090,898</w:t>
            </w:r>
          </w:p>
        </w:tc>
      </w:tr>
      <w:tr>
        <w:trPr>
          <w:trHeight w:val="20"/>
        </w:trPr>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0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7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net of deferred financing costs (Note 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170,323</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204,472</w:t>
            </w:r>
          </w:p>
        </w:tc>
      </w:tr>
      <w:tr>
        <w:trPr>
          <w:trHeight w:val="17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 net of deferred financing costs (Note 6)</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247,799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247,243</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Credit Facility, net of deferred financing costs (Note 6)</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31,567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(1,082 )</w:t>
            </w:r>
          </w:p>
        </w:tc>
      </w:tr>
      <w:tr>
        <w:trPr>
          <w:trHeight w:val="17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 borrowings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15,280</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15,880</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5,924</w:t>
            </w:r>
          </w:p>
        </w:tc>
      </w:tr>
      <w:tr>
        <w:trPr>
          <w:trHeight w:val="17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4,639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4,151</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4,570</w:t>
            </w:r>
          </w:p>
        </w:tc>
      </w:tr>
      <w:tr>
        <w:trPr>
          <w:trHeight w:val="175"/>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gains incentive fee payable – due to affiliate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15,901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17,509</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r>
      <w:tr>
        <w:trPr>
          <w:trHeight w:val="175"/>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payable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1,777</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1,227</w:t>
            </w:r>
          </w:p>
        </w:tc>
      </w:tr>
      <w:tr>
        <w:trPr>
          <w:trHeight w:val="17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741</w:t>
            </w:r>
          </w:p>
        </w:tc>
      </w:tr>
      <w:tr>
        <w:trPr>
          <w:trHeight w:val="169"/>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499,173</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501,424</w:t>
            </w:r>
          </w:p>
        </w:tc>
      </w:tr>
      <w:tr>
        <w:trPr>
          <w:trHeight w:val="169"/>
        </w:trPr>
        <w:tc>
          <w:tcPr>
            <w:tcW w:w="8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75"/>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$0.001 par value (100,000,000 shares authorized, 33,161,240 and 30,438,979 shares issued and</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8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outstanding at June 30, 2024 and December 31, 2023, respectively)</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557,331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504,298</w:t>
            </w:r>
          </w:p>
        </w:tc>
      </w:tr>
      <w:tr>
        <w:trPr>
          <w:trHeight w:val="175"/>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89,401</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85,145</w:t>
            </w:r>
          </w:p>
        </w:tc>
      </w:tr>
      <w:tr>
        <w:trPr>
          <w:trHeight w:val="16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646,766</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589,474</w:t>
            </w:r>
          </w:p>
        </w:tc>
      </w:tr>
      <w:tr>
        <w:trPr>
          <w:trHeight w:val="209"/>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1,145,939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1,090,898</w:t>
            </w:r>
          </w:p>
        </w:tc>
      </w:tr>
      <w:tr>
        <w:trPr>
          <w:trHeight w:val="156"/>
        </w:trPr>
        <w:tc>
          <w:tcPr>
            <w:tcW w:w="80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common share</w:t>
            </w:r>
          </w:p>
        </w:tc>
        <w:tc>
          <w:tcPr>
            <w:tcW w:w="2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19.50</w:t>
            </w:r>
          </w:p>
        </w:tc>
        <w:tc>
          <w:tcPr>
            <w:tcW w:w="320" w:type="dxa"/>
            <w:vAlign w:val="bottom"/>
            <w:gridSpan w:val="2"/>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19.37</w:t>
            </w:r>
          </w:p>
        </w:tc>
      </w:tr>
      <w:tr>
        <w:trPr>
          <w:trHeight w:val="20"/>
        </w:trPr>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-3136900</wp:posOffset>
            </wp:positionV>
            <wp:extent cx="85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-2682240</wp:posOffset>
            </wp:positionV>
            <wp:extent cx="85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-1079500</wp:posOffset>
            </wp:positionV>
            <wp:extent cx="8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-402590</wp:posOffset>
            </wp:positionV>
            <wp:extent cx="85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wp:posOffset>
            </wp:positionV>
            <wp:extent cx="85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85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76"/>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2,157</w:t>
            </w:r>
          </w:p>
        </w:tc>
      </w:tr>
      <w:tr>
        <w:trPr>
          <w:trHeight w:val="175"/>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30,643</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25,060</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57,912</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49,966</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28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31,507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59,645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52,123</w:t>
            </w:r>
          </w:p>
        </w:tc>
      </w:tr>
      <w:tr>
        <w:trPr>
          <w:trHeight w:val="17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1,845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1,872</w:t>
            </w:r>
          </w:p>
        </w:tc>
      </w:tr>
      <w:tr>
        <w:trPr>
          <w:trHeight w:val="169"/>
        </w:trPr>
        <w:tc>
          <w:tcPr>
            <w:tcW w:w="58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payment-in-kind interest income</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1,845</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1,872</w:t>
            </w:r>
          </w:p>
        </w:tc>
      </w:tr>
      <w:tr>
        <w:trPr>
          <w:trHeight w:val="176"/>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 income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r>
      <w:tr>
        <w:trPr>
          <w:trHeight w:val="176"/>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dividend income</w:t>
            </w:r>
          </w:p>
        </w:tc>
        <w:tc>
          <w:tcPr>
            <w:tcW w:w="28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688</w:t>
            </w:r>
          </w:p>
        </w:tc>
      </w:tr>
      <w:tr>
        <w:trPr>
          <w:trHeight w:val="17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r>
      <w:tr>
        <w:trPr>
          <w:trHeight w:val="176"/>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1,517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3,618</w:t>
            </w:r>
          </w:p>
        </w:tc>
      </w:tr>
      <w:tr>
        <w:trPr>
          <w:trHeight w:val="169"/>
        </w:trPr>
        <w:tc>
          <w:tcPr>
            <w:tcW w:w="58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fee income</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3,673</w:t>
            </w:r>
          </w:p>
        </w:tc>
      </w:tr>
      <w:tr>
        <w:trPr>
          <w:trHeight w:val="176"/>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on idle funds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1,258</w:t>
            </w:r>
          </w:p>
        </w:tc>
      </w:tr>
      <w:tr>
        <w:trPr>
          <w:trHeight w:val="16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35,664</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30,558</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70,315</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59,614</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6,062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12,074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10,776</w:t>
            </w:r>
          </w:p>
        </w:tc>
      </w:tr>
      <w:tr>
        <w:trPr>
          <w:trHeight w:val="17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Base management fee</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7,905</w:t>
            </w:r>
          </w:p>
        </w:tc>
      </w:tr>
      <w:tr>
        <w:trPr>
          <w:trHeight w:val="17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Incentive fee - income</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4,546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7,481</w:t>
            </w:r>
          </w:p>
        </w:tc>
      </w:tr>
      <w:tr>
        <w:trPr>
          <w:trHeight w:val="17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(1,021 )</w:t>
            </w:r>
          </w:p>
        </w:tc>
      </w:tr>
      <w:tr>
        <w:trPr>
          <w:trHeight w:val="175"/>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1,091</w:t>
            </w:r>
          </w:p>
        </w:tc>
      </w:tr>
      <w:tr>
        <w:trPr>
          <w:trHeight w:val="17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1,457</w:t>
            </w:r>
          </w:p>
        </w:tc>
      </w:tr>
      <w:tr>
        <w:trPr>
          <w:trHeight w:val="175"/>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fee waiver</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18,647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13,825</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35,760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28,193</w:t>
            </w:r>
          </w:p>
        </w:tc>
      </w:tr>
      <w:tr>
        <w:trPr>
          <w:trHeight w:val="169"/>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Base management fee waiver</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(144 )</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net of base management fee waiver</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18,580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13,753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35,624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28,049</w:t>
            </w:r>
          </w:p>
        </w:tc>
      </w:tr>
      <w:tr>
        <w:trPr>
          <w:trHeight w:val="16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 before income taxes</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17,084</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16,805</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34,691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31,565</w:t>
            </w:r>
          </w:p>
        </w:tc>
      </w:tr>
      <w:tr>
        <w:trPr>
          <w:trHeight w:val="17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r>
      <w:tr>
        <w:trPr>
          <w:trHeight w:val="16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16,950</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16,784</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34,577</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31,507</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gains (losses) on investments: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(11,458 )</w:t>
            </w:r>
          </w:p>
        </w:tc>
      </w:tr>
      <w:tr>
        <w:trPr>
          <w:trHeight w:val="17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r>
      <w:tr>
        <w:trPr>
          <w:trHeight w:val="176"/>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10,784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5,818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12,527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5,876</w:t>
            </w:r>
          </w:p>
        </w:tc>
      </w:tr>
      <w:tr>
        <w:trPr>
          <w:trHeight w:val="169"/>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realized gain (loss)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10,784</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(5,541 )</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12,527</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(5,483 )</w:t>
            </w:r>
          </w:p>
        </w:tc>
      </w:tr>
      <w:tr>
        <w:trPr>
          <w:trHeight w:val="169"/>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(1,538 )</w:t>
            </w:r>
          </w:p>
        </w:tc>
      </w:tr>
      <w:tr>
        <w:trPr>
          <w:trHeight w:val="175"/>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28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11,083</w:t>
            </w:r>
          </w:p>
        </w:tc>
      </w:tr>
      <w:tr>
        <w:trPr>
          <w:trHeight w:val="17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1,578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(2,113 )</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(1,658 )</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(4,602 )</w:t>
            </w:r>
          </w:p>
        </w:tc>
      </w:tr>
      <w:tr>
        <w:trPr>
          <w:trHeight w:val="175"/>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(3,634 )</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(7,760 )</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(4,563 )</w:t>
            </w:r>
          </w:p>
        </w:tc>
      </w:tr>
      <w:tr>
        <w:trPr>
          <w:trHeight w:val="169"/>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net change in unrealized appreciation (depreciation)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(2,056 )</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(838 )</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1,918</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(loss) on investments</w:t>
            </w:r>
          </w:p>
        </w:tc>
        <w:tc>
          <w:tcPr>
            <w:tcW w:w="28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7,149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(5,103 )</w:t>
            </w:r>
          </w:p>
        </w:tc>
      </w:tr>
      <w:tr>
        <w:trPr>
          <w:trHeight w:val="1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losses on extinguishment of debt</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24,099</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10,915</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44,222</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26,404</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8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Per common share data:</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per share-basic and diluted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0.53</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0.67</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share — basic and diluted</w:t>
            </w:r>
          </w:p>
        </w:tc>
        <w:tc>
          <w:tcPr>
            <w:tcW w:w="280" w:type="dxa"/>
            <w:vAlign w:val="bottom"/>
            <w:tcBorders>
              <w:bottom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0.75</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0.44</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1.06</w:t>
            </w: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Dividends declared per share</w:t>
            </w:r>
          </w:p>
        </w:tc>
        <w:tc>
          <w:tcPr>
            <w:tcW w:w="28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0.59</w:t>
            </w:r>
          </w:p>
        </w:tc>
        <w:tc>
          <w:tcPr>
            <w:tcW w:w="4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0.70</w:t>
            </w:r>
          </w:p>
        </w:tc>
        <w:tc>
          <w:tcPr>
            <w:tcW w:w="3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1.24</w:t>
            </w:r>
          </w:p>
        </w:tc>
        <w:tc>
          <w:tcPr>
            <w:tcW w:w="4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1.36</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32,245,714</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25,028,268</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31,511,236</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24,916,729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-6068695</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-6068695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-6068695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-4937125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-4937125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-4937125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-4019550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-4019550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-4019550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-3119755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-3119755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-3119755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-2879725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-2879725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-2879725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-2407920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-2407920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-2407920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-1722120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-1722120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-1722120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-1036320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-1036320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-1036320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-805180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-805180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-805180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-299720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-281940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-299720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-281940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-299720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-281940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15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24,727,788</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395,916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84,402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480,343</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offering of common stock, net of expenses</w:t>
            </w:r>
          </w:p>
        </w:tc>
        <w:tc>
          <w:tcPr>
            <w:tcW w:w="1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260,610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21"/>
                <w:szCs w:val="21"/>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5,306</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14,723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14,723</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(16,492 )</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(16,492 )</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24,988,398</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401,222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83,399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484,646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Public offering of common stock, net of expenses</w:t>
            </w:r>
          </w:p>
        </w:tc>
        <w:tc>
          <w:tcPr>
            <w:tcW w:w="15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246,574</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4,837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4,837</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16,784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16,784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(7,079 )</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(17,654 )</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(17,654 )</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25,265,808</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406,663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76,660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483,348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5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30,438,979</w:t>
            </w:r>
          </w:p>
        </w:tc>
        <w:tc>
          <w:tcPr>
            <w:tcW w:w="1140" w:type="dxa"/>
            <w:vAlign w:val="bottom"/>
            <w:gridSpan w:val="2"/>
            <w:shd w:val="clear" w:color="auto" w:fill="CFF0FC"/>
          </w:tcPr>
          <w:p>
            <w:pPr>
              <w:jc w:val="right"/>
              <w:ind w:right="8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504,298</w:t>
            </w:r>
          </w:p>
        </w:tc>
        <w:tc>
          <w:tcPr>
            <w:tcW w:w="2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85,145</w:t>
            </w:r>
          </w:p>
        </w:tc>
        <w:tc>
          <w:tcPr>
            <w:tcW w:w="32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589,474</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Public offering of common stock, net of expenses</w:t>
            </w:r>
          </w:p>
        </w:tc>
        <w:tc>
          <w:tcPr>
            <w:tcW w:w="152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987,170</w:t>
            </w:r>
          </w:p>
        </w:tc>
        <w:tc>
          <w:tcPr>
            <w:tcW w:w="12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19,169</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19,170</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17,627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17,627</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(20,427 )</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(20,427 )</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31,426,149</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523,467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84,841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608,340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Public offering of common stock, net of expenses</w:t>
            </w:r>
          </w:p>
        </w:tc>
        <w:tc>
          <w:tcPr>
            <w:tcW w:w="15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1,691,336</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33,017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33,019</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43,755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16,950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16,950</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9,205</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(2,056 )</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(19,539 )</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(19,539 )</w:t>
            </w:r>
          </w:p>
        </w:tc>
        <w:tc>
          <w:tcPr>
            <w:tcW w:w="0" w:type="dxa"/>
            <w:vAlign w:val="bottom"/>
          </w:tcPr>
          <w:p>
            <w:pPr>
              <w:spacing w:after="0"/>
              <w:rPr>
                <w:sz w:val="1"/>
                <w:szCs w:val="1"/>
                <w:color w:val="auto"/>
              </w:rPr>
            </w:pP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33,161,240</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557,331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89,401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646,766</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 is greater than zero but less than one</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-3061970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-3061970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-3061970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-3061970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-2136140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-2136140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-2136140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-2136140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-1878965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-1861820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-1878965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-1861820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-1878965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-1861820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-1878965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-1861820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-1184910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-1184910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-1184910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-1184910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-259080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-259080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-259080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-259080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44,222</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26,404</w:t>
            </w:r>
          </w:p>
        </w:tc>
        <w:tc>
          <w:tcPr>
            <w:tcW w:w="100" w:type="dxa"/>
            <w:vAlign w:val="bottom"/>
          </w:tcPr>
          <w:p>
            <w:pPr>
              <w:spacing w:after="0"/>
              <w:rPr>
                <w:sz w:val="15"/>
                <w:szCs w:val="15"/>
                <w:color w:val="auto"/>
              </w:rPr>
            </w:pPr>
          </w:p>
        </w:tc>
      </w:tr>
      <w:tr>
        <w:trPr>
          <w:trHeight w:val="175"/>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 provided by (used for) operating activities: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(1,918 )</w:t>
            </w: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(12,527 )</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100" w:type="dxa"/>
            <w:vAlign w:val="bottom"/>
            <w:shd w:val="clear" w:color="auto" w:fill="CFF0FC"/>
          </w:tcPr>
          <w:p>
            <w:pPr>
              <w:spacing w:after="0"/>
              <w:rPr>
                <w:sz w:val="15"/>
                <w:szCs w:val="15"/>
                <w:color w:val="auto"/>
              </w:rPr>
            </w:pP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(3,894 )</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(1,872 )</w:t>
            </w: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(231 )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(228 )</w:t>
            </w: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(1,106 )</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(775 )</w:t>
            </w: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investments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(208,306 )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(147,348 )</w:t>
            </w: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103,343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76,503</w:t>
            </w:r>
          </w:p>
        </w:tc>
        <w:tc>
          <w:tcPr>
            <w:tcW w:w="100" w:type="dxa"/>
            <w:vAlign w:val="bottom"/>
          </w:tcPr>
          <w:p>
            <w:pPr>
              <w:spacing w:after="0"/>
              <w:rPr>
                <w:sz w:val="15"/>
                <w:szCs w:val="15"/>
                <w:color w:val="auto"/>
              </w:rPr>
            </w:pP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shd w:val="clear" w:color="auto" w:fill="CFF0FC"/>
          </w:tcPr>
          <w:p>
            <w:pPr>
              <w:spacing w:after="0"/>
              <w:rPr>
                <w:sz w:val="15"/>
                <w:szCs w:val="15"/>
                <w:color w:val="auto"/>
              </w:rPr>
            </w:pPr>
          </w:p>
        </w:tc>
      </w:tr>
      <w:tr>
        <w:trPr>
          <w:trHeight w:val="176"/>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FF0FC"/>
          </w:tcPr>
          <w:p>
            <w:pPr>
              <w:spacing w:after="0"/>
              <w:rPr>
                <w:sz w:val="15"/>
                <w:szCs w:val="15"/>
                <w:color w:val="auto"/>
              </w:rPr>
            </w:pPr>
          </w:p>
        </w:tc>
      </w:tr>
      <w:tr>
        <w:trPr>
          <w:trHeight w:val="176"/>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deferred equity financing costs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r>
      <w:tr>
        <w:trPr>
          <w:trHeight w:val="175"/>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(5,350 )</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(1,092 )</w:t>
            </w:r>
          </w:p>
        </w:tc>
      </w:tr>
      <w:tr>
        <w:trPr>
          <w:trHeight w:val="176"/>
        </w:trPr>
        <w:tc>
          <w:tcPr>
            <w:tcW w:w="8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(451 )</w:t>
            </w:r>
          </w:p>
        </w:tc>
      </w:tr>
      <w:tr>
        <w:trPr>
          <w:trHeight w:val="17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(251 )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5"/>
                <w:szCs w:val="15"/>
                <w:color w:val="auto"/>
              </w:rPr>
            </w:pPr>
          </w:p>
        </w:tc>
      </w:tr>
      <w:tr>
        <w:trPr>
          <w:trHeight w:val="176"/>
        </w:trPr>
        <w:tc>
          <w:tcPr>
            <w:tcW w:w="8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FF0FC"/>
          </w:tcPr>
          <w:p>
            <w:pPr>
              <w:spacing w:after="0"/>
              <w:rPr>
                <w:sz w:val="15"/>
                <w:szCs w:val="15"/>
                <w:color w:val="auto"/>
              </w:rPr>
            </w:pPr>
          </w:p>
        </w:tc>
      </w:tr>
      <w:tr>
        <w:trPr>
          <w:trHeight w:val="17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5"/>
                <w:szCs w:val="15"/>
                <w:color w:val="auto"/>
              </w:rPr>
            </w:pPr>
          </w:p>
        </w:tc>
      </w:tr>
      <w:tr>
        <w:trPr>
          <w:trHeight w:val="176"/>
        </w:trPr>
        <w:tc>
          <w:tcPr>
            <w:tcW w:w="8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Capital gains incentive fee (reversal) – due to (from) affiliate</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(1,608 )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(8,576 )</w:t>
            </w:r>
          </w:p>
        </w:tc>
      </w:tr>
      <w:tr>
        <w:trPr>
          <w:trHeight w:val="17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Administration fee payable and other – due to (from) affiliate</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(344 )</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(168 )</w:t>
            </w:r>
          </w:p>
        </w:tc>
      </w:tr>
      <w:tr>
        <w:trPr>
          <w:trHeight w:val="176"/>
        </w:trPr>
        <w:tc>
          <w:tcPr>
            <w:tcW w:w="8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Taxes payable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(8,792 )</w:t>
            </w:r>
          </w:p>
        </w:tc>
      </w:tr>
      <w:tr>
        <w:trPr>
          <w:trHeight w:val="17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5"/>
                <w:szCs w:val="15"/>
                <w:color w:val="auto"/>
              </w:rPr>
            </w:pPr>
          </w:p>
        </w:tc>
      </w:tr>
      <w:tr>
        <w:trPr>
          <w:trHeight w:val="169"/>
        </w:trPr>
        <w:tc>
          <w:tcPr>
            <w:tcW w:w="8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(80,493 )</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(58,045 )</w:t>
            </w:r>
          </w:p>
        </w:tc>
      </w:tr>
      <w:tr>
        <w:trPr>
          <w:trHeight w:val="169"/>
        </w:trPr>
        <w:tc>
          <w:tcPr>
            <w:tcW w:w="8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common stock offerings, net of expenses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52,189</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100" w:type="dxa"/>
            <w:vAlign w:val="bottom"/>
            <w:shd w:val="clear" w:color="auto" w:fill="CFF0FC"/>
          </w:tcPr>
          <w:p>
            <w:pPr>
              <w:spacing w:after="0"/>
              <w:rPr>
                <w:sz w:val="15"/>
                <w:szCs w:val="15"/>
                <w:color w:val="auto"/>
              </w:rPr>
            </w:pP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SBA debentures</w:t>
            </w:r>
          </w:p>
        </w:tc>
        <w:tc>
          <w:tcPr>
            <w:tcW w:w="2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100" w:type="dxa"/>
            <w:vAlign w:val="bottom"/>
          </w:tcPr>
          <w:p>
            <w:pPr>
              <w:spacing w:after="0"/>
              <w:rPr>
                <w:sz w:val="15"/>
                <w:szCs w:val="15"/>
                <w:color w:val="auto"/>
              </w:rPr>
            </w:pPr>
          </w:p>
        </w:tc>
      </w:tr>
      <w:tr>
        <w:trPr>
          <w:trHeight w:val="175"/>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(35,000 )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borrowings under Credit Facility, net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r>
      <w:tr>
        <w:trPr>
          <w:trHeight w:val="175"/>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Secured Borrowings, net</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(600 )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(328 )</w:t>
            </w: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(288 )</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(706 )</w:t>
            </w:r>
          </w:p>
        </w:tc>
      </w:tr>
      <w:tr>
        <w:trPr>
          <w:trHeight w:val="176"/>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Dividends paid to stockholders, including expenses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(39,119 )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(34,146 )</w:t>
            </w:r>
          </w:p>
        </w:tc>
      </w:tr>
      <w:tr>
        <w:trPr>
          <w:trHeight w:val="169"/>
        </w:trPr>
        <w:tc>
          <w:tcPr>
            <w:tcW w:w="84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33,672</w:t>
            </w:r>
          </w:p>
        </w:tc>
        <w:tc>
          <w:tcPr>
            <w:tcW w:w="100" w:type="dxa"/>
            <w:vAlign w:val="bottom"/>
          </w:tcPr>
          <w:p>
            <w:pPr>
              <w:spacing w:after="0"/>
              <w:rPr>
                <w:sz w:val="14"/>
                <w:szCs w:val="14"/>
                <w:color w:val="auto"/>
              </w:rPr>
            </w:pPr>
          </w:p>
        </w:tc>
      </w:tr>
      <w:tr>
        <w:trPr>
          <w:trHeight w:val="169"/>
        </w:trPr>
        <w:tc>
          <w:tcPr>
            <w:tcW w:w="8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(70,811 )</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(24,373 )</w:t>
            </w:r>
          </w:p>
        </w:tc>
      </w:tr>
      <w:tr>
        <w:trPr>
          <w:trHeight w:val="17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Beginning of period</w:t>
            </w: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119,131</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48,320</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37,977</w:t>
            </w:r>
          </w:p>
        </w:tc>
        <w:tc>
          <w:tcPr>
            <w:tcW w:w="100" w:type="dxa"/>
            <w:vAlign w:val="bottom"/>
          </w:tcPr>
          <w:p>
            <w:pPr>
              <w:spacing w:after="0"/>
              <w:rPr>
                <w:sz w:val="14"/>
                <w:szCs w:val="14"/>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4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information and non-cash activities</w:t>
            </w: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8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11,291</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9,263</w:t>
            </w:r>
          </w:p>
        </w:tc>
        <w:tc>
          <w:tcPr>
            <w:tcW w:w="100" w:type="dxa"/>
            <w:vAlign w:val="bottom"/>
          </w:tcPr>
          <w:p>
            <w:pPr>
              <w:spacing w:after="0"/>
              <w:rPr>
                <w:sz w:val="15"/>
                <w:szCs w:val="15"/>
                <w:color w:val="auto"/>
              </w:rPr>
            </w:pPr>
          </w:p>
        </w:tc>
      </w:tr>
      <w:tr>
        <w:trPr>
          <w:trHeight w:val="175"/>
        </w:trPr>
        <w:tc>
          <w:tcPr>
            <w:tcW w:w="8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payments for taxes, net of tax refunds received</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10,388</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-1842135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-955040</wp:posOffset>
            </wp:positionV>
            <wp:extent cx="939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-955040</wp:posOffset>
            </wp:positionV>
            <wp:extent cx="939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-479425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9"/>
                <w:szCs w:val="9"/>
                <w:b w:val="1"/>
                <w:bCs w:val="1"/>
                <w:color w:val="auto"/>
                <w:w w:val="95"/>
              </w:rPr>
              <w:t>Principal</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235"/>
              <w:spacing w:after="0"/>
              <w:rPr>
                <w:sz w:val="20"/>
                <w:szCs w:val="20"/>
                <w:color w:val="auto"/>
              </w:rPr>
            </w:pPr>
            <w:r>
              <w:rPr>
                <w:rFonts w:ascii="Times New Roman" w:cs="Times New Roman" w:eastAsia="Times New Roman" w:hAnsi="Times New Roman"/>
                <w:sz w:val="9"/>
                <w:szCs w:val="9"/>
                <w:b w:val="1"/>
                <w:bCs w:val="1"/>
                <w:color w:val="auto"/>
              </w:rPr>
              <w:t>Fair</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6"/>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700" w:type="dxa"/>
            <w:vAlign w:val="bottom"/>
            <w:tcBorders>
              <w:bottom w:val="single" w:sz="8" w:color="CFF0FC"/>
            </w:tcBorders>
            <w:gridSpan w:val="2"/>
            <w:shd w:val="clear" w:color="auto" w:fill="CFF0FC"/>
          </w:tcPr>
          <w:p>
            <w:pPr>
              <w:spacing w:after="0"/>
              <w:rPr>
                <w:sz w:val="9"/>
                <w:szCs w:val="9"/>
                <w:color w:val="auto"/>
              </w:rPr>
            </w:pPr>
          </w:p>
        </w:tc>
        <w:tc>
          <w:tcPr>
            <w:tcW w:w="1820" w:type="dxa"/>
            <w:vAlign w:val="bottom"/>
            <w:tcBorders>
              <w:bottom w:val="single" w:sz="8" w:color="CFF0FC"/>
            </w:tcBorders>
            <w:shd w:val="clear" w:color="auto" w:fill="CFF0FC"/>
          </w:tcPr>
          <w:p>
            <w:pPr>
              <w:spacing w:after="0"/>
              <w:rPr>
                <w:sz w:val="9"/>
                <w:szCs w:val="9"/>
                <w:color w:val="auto"/>
              </w:rPr>
            </w:pPr>
          </w:p>
        </w:tc>
        <w:tc>
          <w:tcPr>
            <w:tcW w:w="140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spacing w:after="0"/>
              <w:rPr>
                <w:sz w:val="9"/>
                <w:szCs w:val="9"/>
                <w:color w:val="auto"/>
              </w:rPr>
            </w:pPr>
          </w:p>
        </w:tc>
      </w:tr>
      <w:tr>
        <w:trPr>
          <w:trHeight w:val="115"/>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10.00%/3.00%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8/30/2024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5,226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5,222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7/3/2014</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8/30/2019</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2"/>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7/1/2020</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1,023</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6,832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r>
      <w:tr>
        <w:trPr>
          <w:trHeight w:val="155"/>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8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6,832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03"/>
        </w:trPr>
        <w:tc>
          <w:tcPr>
            <w:tcW w:w="9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140" w:type="dxa"/>
            <w:vAlign w:val="bottom"/>
            <w:tcBorders>
              <w:top w:val="single" w:sz="8" w:color="CFF0FC"/>
            </w:tcBorders>
          </w:tcPr>
          <w:p>
            <w:pPr>
              <w:spacing w:after="0"/>
              <w:rPr>
                <w:sz w:val="8"/>
                <w:szCs w:val="8"/>
                <w:color w:val="auto"/>
              </w:rPr>
            </w:pPr>
          </w:p>
        </w:tc>
        <w:tc>
          <w:tcPr>
            <w:tcW w:w="1820" w:type="dxa"/>
            <w:vAlign w:val="bottom"/>
            <w:tcBorders>
              <w:top w:val="single" w:sz="8" w:color="CFF0FC"/>
            </w:tcBorders>
          </w:tcPr>
          <w:p>
            <w:pPr>
              <w:spacing w:after="0"/>
              <w:rPr>
                <w:sz w:val="8"/>
                <w:szCs w:val="8"/>
                <w:color w:val="auto"/>
              </w:rPr>
            </w:pPr>
          </w:p>
        </w:tc>
        <w:tc>
          <w:tcPr>
            <w:tcW w:w="1400" w:type="dxa"/>
            <w:vAlign w:val="bottom"/>
            <w:tcBorders>
              <w:top w:val="single" w:sz="8" w:color="CFF0FC"/>
            </w:tcBorders>
          </w:tcPr>
          <w:p>
            <w:pPr>
              <w:spacing w:after="0"/>
              <w:rPr>
                <w:sz w:val="8"/>
                <w:szCs w:val="8"/>
                <w:color w:val="auto"/>
              </w:rPr>
            </w:pPr>
          </w:p>
        </w:tc>
        <w:tc>
          <w:tcPr>
            <w:tcW w:w="9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r>
      <w:tr>
        <w:trPr>
          <w:trHeight w:val="108"/>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8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r>
      <w:tr>
        <w:trPr>
          <w:trHeight w:val="115"/>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12/31/2027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9,602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9,602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9,602</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5,690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6,491</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7,113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8,608</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22,405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24,701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315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1,954</w:t>
            </w:r>
          </w:p>
        </w:tc>
        <w:tc>
          <w:tcPr>
            <w:tcW w:w="720" w:type="dxa"/>
            <w:vAlign w:val="bottom"/>
            <w:shd w:val="clear" w:color="auto" w:fill="CFF0FC"/>
          </w:tcPr>
          <w:p>
            <w:pPr>
              <w:spacing w:after="0"/>
              <w:rPr>
                <w:sz w:val="10"/>
                <w:szCs w:val="10"/>
                <w:color w:val="auto"/>
              </w:rPr>
            </w:pPr>
          </w:p>
        </w:tc>
      </w:tr>
      <w:tr>
        <w:trPr>
          <w:trHeight w:val="122"/>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4/12/2011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2,258</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6,720</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2,573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8,674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Products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(2,550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3/29/2013</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30,977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+ 6.00%)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11.60%/0.00%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2/12/2021</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2/11/2026</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15,000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14,964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14,048</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8/25/2021</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1,204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(38,493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12/16/2022</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2,609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(6,783 units)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7/10/2023</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(4,663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9/16/2022</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472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(18,204 units) (j)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5/22/2024</w:t>
            </w:r>
          </w:p>
        </w:tc>
        <w:tc>
          <w:tcPr>
            <w:tcW w:w="7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1,846</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1,846</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21,781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15,894</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11/12/2015</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3,501</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48,014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83,747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03"/>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82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r>
      <w:tr>
        <w:trPr>
          <w:trHeight w:val="108"/>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15"/>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(k)(at)</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10,372</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10,337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9,686</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(j)(aa)</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+ 6.75%)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8.95%/0.00%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7/30/2021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3,191</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3,191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3,191</w:t>
            </w:r>
          </w:p>
        </w:tc>
        <w:tc>
          <w:tcPr>
            <w:tcW w:w="720" w:type="dxa"/>
            <w:vAlign w:val="bottom"/>
            <w:shd w:val="clear" w:color="auto" w:fill="CFF0FC"/>
          </w:tcPr>
          <w:p>
            <w:pPr>
              <w:spacing w:after="0"/>
              <w:rPr>
                <w:sz w:val="10"/>
                <w:szCs w:val="10"/>
                <w:color w:val="auto"/>
              </w:rPr>
            </w:pPr>
          </w:p>
        </w:tc>
      </w:tr>
      <w:tr>
        <w:trPr>
          <w:trHeight w:val="122"/>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266</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14,528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13,143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301 Edison Holdings Inc. (dba LGG Industrial)</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Specialty Distribution</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11.75%/1.50%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11/14/2023</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11/13/2028</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11,642</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11,641</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(519,244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11/14/2023</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1,001</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12,642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+ 7.75%)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13.31%/0.00%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5,431</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5,424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5,431</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+ 7.75%)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13.31%/0.00%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12,344</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12,313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12,344</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+ 7.75%)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13.31%/0.00%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1,000</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373</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10/6/2021</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2"/>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(77,016 shares)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9/26/2022</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88</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143</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19,325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19,291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Ad Info Parent, Inc. (dba MediaRadar)</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11.73%/0.00%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11/1/2023</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9/16/2029</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12,438</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12,375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12,438</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Revolving Loan ($1,442 unfunded commitment) (i)(j)</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11.73%/0.00%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11/1/2023</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9/16/2029</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(7 )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(1,250,000 units) (j)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11/1/2023</w:t>
            </w:r>
          </w:p>
        </w:tc>
        <w:tc>
          <w:tcPr>
            <w:tcW w:w="7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1,250</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1,128</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13,618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13,566</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Aldinger Company</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(k)(ae)</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+ 6.25%)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11.55%/0.00%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6/30/2023</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6/29/2029</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22,389</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22,181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23,116</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(12,504 units)</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6/30/2023</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1,151</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(12,861 units)</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6/30/2023</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1,286</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1,286</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23,721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25,553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0.00%/15.00%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3/2/2020</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9/2/2026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12,556</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12,510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11,125</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7/21/2017</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637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39</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11/24/2021</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32</w:t>
            </w:r>
          </w:p>
        </w:tc>
        <w:tc>
          <w:tcPr>
            <w:tcW w:w="720" w:type="dxa"/>
            <w:vAlign w:val="bottom"/>
            <w:shd w:val="clear" w:color="auto" w:fill="CFF0FC"/>
          </w:tcPr>
          <w:p>
            <w:pPr>
              <w:spacing w:after="0"/>
              <w:rPr>
                <w:sz w:val="10"/>
                <w:szCs w:val="10"/>
                <w:color w:val="auto"/>
              </w:rPr>
            </w:pPr>
          </w:p>
        </w:tc>
      </w:tr>
      <w:tr>
        <w:trPr>
          <w:trHeight w:val="122"/>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(524,624units)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8/3/2023</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45</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74</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13,214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11,270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Environmental Industries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+ 6.50%)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12.06%/0.00%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3/31/2025</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22,218</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22,101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21,777</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+ 6.50%)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9.56%/0.00%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6/28/2021</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3/31/2025</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328</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15.00%/0.00%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3/28/2024</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3/31/2025</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5,864</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5,864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5,747</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5/31/2018</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8/6/2019</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11/2/2020</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12/29/2021</w:t>
            </w:r>
          </w:p>
        </w:tc>
        <w:tc>
          <w:tcPr>
            <w:tcW w:w="7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97</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29,313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27,852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AmeriWater, LLC</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11.58%/0.00%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7/8/2027</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7,568</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7,539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7,568</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7.00%/7.00%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1/8/2028</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2,299</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2,293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2,299</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 units) (h)(j)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7/8/2022</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1,125</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10,832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10,992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AOM Intermediate Holdco, LLC (dba AllOver Media)</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(1,232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2/1/2022</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1,372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1,627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99"/>
        </w:trPr>
        <w:tc>
          <w:tcPr>
            <w:tcW w:w="2620" w:type="dxa"/>
            <w:vAlign w:val="bottom"/>
            <w:tcBorders>
              <w:left w:val="single" w:sz="8" w:color="CFF0FC"/>
            </w:tcBorders>
            <w:gridSpan w:val="3"/>
            <w:shd w:val="clear" w:color="auto" w:fill="CFF0FC"/>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APM Intermediate Holdings, LLC (dba Artistic Paver Manufacturing,</w:t>
            </w:r>
          </w:p>
        </w:tc>
        <w:tc>
          <w:tcPr>
            <w:tcW w:w="182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r>
      <w:tr>
        <w:trPr>
          <w:trHeight w:val="117"/>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Inc.)</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+ 7.00%)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11/8/2022</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11/8/2027</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18,200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18,109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18,080</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(1,200 units) (h)(j)</w:t>
            </w:r>
          </w:p>
        </w:tc>
        <w:tc>
          <w:tcPr>
            <w:tcW w:w="18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11/8/2022</w:t>
            </w:r>
          </w:p>
        </w:tc>
        <w:tc>
          <w:tcPr>
            <w:tcW w:w="7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1,200</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1,021</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19,309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19,101</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(am)</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(P + 5.50%) / (3.25%)</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14.00%/0.85%</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10/1/2026</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7,680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7,646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7,757</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0.00%/14.50%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12/31/2026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728</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726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735</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10/1/2021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147</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8,872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8,639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Bad Boy Mowers JV Acquisition, LLC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Consumer Products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(k)</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9.00%/4.50%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11/9/2023</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11/9/2030</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13,386</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13,312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13,386</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(13,000 units) (j)</w:t>
            </w:r>
          </w:p>
        </w:tc>
        <w:tc>
          <w:tcPr>
            <w:tcW w:w="1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11/9/2023</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1,300</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1,382</w:t>
            </w:r>
          </w:p>
        </w:tc>
        <w:tc>
          <w:tcPr>
            <w:tcW w:w="72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14,612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14,768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Barefoot Mosquito and Pest Control, LLC</w:t>
            </w:r>
          </w:p>
        </w:tc>
        <w:tc>
          <w:tcPr>
            <w:tcW w:w="182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Consumer Services</w:t>
            </w: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(S + 7.00%) / (2.00%)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12.30%/0.00%</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12/22/2023</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12/22/2029</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36,000</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35,798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36,000</w:t>
            </w:r>
          </w:p>
        </w:tc>
        <w:tc>
          <w:tcPr>
            <w:tcW w:w="720" w:type="dxa"/>
            <w:vAlign w:val="bottom"/>
            <w:shd w:val="clear" w:color="auto" w:fill="CFF0FC"/>
          </w:tcPr>
          <w:p>
            <w:pPr>
              <w:spacing w:after="0"/>
              <w:rPr>
                <w:sz w:val="10"/>
                <w:szCs w:val="10"/>
                <w:color w:val="auto"/>
              </w:rPr>
            </w:pPr>
          </w:p>
        </w:tc>
      </w:tr>
      <w:tr>
        <w:trPr>
          <w:trHeight w:val="121"/>
        </w:trPr>
        <w:tc>
          <w:tcPr>
            <w:tcW w:w="262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Revolving Loan ($1,500 unfunded commitment) (i)(j)</w:t>
            </w:r>
          </w:p>
        </w:tc>
        <w:tc>
          <w:tcPr>
            <w:tcW w:w="1820" w:type="dxa"/>
            <w:vAlign w:val="bottom"/>
          </w:tcPr>
          <w:p>
            <w:pPr>
              <w:spacing w:after="0"/>
              <w:rPr>
                <w:sz w:val="10"/>
                <w:szCs w:val="10"/>
                <w:color w:val="auto"/>
              </w:rPr>
            </w:pPr>
          </w:p>
        </w:tc>
        <w:tc>
          <w:tcPr>
            <w:tcW w:w="1400" w:type="dxa"/>
            <w:vAlign w:val="bottom"/>
          </w:tcPr>
          <w:p>
            <w:pPr>
              <w:ind w:left="420"/>
              <w:spacing w:after="0"/>
              <w:rPr>
                <w:sz w:val="20"/>
                <w:szCs w:val="20"/>
                <w:color w:val="auto"/>
              </w:rPr>
            </w:pPr>
            <w:r>
              <w:rPr>
                <w:rFonts w:ascii="Times New Roman" w:cs="Times New Roman" w:eastAsia="Times New Roman" w:hAnsi="Times New Roman"/>
                <w:sz w:val="9"/>
                <w:szCs w:val="9"/>
                <w:color w:val="auto"/>
              </w:rPr>
              <w:t>(S + 7.00%)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12.30%/0.00%</w:t>
            </w:r>
          </w:p>
        </w:tc>
        <w:tc>
          <w:tcPr>
            <w:tcW w:w="80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12/22/2023</w:t>
            </w:r>
          </w:p>
        </w:tc>
        <w:tc>
          <w:tcPr>
            <w:tcW w:w="7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12/22/2029</w:t>
            </w:r>
          </w:p>
        </w:tc>
        <w:tc>
          <w:tcPr>
            <w:tcW w:w="220" w:type="dxa"/>
            <w:vAlign w:val="bottom"/>
          </w:tcPr>
          <w:p>
            <w:pPr>
              <w:spacing w:after="0"/>
              <w:rPr>
                <w:sz w:val="10"/>
                <w:szCs w:val="10"/>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62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(4,091 units) (h)(j)</w:t>
            </w:r>
          </w:p>
        </w:tc>
        <w:tc>
          <w:tcPr>
            <w:tcW w:w="18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12/22/2023</w:t>
            </w: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27</w:t>
            </w:r>
          </w:p>
        </w:tc>
        <w:tc>
          <w:tcPr>
            <w:tcW w:w="720" w:type="dxa"/>
            <w:vAlign w:val="bottom"/>
            <w:shd w:val="clear" w:color="auto" w:fill="CFF0F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-7646035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-7628890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-7646035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-7628890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-5905500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-5905500</wp:posOffset>
            </wp:positionV>
            <wp:extent cx="3943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-5588635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-5588635</wp:posOffset>
            </wp:positionV>
            <wp:extent cx="3943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-3676650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-3676650</wp:posOffset>
            </wp:positionV>
            <wp:extent cx="3943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-2108200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-2108200</wp:posOffset>
            </wp:positionV>
            <wp:extent cx="3943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-1104900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-1104900</wp:posOffset>
            </wp:positionV>
            <wp:extent cx="3943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496"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17"/>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(15,443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12/22/2023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1,544</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1,603</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37,342</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37,630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11.75%/0.00%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11/17/2021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11/17/2028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18,333</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18,215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18,333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Specialty Distribution</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3/12/2019</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477</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361</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BP Thrift Buyer, LLC (dba myUnique and Ecothrift)</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Retail</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+ 5.75%) / (1.50%)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11.05%/0.00%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9/13/2022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9/13/2027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20,000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19,703</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20,000</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+ 5.75%) / (1.50%)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8.80%/0.00%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5/12/2023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9/13/2027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1,873</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1,873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1,873</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 units) (j)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9/13/2022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960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1,215</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22,536</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23,088</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BurgerFi International, LLC (dba BurgerFi) (ad)</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Restaurants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(14,201 units) (j)(ao)</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11/3/2022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521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3</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(9,787 units) (j)(ao)</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11/3/2022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49</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245</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570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248</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+ 6.50%) / (0.75%)</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12.06%/0.00%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8/10/2026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11,664</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11,631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11,664</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125</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2"/>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8/10/2021</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125</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291</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11,881</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11,955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5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Choice Technology Solutions, LLC (dba Choice Merchant Solutions,</w:t>
            </w:r>
          </w:p>
        </w:tc>
        <w:tc>
          <w:tcPr>
            <w:tcW w:w="3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17"/>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+ 7.25%) / (1.00%)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12.80%/0.00%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4/1/2027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9,500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9,474</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9,500</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+ 6.25%) / (1.00%)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11.80%/0.00%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4/1/2027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(500,000 units) (h)(j)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8/21/2023</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545</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9,974</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10,045</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CIH Intermediate,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(k)</w:t>
            </w:r>
          </w:p>
        </w:tc>
        <w:tc>
          <w:tcPr>
            <w:tcW w:w="3300" w:type="dxa"/>
            <w:vAlign w:val="bottom"/>
          </w:tcPr>
          <w:p>
            <w:pPr>
              <w:spacing w:after="0"/>
              <w:rPr>
                <w:sz w:val="10"/>
                <w:szCs w:val="1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10.00%/1.00%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3/3/2028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13,962</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13,878</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13,962</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(563 shares)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1,934</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(563 shares) (j)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3/3/2022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957</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14,678</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16,853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(868,922 units)</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2,575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2,319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(574,929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32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CTM Group, Inc. (dba Venuplus, Inc.)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+ 6.75%) / (1.00%)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12.25%/0.25%</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2/28/2023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11/30/2026</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7,902</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7,798</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7,902</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w:t>
            </w:r>
          </w:p>
        </w:tc>
        <w:tc>
          <w:tcPr>
            <w:tcW w:w="3300" w:type="dxa"/>
            <w:vAlign w:val="bottom"/>
          </w:tcPr>
          <w:p>
            <w:pPr>
              <w:spacing w:after="0"/>
              <w:rPr>
                <w:sz w:val="10"/>
                <w:szCs w:val="1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11.50%/2.25%</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2/28/2023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11/30/2027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2,055</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2,037</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1,931</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(400,000 units)</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2/28/2023</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189</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10,235</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10,022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300" w:type="dxa"/>
            <w:vAlign w:val="bottom"/>
          </w:tcPr>
          <w:p>
            <w:pPr>
              <w:spacing w:after="0"/>
              <w:rPr>
                <w:sz w:val="10"/>
                <w:szCs w:val="1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11.00%/2.00%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12/30/2022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11/23/2027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22,127</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22,092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22,317</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1,420</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23,592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23,737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Dealerbuilt Acquisition,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(ac)</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+ 5.75%) / (4.00%)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11.05%/1.00%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7/21/2026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13,287</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13,220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13,287</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7.50%/7.50%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7/21/2023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1/21/2027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5,370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5,347</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5,370</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(1,000 Units) (h)(j)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7/21/2023</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933</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19,567</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19,590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Detechtion Holdings,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+ 5.75%) / (2.25%)</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11.05%/2.00%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6/21/2023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6/21/2028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17,869</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17,786</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17,869</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0.00%/14.00%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6/21/2023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6/21/2028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2,309</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2,300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2,309</w:t>
            </w:r>
          </w:p>
        </w:tc>
        <w:tc>
          <w:tcPr>
            <w:tcW w:w="720" w:type="dxa"/>
            <w:vAlign w:val="bottom"/>
            <w:shd w:val="clear" w:color="auto" w:fill="CFF0FC"/>
          </w:tcPr>
          <w:p>
            <w:pPr>
              <w:spacing w:after="0"/>
              <w:rPr>
                <w:sz w:val="10"/>
                <w:szCs w:val="10"/>
                <w:color w:val="auto"/>
              </w:rPr>
            </w:pPr>
          </w:p>
        </w:tc>
      </w:tr>
      <w:tr>
        <w:trPr>
          <w:trHeight w:val="122"/>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6/21/2023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533</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20,586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20,711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+ 7.25%) / (1.00%)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12.85%/0.00%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9/30/2025</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24,155</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24,104</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24,155</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2/7/2019</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552</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284</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24,656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24,439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Donovan Food Brokerage,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+ 6.50%) / (2.00%)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11.80%/0.00%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2/23/2024</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2/23/2029</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14,700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14,642</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14,642</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+ 6.50%) / (2.00%)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11.80%/0.00%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2/23/2024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2/23/2029</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(5 )</w:t>
            </w:r>
          </w:p>
        </w:tc>
        <w:tc>
          <w:tcPr>
            <w:tcW w:w="10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units) (j)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2/23/2024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500</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15,137</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15,142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Education Incites, LLC (dba Acceleration Academies)</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300" w:type="dxa"/>
            <w:vAlign w:val="bottom"/>
          </w:tcPr>
          <w:p>
            <w:pPr>
              <w:spacing w:after="0"/>
              <w:rPr>
                <w:sz w:val="10"/>
                <w:szCs w:val="1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12.75%/0.00%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10/31/2022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10/29/2027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6,000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5,980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6,120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Consumer Products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12.25%/0.00%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12/31/2024</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2,025</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2,021</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2,025</w:t>
            </w:r>
          </w:p>
        </w:tc>
        <w:tc>
          <w:tcPr>
            <w:tcW w:w="720" w:type="dxa"/>
            <w:vAlign w:val="bottom"/>
            <w:shd w:val="clear" w:color="auto" w:fill="CFF0FC"/>
          </w:tcPr>
          <w:p>
            <w:pPr>
              <w:spacing w:after="0"/>
              <w:rPr>
                <w:sz w:val="10"/>
                <w:szCs w:val="10"/>
                <w:color w:val="auto"/>
              </w:rPr>
            </w:pPr>
          </w:p>
        </w:tc>
      </w:tr>
      <w:tr>
        <w:trPr>
          <w:trHeight w:val="122"/>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(j)</w:t>
            </w:r>
          </w:p>
        </w:tc>
        <w:tc>
          <w:tcPr>
            <w:tcW w:w="3300" w:type="dxa"/>
            <w:vAlign w:val="bottom"/>
          </w:tcPr>
          <w:p>
            <w:pPr>
              <w:spacing w:after="0"/>
              <w:rPr>
                <w:sz w:val="10"/>
                <w:szCs w:val="10"/>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12.25%/0.00%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12/31/2020</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12/31/2024</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1,500</w:t>
            </w: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1,499</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1,500</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3,520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3,525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Enterprise Asset Management FM Purchaser, Inc. (dba MCIM)</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+ 5.75%) / (2.00%)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11.08%/2.00%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5/20/2024</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5/20/2029</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17,040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16,957</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16,957</w:t>
            </w:r>
          </w:p>
        </w:tc>
        <w:tc>
          <w:tcPr>
            <w:tcW w:w="720" w:type="dxa"/>
            <w:vAlign w:val="bottom"/>
            <w:shd w:val="clear" w:color="auto" w:fill="CFF0FC"/>
          </w:tcPr>
          <w:p>
            <w:pPr>
              <w:spacing w:after="0"/>
              <w:rPr>
                <w:sz w:val="10"/>
                <w:szCs w:val="10"/>
                <w:color w:val="auto"/>
              </w:rPr>
            </w:pPr>
          </w:p>
        </w:tc>
      </w:tr>
      <w:tr>
        <w:trPr>
          <w:trHeight w:val="122"/>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(551,470 units) (j)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5/20/2024</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750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750</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17,707</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17,707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Fishbowl Solutions,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(ar)</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+ 7.75%) / (1.00%)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13.31%/0.00%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3/25/2022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3/25/2027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13,993</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13,933</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13,993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(548 shares) (j)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2/1/2024</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230</w:t>
            </w:r>
          </w:p>
        </w:tc>
        <w:tc>
          <w:tcPr>
            <w:tcW w:w="720" w:type="dxa"/>
            <w:vAlign w:val="bottom"/>
          </w:tcPr>
          <w:p>
            <w:pPr>
              <w:spacing w:after="0"/>
              <w:rPr>
                <w:sz w:val="10"/>
                <w:szCs w:val="10"/>
                <w:color w:val="auto"/>
              </w:rPr>
            </w:pPr>
          </w:p>
        </w:tc>
      </w:tr>
      <w:tr>
        <w:trPr>
          <w:trHeight w:val="122"/>
        </w:trPr>
        <w:tc>
          <w:tcPr>
            <w:tcW w:w="2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(1,556 shares) (j)</w:t>
            </w:r>
          </w:p>
        </w:tc>
        <w:tc>
          <w:tcPr>
            <w:tcW w:w="330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9/21/2018</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156</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342</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296</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572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GMP HVAC, LLC (dba McGee Heating &amp; Air,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Utilities: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+ 7.00%) / (2.00%)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12.30%/0.00%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12/8/2028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16,993</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16,903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16,993</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($1,500 unfunded commitment) (i)(j)</w:t>
            </w:r>
          </w:p>
        </w:tc>
        <w:tc>
          <w:tcPr>
            <w:tcW w:w="330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9"/>
                <w:szCs w:val="9"/>
                <w:color w:val="auto"/>
              </w:rPr>
              <w:t>(S + 7.00%) / (2.00%)</w:t>
            </w: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12.30%/0.00%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12/8/2028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(8 )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(1,314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1,314</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1,430</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18,209</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18,423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Component Manufacturing</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1/22/2021</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516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584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+ 13.00%) / (0.00%)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18.50%/0.00%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12/17/2021</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12/17/2024</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11,675</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11,664</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11,675</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12/19/2017</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572</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5,381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Healthcare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300" w:type="dxa"/>
            <w:vAlign w:val="bottom"/>
          </w:tcPr>
          <w:p>
            <w:pPr>
              <w:ind w:left="2280"/>
              <w:spacing w:after="0"/>
              <w:rPr>
                <w:sz w:val="20"/>
                <w:szCs w:val="20"/>
                <w:color w:val="auto"/>
              </w:rPr>
            </w:pPr>
            <w:r>
              <w:rPr>
                <w:rFonts w:ascii="Times New Roman" w:cs="Times New Roman" w:eastAsia="Times New Roman" w:hAnsi="Times New Roman"/>
                <w:sz w:val="9"/>
                <w:szCs w:val="9"/>
                <w:color w:val="auto"/>
              </w:rPr>
              <w:t>(S + 8.25%) / (2.00%)</w:t>
            </w:r>
          </w:p>
        </w:tc>
        <w:tc>
          <w:tcPr>
            <w:tcW w:w="9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13.83%/0.00%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10/11/2024</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5,385</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5,382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5,385</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10/11/2019</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630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(89 units) (h)(j)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6/26/2023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89</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153</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6,101</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5,540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Healthcare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(3,645,752 units)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3,646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4,316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Healthcare Services</w:t>
            </w: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11/13/2020</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739</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2,386</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Promotional products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12.50%/1.00%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4/25/2023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6/30/2028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20,242</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20,010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20,241</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(5,837 units)</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3/23/2016</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367</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1,631</w:t>
            </w:r>
          </w:p>
        </w:tc>
        <w:tc>
          <w:tcPr>
            <w:tcW w:w="720" w:type="dxa"/>
            <w:vAlign w:val="bottom"/>
          </w:tcPr>
          <w:p>
            <w:pPr>
              <w:spacing w:after="0"/>
              <w:rPr>
                <w:sz w:val="10"/>
                <w:szCs w:val="10"/>
                <w:color w:val="auto"/>
              </w:rPr>
            </w:pPr>
          </w:p>
        </w:tc>
      </w:tr>
      <w:tr>
        <w:trPr>
          <w:trHeight w:val="122"/>
        </w:trPr>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(637 units) (j)</w:t>
            </w: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102</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178</w:t>
            </w:r>
          </w:p>
        </w:tc>
        <w:tc>
          <w:tcPr>
            <w:tcW w:w="720" w:type="dxa"/>
            <w:vAlign w:val="bottom"/>
            <w:shd w:val="clear" w:color="auto" w:fill="CFF0FC"/>
          </w:tcPr>
          <w:p>
            <w:pPr>
              <w:spacing w:after="0"/>
              <w:rPr>
                <w:sz w:val="10"/>
                <w:szCs w:val="10"/>
                <w:color w:val="auto"/>
              </w:rPr>
            </w:pPr>
          </w:p>
        </w:tc>
      </w:tr>
      <w:tr>
        <w:trPr>
          <w:trHeight w:val="121"/>
        </w:trPr>
        <w:tc>
          <w:tcPr>
            <w:tcW w:w="25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10/16/2020</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154</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387</w:t>
            </w:r>
          </w:p>
        </w:tc>
        <w:tc>
          <w:tcPr>
            <w:tcW w:w="720" w:type="dxa"/>
            <w:vAlign w:val="bottom"/>
          </w:tcPr>
          <w:p>
            <w:pPr>
              <w:spacing w:after="0"/>
              <w:rPr>
                <w:sz w:val="10"/>
                <w:szCs w:val="10"/>
                <w:color w:val="auto"/>
              </w:rPr>
            </w:pPr>
          </w:p>
        </w:tc>
      </w:tr>
      <w:tr>
        <w:trPr>
          <w:trHeight w:val="115"/>
        </w:trPr>
        <w:tc>
          <w:tcPr>
            <w:tcW w:w="2580" w:type="dxa"/>
            <w:vAlign w:val="bottom"/>
            <w:shd w:val="clear" w:color="auto" w:fill="CFF0FC"/>
          </w:tcPr>
          <w:p>
            <w:pPr>
              <w:spacing w:after="0"/>
              <w:rPr>
                <w:sz w:val="10"/>
                <w:szCs w:val="10"/>
                <w:color w:val="auto"/>
              </w:rPr>
            </w:pPr>
          </w:p>
        </w:tc>
        <w:tc>
          <w:tcPr>
            <w:tcW w:w="3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20,633</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22,437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0"/>
        </w:trPr>
        <w:tc>
          <w:tcPr>
            <w:tcW w:w="25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Business Services</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-8305165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-8305165</wp:posOffset>
            </wp:positionV>
            <wp:extent cx="3943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-7988300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-7988300</wp:posOffset>
            </wp:positionV>
            <wp:extent cx="3943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-7139305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-7139305</wp:posOffset>
            </wp:positionV>
            <wp:extent cx="3943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-5887720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-5887720</wp:posOffset>
            </wp:positionV>
            <wp:extent cx="3943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-5570855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-5570855</wp:posOffset>
            </wp:positionV>
            <wp:extent cx="3943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-5099050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-5099050</wp:posOffset>
            </wp:positionV>
            <wp:extent cx="3943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-3993515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-3993515</wp:posOffset>
            </wp:positionV>
            <wp:extent cx="394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-2578735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-2578735</wp:posOffset>
            </wp:positionV>
            <wp:extent cx="3943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170" w:right="339" w:bottom="349"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1"/>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6/20/2018</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Informatics Holdings, Inc. (dba Wasp Barcode Technologies)</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(j)(v)</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+ 6.50%) / (2.50%)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11.83%/0.00%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5/1/2024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3/7/2029</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9,000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8,985</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8,984</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(1,000,000 units) (j)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3/7/2024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1,000</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9,985</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9,984</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+ 7.50%)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12.98%/0.00%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11,123</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11,086</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11,123</w:t>
            </w: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+ 7.50%)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9.48%/0.00%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4/5/2026</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11,759</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11,759</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11,752</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4/5/2021</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479</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23,345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23,354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Janus Health Technologies, Inc.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1/3/2024</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1/3/2028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5,000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4,980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5,000</w:t>
            </w: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6/3/2025</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2,500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2,492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2,500</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(68,361 units)</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1,500</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8,972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9,000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Consumer Products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12/8/2017</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933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37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+ 5.75%) / (2.00%)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11.31%/0.00%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4/1/2026</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4,329</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4,314</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4,329</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4/1/2021</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1,353</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5,314</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5,682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3/19/2021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4/7/2028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16,000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15,967</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15,967</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(108 shares)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6/7/2024</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595</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595</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16,562</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16,562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Magenta Buyer LLC (dba Trellix)</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+ 8.25%) / (0.75%)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13.84%/0.00%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7/19/2022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7/27/2029</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7,182</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6,891</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2,721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MBS Opco, LLC (dba Marketron)</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+ 8.50%) / (1.50%)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14.06%/0.00%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9/29/2022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9/28/2026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27,000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26,924</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27,000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3"/>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MDME Holding Corp.</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11.73%/0.00%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8/31/2023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8/3/2027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11,834</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11,758</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11,834</w:t>
            </w: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(4,735 units) (j)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(12,500 units)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9/18/2023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1,250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812</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13,008</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12,646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6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w w:val="99"/>
              </w:rPr>
              <w:t>Micronics Filtration Holdings, Inc. (dba Micronics Engineered Filtration</w:t>
            </w: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17"/>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Group, Inc.)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(k)(as)</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+ 5.25%) / (0.50%)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10.81%/0.00%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2/17/2022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2/17/2027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30,000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29,316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30,000</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(14,400 units)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2/17/2022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1,440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5,747</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30,756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35,747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(P + 4.00%) / (3.25%)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12.50%/0.00%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11/18/2021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11/18/2025</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15,869</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15,827</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15,869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NWS Technologies,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Utilities: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(u)</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+ 8.00%) / (2.50%)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13.30%/0.00%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6/20/2023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6/16/2028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17,000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16,798</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16,904</w:t>
            </w: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 unit) (h)(j)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6/20/2023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1,125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976</w:t>
            </w: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(0.375 units) (h)(j)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6/20/2023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375</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398</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18,298</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18,278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OnePath Systems, LLC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(s)</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+ 7.50%)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9/30/2022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9/30/2027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11,000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10,946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11,000</w:t>
            </w:r>
          </w:p>
        </w:tc>
        <w:tc>
          <w:tcPr>
            <w:tcW w:w="72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(732,542 shares)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9/30/2022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1,049</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11,446</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12,049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11/3/2016</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265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722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Oil &amp; Gas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10.00%/0.00%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6/30/2027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10,350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10,305</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10,350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Utilities: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(5,461 units) (h)(j)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9/21/2021</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545</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793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+ 8.25%)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13.71%/0.00%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11/22/2025</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5,500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5,481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5,500</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11/25/2019</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661</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6,381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6,161</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Puget Collision,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Retail</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(j)(av)</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+ 7.00%) / (2.00%)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12.45%/0.00%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1/4/2029</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22,232</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21,989</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21,989</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(299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1/4/2024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774</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774</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22,763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22,763</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QED Technologies International, Inc.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(q)</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+ 5.75%) / (1.50%)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11.05%/0.50%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3/1/2028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15,551</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15,456</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15,551</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(140 shares) (j)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2/28/2023</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1,402</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2,416</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16,858</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17,967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Quantum IR Technologies,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3/19/2024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12/20/2026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12,000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11,960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11,960</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(12,183 shares) (j)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3/19/2024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2,400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2,400</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14,360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14,360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Quest Software US Holdings Inc.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+ 7.50%) / (0.50%)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12.98%/0.00%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2/1/2030</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20,000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19,494</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14,300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R1 Holdings, LLC (dba RoadOne IntermodaLogistics)</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Transportation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11.59%/0.00%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12/30/2022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12/30/2028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6,311</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6,148</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6,311</w:t>
            </w: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8.75%/5.00%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12/30/2022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6/30/2029</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1,438</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1,403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1,438</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(280,000 units) (j)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12/30/2022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280</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248</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7,831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7,997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R.F. Fager Company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12.75%/0.00%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8/4/2030</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14,000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13,925</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13,925</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(12,500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1,235</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1,235</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15,160</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15,160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 (n)</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(10,915 units) (h)(j)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8/11/2017</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197</w:t>
            </w: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(Units N/A) (h) (j)</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13</w:t>
            </w: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F Units) (710 units) (h)(j)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12/10/2020</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210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 (n)</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9/18/2018</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19</w:t>
            </w: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(97 units) (j)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2/3/2023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2</w:t>
            </w:r>
          </w:p>
        </w:tc>
        <w:tc>
          <w:tcPr>
            <w:tcW w:w="72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ServicePower, Inc.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(k)(au)</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+ 8.00%) / (3.25%)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13.30%/0.00%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3/15/2024</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3/15/2028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21,000</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20,710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20,709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 (n)</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9/8/2016</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Sonicwall US Holdings, Inc.</w:t>
            </w:r>
          </w:p>
        </w:tc>
        <w:tc>
          <w:tcPr>
            <w:tcW w:w="3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+ 7.50%) / (0.00%)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12.98%/0.00%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9/6/2022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5/18/2026</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3,581</w:t>
            </w:r>
          </w:p>
        </w:tc>
        <w:tc>
          <w:tcPr>
            <w:tcW w:w="6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3,430</w:t>
            </w:r>
          </w:p>
        </w:tc>
        <w:tc>
          <w:tcPr>
            <w:tcW w:w="7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3,427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0.00%/12.00%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10/29/2021</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16,000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15,933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5,012</w:t>
            </w:r>
          </w:p>
        </w:tc>
        <w:tc>
          <w:tcPr>
            <w:tcW w:w="72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(56,382 units) (h)(j)</w:t>
            </w:r>
          </w:p>
        </w:tc>
        <w:tc>
          <w:tcPr>
            <w:tcW w:w="31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12/1/2021</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836</w:t>
            </w:r>
          </w:p>
        </w:tc>
        <w:tc>
          <w:tcPr>
            <w:tcW w:w="10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16,769</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5,012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Tedia Company, LLC</w:t>
            </w: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Healthcare Products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160" w:type="dxa"/>
            <w:vAlign w:val="bottom"/>
          </w:tcPr>
          <w:p>
            <w:pPr>
              <w:ind w:left="2180"/>
              <w:spacing w:after="0"/>
              <w:rPr>
                <w:sz w:val="20"/>
                <w:szCs w:val="20"/>
                <w:color w:val="auto"/>
              </w:rPr>
            </w:pPr>
            <w:r>
              <w:rPr>
                <w:rFonts w:ascii="Times New Roman" w:cs="Times New Roman" w:eastAsia="Times New Roman" w:hAnsi="Times New Roman"/>
                <w:sz w:val="9"/>
                <w:szCs w:val="9"/>
                <w:color w:val="auto"/>
              </w:rPr>
              <w:t>(S + 8.75%)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14.31%/0.00%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3/4/2027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15,600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15,553</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15,600</w:t>
            </w:r>
          </w:p>
        </w:tc>
        <w:tc>
          <w:tcPr>
            <w:tcW w:w="72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($2,250 unfunded commitment) (j)(i)</w:t>
            </w:r>
          </w:p>
        </w:tc>
        <w:tc>
          <w:tcPr>
            <w:tcW w:w="3160" w:type="dxa"/>
            <w:vAlign w:val="bottom"/>
            <w:shd w:val="clear" w:color="auto" w:fill="CFF0FC"/>
          </w:tcPr>
          <w:p>
            <w:pPr>
              <w:ind w:left="2180"/>
              <w:spacing w:after="0"/>
              <w:rPr>
                <w:sz w:val="20"/>
                <w:szCs w:val="20"/>
                <w:color w:val="auto"/>
              </w:rPr>
            </w:pPr>
            <w:r>
              <w:rPr>
                <w:rFonts w:ascii="Times New Roman" w:cs="Times New Roman" w:eastAsia="Times New Roman" w:hAnsi="Times New Roman"/>
                <w:sz w:val="9"/>
                <w:szCs w:val="9"/>
                <w:color w:val="auto"/>
              </w:rPr>
              <w:t>(S + 8.75%) / (1.00%)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14.31%/0.00%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3/4/2027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(12 )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r>
      <w:tr>
        <w:trPr>
          <w:trHeight w:val="120"/>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1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7.75%/7.75%</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9/4/2027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2,970</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2,961</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3,242</w:t>
            </w:r>
          </w:p>
        </w:tc>
        <w:tc>
          <w:tcPr>
            <w:tcW w:w="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-8853805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-8853805</wp:posOffset>
            </wp:positionV>
            <wp:extent cx="3943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-8065135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-8065135</wp:posOffset>
            </wp:positionV>
            <wp:extent cx="3943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-4010660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-4010660</wp:posOffset>
            </wp:positionV>
            <wp:extent cx="3943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-3693160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-3693160</wp:posOffset>
            </wp:positionV>
            <wp:extent cx="394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-3376295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-3376295</wp:posOffset>
            </wp:positionV>
            <wp:extent cx="3943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-3058795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-3058795</wp:posOffset>
            </wp:positionV>
            <wp:extent cx="3943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-2433320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-2433320</wp:posOffset>
            </wp:positionV>
            <wp:extent cx="3943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-2115820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-2115820</wp:posOffset>
            </wp:positionV>
            <wp:extent cx="3943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-393065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-393065</wp:posOffset>
            </wp:positionV>
            <wp:extent cx="3943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165" w:right="339" w:bottom="349"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1"/>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(1,000 units) (h)(j)</w:t>
            </w: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1,000</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713</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19,502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19,555</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Tiger Calcium Services Inc. (aq)</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Transportation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 (ao)</w:t>
            </w:r>
          </w:p>
        </w:tc>
        <w:tc>
          <w:tcPr>
            <w:tcW w:w="324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12.50%/0.00%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12/21/2022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5/31/2025</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12,477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12,500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spacing w:after="0"/>
              <w:rPr>
                <w:sz w:val="10"/>
                <w:szCs w:val="10"/>
                <w:color w:val="auto"/>
              </w:rPr>
            </w:pP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2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4/3/2018</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655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2,340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4/1/2012</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3/5/2012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564</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1,455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US Fertility Enterprises, LLC</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Healthcare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4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4.00%/9.75%</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5/19/2023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6/1/2028</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14,434</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14,140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14,434</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spacing w:after="0"/>
              <w:rPr>
                <w:sz w:val="10"/>
                <w:szCs w:val="10"/>
                <w:color w:val="auto"/>
              </w:rPr>
            </w:pP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USG AS Holdings, LLC</w:t>
            </w:r>
          </w:p>
        </w:tc>
        <w:tc>
          <w:tcPr>
            <w:tcW w:w="32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Utilities: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(S + 8.50%) / (2.50%)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13.95%/0.00%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2/23/2023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2/23/2028</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10,000</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9,927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10,000</w:t>
            </w: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(Units N/A) (j)</w:t>
            </w: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2/21/2023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455</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619</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shd w:val="clear" w:color="auto" w:fill="CFF0FC"/>
          </w:tcPr>
          <w:p>
            <w:pPr>
              <w:spacing w:after="0"/>
              <w:rPr>
                <w:sz w:val="10"/>
                <w:szCs w:val="10"/>
                <w:color w:val="auto"/>
              </w:rPr>
            </w:pP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10,382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10,619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 (n)</w:t>
            </w:r>
          </w:p>
        </w:tc>
        <w:tc>
          <w:tcPr>
            <w:tcW w:w="32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12/19/2014</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Virtex Enterprises, LP</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(y)</w:t>
            </w:r>
          </w:p>
        </w:tc>
        <w:tc>
          <w:tcPr>
            <w:tcW w:w="32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(S + 0.00%) / (2.50%)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5.44%/9.75%</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4/13/2022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6/30/2026</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11,002</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5,563</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w:t>
            </w:r>
          </w:p>
        </w:tc>
        <w:tc>
          <w:tcPr>
            <w:tcW w:w="3240" w:type="dxa"/>
            <w:vAlign w:val="bottom"/>
            <w:tcBorders>
              <w:bottom w:val="single" w:sz="8" w:color="CFF0FC"/>
            </w:tcBorders>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(S + 4.00%) / (2.50%)</w:t>
            </w:r>
          </w:p>
        </w:tc>
        <w:tc>
          <w:tcPr>
            <w:tcW w:w="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9.44%/0.00%</w:t>
            </w: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9/20/2023</w:t>
            </w:r>
          </w:p>
        </w:tc>
        <w:tc>
          <w:tcPr>
            <w:tcW w:w="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12/31/2025</w:t>
            </w:r>
          </w:p>
        </w:tc>
        <w:tc>
          <w:tcPr>
            <w:tcW w:w="760" w:type="dxa"/>
            <w:vAlign w:val="bottom"/>
            <w:tcBorders>
              <w:bottom w:val="single" w:sz="8" w:color="CFF0FC"/>
            </w:tcBorders>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360</w:t>
            </w: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358</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321</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11,264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5,884</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W50 Holdings, LLC</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Business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24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12.50%/0.00%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3/22/2024</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3/24/2031</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12,350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12,350</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(Units N/A) ($100 unfunded commitment) (j)</w:t>
            </w: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3/21/2024</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900</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900</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13,250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13,250</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White Label Communication, LLC</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(S + 6.25%)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11.59%/0.00%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10/11/2023</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10/11/2029</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17,413</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17,326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17,413</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(536 units) (h)(j)</w:t>
            </w: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10/11/2023</w:t>
            </w: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(5,000 units) (h)(j)</w:t>
            </w: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10/11/2023</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499</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shd w:val="clear" w:color="auto" w:fill="CFF0FC"/>
          </w:tcPr>
          <w:p>
            <w:pPr>
              <w:spacing w:after="0"/>
              <w:rPr>
                <w:sz w:val="10"/>
                <w:szCs w:val="10"/>
                <w:color w:val="auto"/>
              </w:rPr>
            </w:pP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17,826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17,912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2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Specialty Distribution</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(S + 6.00%) / (6.00%)</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12.00%/5.00%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12/13/2023</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6/13/2027</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2,057</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2,031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2,057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(k)(z)</w:t>
            </w:r>
          </w:p>
        </w:tc>
        <w:tc>
          <w:tcPr>
            <w:tcW w:w="32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(S + 7.00%)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12.61%/0.00%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2/10/2021</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9/30/2024</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8,316</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8,306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8,316</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spacing w:after="0"/>
              <w:rPr>
                <w:sz w:val="10"/>
                <w:szCs w:val="10"/>
                <w:color w:val="auto"/>
              </w:rPr>
            </w:pPr>
          </w:p>
        </w:tc>
        <w:tc>
          <w:tcPr>
            <w:tcW w:w="3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2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Transportation services</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2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(S + 7.00%) / (0.75%)</w:t>
            </w:r>
          </w:p>
        </w:tc>
        <w:tc>
          <w:tcPr>
            <w:tcW w:w="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12.60%/0.00%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8/2/2021</w:t>
            </w:r>
          </w:p>
        </w:tc>
        <w:tc>
          <w:tcPr>
            <w:tcW w:w="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7/26/2029</w:t>
            </w:r>
          </w:p>
        </w:tc>
        <w:tc>
          <w:tcPr>
            <w:tcW w:w="7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27,497</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26,645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27,158</w:t>
            </w: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(795,000 units) (j)</w:t>
            </w: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7/21/2021</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775</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7/26/2021</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225</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606</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27,665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28,539</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c>
          <w:tcPr>
            <w:tcW w:w="0" w:type="dxa"/>
            <w:vAlign w:val="bottom"/>
          </w:tcPr>
          <w:p>
            <w:pPr>
              <w:spacing w:after="0"/>
              <w:rPr>
                <w:sz w:val="1"/>
                <w:szCs w:val="1"/>
                <w:color w:val="auto"/>
              </w:rPr>
            </w:pPr>
          </w:p>
        </w:tc>
      </w:tr>
      <w:tr>
        <w:trPr>
          <w:trHeight w:val="12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Zonkd, LLC</w:t>
            </w:r>
          </w:p>
        </w:tc>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Component Manufacturing</w:t>
            </w:r>
          </w:p>
        </w:tc>
        <w:tc>
          <w:tcPr>
            <w:tcW w:w="9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2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(S + 9.00%) / (1.00%)</w:t>
            </w:r>
          </w:p>
        </w:tc>
        <w:tc>
          <w:tcPr>
            <w:tcW w:w="9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15.60%/0.00%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3/18/2022</w:t>
            </w:r>
          </w:p>
        </w:tc>
        <w:tc>
          <w:tcPr>
            <w:tcW w:w="8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3/18/2027</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4,000</w:t>
            </w:r>
          </w:p>
        </w:tc>
        <w:tc>
          <w:tcPr>
            <w:tcW w:w="10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3,875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4,000</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(4,987 units) (h)(j)</w:t>
            </w: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3/18/2022</w:t>
            </w: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154</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642</w:t>
            </w: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4,029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4,642</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c>
          <w:tcPr>
            <w:tcW w:w="0" w:type="dxa"/>
            <w:vAlign w:val="bottom"/>
          </w:tcPr>
          <w:p>
            <w:pPr>
              <w:spacing w:after="0"/>
              <w:rPr>
                <w:sz w:val="1"/>
                <w:szCs w:val="1"/>
                <w:color w:val="auto"/>
              </w:rPr>
            </w:pPr>
          </w:p>
        </w:tc>
      </w:tr>
      <w:tr>
        <w:trPr>
          <w:trHeight w:val="122"/>
        </w:trPr>
        <w:tc>
          <w:tcPr>
            <w:tcW w:w="2600" w:type="dxa"/>
            <w:vAlign w:val="bottom"/>
            <w:tcBorders>
              <w:bottom w:val="single" w:sz="8" w:color="CFF0FC"/>
            </w:tcBorders>
            <w:shd w:val="clear" w:color="auto" w:fill="CFF0FC"/>
          </w:tcPr>
          <w:p>
            <w:pPr>
              <w:spacing w:after="0"/>
              <w:rPr>
                <w:sz w:val="10"/>
                <w:szCs w:val="10"/>
                <w:color w:val="auto"/>
              </w:rPr>
            </w:pPr>
          </w:p>
        </w:tc>
        <w:tc>
          <w:tcPr>
            <w:tcW w:w="32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1,003,139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994,677</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0" w:type="dxa"/>
            <w:vAlign w:val="bottom"/>
            <w:tcBorders>
              <w:bottom w:val="single" w:sz="8" w:color="CFF0FC"/>
            </w:tcBorders>
            <w:shd w:val="clear" w:color="auto" w:fill="CFF0FC"/>
          </w:tcPr>
          <w:p>
            <w:pPr>
              <w:spacing w:after="0"/>
              <w:rPr>
                <w:sz w:val="8"/>
                <w:szCs w:val="8"/>
                <w:color w:val="auto"/>
              </w:rPr>
            </w:pPr>
          </w:p>
        </w:tc>
        <w:tc>
          <w:tcPr>
            <w:tcW w:w="324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78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1,057,985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99"/>
              </w:rPr>
              <w:t>1,078,424</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0" w:type="dxa"/>
            <w:vAlign w:val="bottom"/>
            <w:shd w:val="clear" w:color="auto" w:fill="CFF0FC"/>
          </w:tcPr>
          <w:p>
            <w:pPr>
              <w:spacing w:after="0"/>
              <w:rPr>
                <w:sz w:val="8"/>
                <w:szCs w:val="8"/>
                <w:color w:val="auto"/>
              </w:rPr>
            </w:pPr>
          </w:p>
        </w:tc>
        <w:tc>
          <w:tcPr>
            <w:tcW w:w="32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Money market funds (included in cash and cash equivalents)</w:t>
            </w:r>
          </w:p>
        </w:tc>
        <w:tc>
          <w:tcPr>
            <w:tcW w:w="3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shd w:val="clear" w:color="auto" w:fill="CFF0FC"/>
          </w:tcPr>
          <w:p>
            <w:pPr>
              <w:ind w:left="160"/>
              <w:spacing w:after="0" w:line="100" w:lineRule="exact"/>
              <w:rPr>
                <w:sz w:val="20"/>
                <w:szCs w:val="20"/>
                <w:color w:val="auto"/>
              </w:rPr>
            </w:pPr>
            <w:r>
              <w:rPr>
                <w:rFonts w:ascii="Times New Roman" w:cs="Times New Roman" w:eastAsia="Times New Roman" w:hAnsi="Times New Roman"/>
                <w:sz w:val="9"/>
                <w:szCs w:val="9"/>
                <w:color w:val="auto"/>
              </w:rPr>
              <w:t>Goldman Sachs Financial Square Treasury Obligation Institution</w:t>
            </w:r>
          </w:p>
        </w:tc>
        <w:tc>
          <w:tcPr>
            <w:tcW w:w="32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44,839</w:t>
            </w:r>
          </w:p>
        </w:tc>
        <w:tc>
          <w:tcPr>
            <w:tcW w:w="1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vMerge w:val="restart"/>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44,839</w:t>
            </w:r>
          </w:p>
        </w:tc>
        <w:tc>
          <w:tcPr>
            <w:tcW w:w="7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CUSIP (38141W323) (ad)</w:t>
            </w:r>
          </w:p>
        </w:tc>
        <w:tc>
          <w:tcPr>
            <w:tcW w:w="324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52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520" w:type="dxa"/>
            <w:vAlign w:val="bottom"/>
            <w:tcBorders>
              <w:bottom w:val="single" w:sz="8" w:color="auto"/>
            </w:tcBorders>
            <w:vMerge w:val="continue"/>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7 %</w:t>
            </w:r>
          </w:p>
        </w:tc>
        <w:tc>
          <w:tcPr>
            <w:tcW w:w="0" w:type="dxa"/>
            <w:vAlign w:val="bottom"/>
          </w:tcPr>
          <w:p>
            <w:pPr>
              <w:spacing w:after="0"/>
              <w:rPr>
                <w:sz w:val="1"/>
                <w:szCs w:val="1"/>
                <w:color w:val="auto"/>
              </w:rPr>
            </w:pPr>
          </w:p>
        </w:tc>
      </w:tr>
      <w:tr>
        <w:trPr>
          <w:trHeight w:val="114"/>
        </w:trPr>
        <w:tc>
          <w:tcPr>
            <w:tcW w:w="2600" w:type="dxa"/>
            <w:vAlign w:val="bottom"/>
          </w:tcPr>
          <w:p>
            <w:pPr>
              <w:ind w:left="240"/>
              <w:spacing w:after="0"/>
              <w:rPr>
                <w:sz w:val="20"/>
                <w:szCs w:val="20"/>
                <w:color w:val="auto"/>
              </w:rPr>
            </w:pPr>
            <w:r>
              <w:rPr>
                <w:rFonts w:ascii="Times New Roman" w:cs="Times New Roman" w:eastAsia="Times New Roman" w:hAnsi="Times New Roman"/>
                <w:sz w:val="9"/>
                <w:szCs w:val="9"/>
                <w:b w:val="1"/>
                <w:bCs w:val="1"/>
                <w:color w:val="auto"/>
              </w:rPr>
              <w:t>Total money market funds</w:t>
            </w:r>
          </w:p>
        </w:tc>
        <w:tc>
          <w:tcPr>
            <w:tcW w:w="3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44,839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44,839</w:t>
            </w: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 and Money Market Funds</w:t>
            </w:r>
          </w:p>
        </w:tc>
        <w:tc>
          <w:tcPr>
            <w:tcW w:w="324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FF0FC"/>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rPr>
              <w:t>1,102,824</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FF0FC"/>
          </w:tcPr>
          <w:p>
            <w:pPr>
              <w:jc w:val="right"/>
              <w:ind w:right="95"/>
              <w:spacing w:after="0" w:line="102" w:lineRule="exact"/>
              <w:rPr>
                <w:sz w:val="20"/>
                <w:szCs w:val="20"/>
                <w:color w:val="auto"/>
              </w:rPr>
            </w:pPr>
            <w:r>
              <w:rPr>
                <w:rFonts w:ascii="Times New Roman" w:cs="Times New Roman" w:eastAsia="Times New Roman" w:hAnsi="Times New Roman"/>
                <w:sz w:val="9"/>
                <w:szCs w:val="9"/>
                <w:color w:val="auto"/>
                <w:w w:val="99"/>
              </w:rPr>
              <w:t>1,123,263</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-4722495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-4722495</wp:posOffset>
            </wp:positionV>
            <wp:extent cx="3943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-3942715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-3942715</wp:posOffset>
            </wp:positionV>
            <wp:extent cx="3943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-2845435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-2845435</wp:posOffset>
            </wp:positionV>
            <wp:extent cx="3943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-2528570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-2528570</wp:posOffset>
            </wp:positionV>
            <wp:extent cx="394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-1276350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-1276350</wp:posOffset>
            </wp:positionV>
            <wp:extent cx="3943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-959485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-959485</wp:posOffset>
            </wp:positionV>
            <wp:extent cx="3943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-796290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-796290</wp:posOffset>
            </wp:positionV>
            <wp:extent cx="3943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-607695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-607695</wp:posOffset>
            </wp:positionV>
            <wp:extent cx="3943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-213995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-213995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3 to the consolidated financial statements for portfolio composition by geographic location.</w:t>
      </w:r>
    </w:p>
    <w:p>
      <w:pPr>
        <w:spacing w:after="0" w:line="7" w:lineRule="exact"/>
        <w:rPr>
          <w:rFonts w:ascii="Times New Roman" w:cs="Times New Roman" w:eastAsia="Times New Roman" w:hAnsi="Times New Roman"/>
          <w:sz w:val="11"/>
          <w:szCs w:val="11"/>
          <w:color w:val="auto"/>
        </w:rPr>
      </w:pPr>
    </w:p>
    <w:p>
      <w:pPr>
        <w:ind w:right="34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ownership may be held in shares or units of companies related to the portfolio companies. The Company’s investments are generally classified as “restricted securities”, unless otherwise noted, as such term is defined under Rule 6-03(f) under Regulation S-X or Rule 144 under the Securities Act of 1933, as amended. As of June 30, 2024, the Company held restricted securities with an aggregate fair value of $1,078,176, or 167% of the Company's net assets.</w:t>
      </w: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debt investments are income producing, unless otherwise indicated. Equity investments are non-income producing unless otherwise noted.</w:t>
      </w:r>
    </w:p>
    <w:p>
      <w:pPr>
        <w:ind w:right="10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June 30, 2024.</w:t>
      </w: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June 30, 2024. Generally, payment-in-kind interest can be paid-in-kind or all in cash.</w:t>
      </w:r>
    </w:p>
    <w:p>
      <w:pPr>
        <w:ind w:left="140" w:hanging="132"/>
        <w:spacing w:after="0" w:line="230" w:lineRule="auto"/>
        <w:tabs>
          <w:tab w:leader="none" w:pos="1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ind w:right="30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ind w:right="100" w:firstLine="8"/>
        <w:spacing w:after="0" w:line="230"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June 30, 2024. The Company is earning 0.50% interest on the unfunded balance of the commitment. The interest rate disclosed represents the rate which will be earned if the commitment is funded.</w:t>
      </w:r>
    </w:p>
    <w:p>
      <w:pPr>
        <w:ind w:right="260" w:firstLine="8"/>
        <w:spacing w:after="0" w:line="230"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portion of the investment not held by Fidus Mezzanine Capital II, LP or Fidus Mezzanine Capital III, LP, each a wholly owned subsidiary of the Company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80" w:firstLine="8"/>
        <w:spacing w:after="0" w:line="230"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00" w:hanging="192"/>
        <w:spacing w:after="0"/>
        <w:tabs>
          <w:tab w:leader="none" w:pos="20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Warrants entitle the Company to purchase a predetermined number of shares or units of common equity, and are non-income producing. The purchase price and number of shares are subject to adjustment under certain conditions until the expiration date, if</w:t>
      </w:r>
    </w:p>
    <w:p>
      <w:pPr>
        <w:spacing w:after="0" w:line="6" w:lineRule="exact"/>
        <w:rPr>
          <w:rFonts w:ascii="Times New Roman" w:cs="Times New Roman" w:eastAsia="Times New Roman" w:hAnsi="Times New Roman"/>
          <w:sz w:val="10"/>
          <w:szCs w:val="10"/>
          <w:color w:val="auto"/>
        </w:rPr>
      </w:pPr>
    </w:p>
    <w:p>
      <w:pPr>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any.</w:t>
      </w:r>
    </w:p>
    <w:p>
      <w:pPr>
        <w:ind w:left="160" w:hanging="152"/>
        <w:spacing w:after="0" w:line="230"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right="30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6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4.66%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35"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41"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2.12%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8"/>
        <w:spacing w:after="0" w:line="230" w:lineRule="auto"/>
        <w:tabs>
          <w:tab w:leader="none" w:pos="12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46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firstLine="8"/>
        <w:spacing w:after="0" w:line="230" w:lineRule="auto"/>
        <w:tabs>
          <w:tab w:leader="none" w:pos="177"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June 30, 2024. The Company is earning 1.00% interest on the unfunded balance of the commitment. The interest rate disclosed represents the rate earned on the outstanding, funded balance of the commitment.</w:t>
      </w:r>
    </w:p>
    <w:p>
      <w:pPr>
        <w:ind w:right="460" w:firstLine="8"/>
        <w:spacing w:after="0" w:line="230" w:lineRule="auto"/>
        <w:tabs>
          <w:tab w:leader="none" w:pos="153"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60" w:hanging="152"/>
        <w:spacing w:after="0" w:line="236" w:lineRule="auto"/>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non-accrual status as of 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0" w:name="page11"/>
    <w:bookmarkEnd w:id="10"/>
    <w:p>
      <w:pPr>
        <w:ind w:right="360" w:firstLine="8"/>
        <w:spacing w:after="0" w:line="241" w:lineRule="auto"/>
        <w:tabs>
          <w:tab w:leader="none" w:pos="147"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firstLine="8"/>
        <w:spacing w:after="0" w:line="230" w:lineRule="auto"/>
        <w:tabs>
          <w:tab w:leader="none" w:pos="195"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(ab) In addition to the interest earned based on the stated interest rate of this security, the Company is entitled to receive an additional interest amount of 9.54%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 In addition to the interest earned based on the stated interest rate of this security, the Company is entitled to receive an additional cash interest amount of 1.82% and PIK interest amount of 1.66%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 This investment is classified as a Level 1 investment. For further detail on the fair value measurements, see Note 4 to the consolidated financial statements.</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(ae) In addition to the interest earned based on the stated interest rate of this security, the Company is entitled to receive an additional interest amount of 1.88%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(af)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 In addition to the interest earned based on the stated interest rate of this security, the Company is entitled to receive an additional interest amount of 4.09%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(ai)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(aj) In addition to the interest earned based on the stated interest rate of this security, the Company is entitled to receive an additional interest amount of 4.73%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 In addition to the interest earned based on the stated interest rate of this security, the Company is entitled to receive an additional interest amount of 4.94%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8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 In addition to the interest earned based on the stated interest rate of this security, the Company is entitled to receive an additional interest amount of 3.17%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 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June 30, 2024, total non-qualifying assets at fair value represented 1.11% of the Company's total assets calculated in accordance with the 1940 Act.</w:t>
      </w:r>
    </w:p>
    <w:p>
      <w:pPr>
        <w:ind w:right="8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(aq) The headquarters of this portfolio company is located in Canada.</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(ar) In addition to the interest earned based on the stated interest rate of this security, the Company is entitled to receive an additional interest amount of 3.12%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 In addition to the interest earned based on the stated interest rate of this security, the Company is entitled to receive an additional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0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 In addition to the interest earned based on the stated interest rate of this security, the Company is entitled to receive an additional interest amount of 0.77%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i w:val="1"/>
          <w:iCs w:val="1"/>
          <w:color w:val="auto"/>
        </w:rPr>
        <w:t>See Notes to Consolidated Financial Statements (unaudited).</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2"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 (a)(b)</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Variable Index</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Rate (e)</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7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Percent of</w:t>
            </w:r>
          </w:p>
        </w:tc>
      </w:tr>
      <w:tr>
        <w:trPr>
          <w:trHeight w:val="151"/>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Type (c)</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Spread / Floor (d)</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Cash/PIK</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Date (f)</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Value (g)</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Net Assets</w:t>
            </w:r>
          </w:p>
        </w:tc>
      </w:tr>
      <w:tr>
        <w:trPr>
          <w:trHeight w:val="146"/>
        </w:trPr>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Control Investments (t)</w:t>
            </w:r>
          </w:p>
        </w:tc>
        <w:tc>
          <w:tcPr>
            <w:tcW w:w="1560" w:type="dxa"/>
            <w:vAlign w:val="bottom"/>
            <w:tcBorders>
              <w:bottom w:val="single" w:sz="8" w:color="CFF0FC"/>
            </w:tcBorders>
            <w:gridSpan w:val="3"/>
            <w:shd w:val="clear" w:color="auto" w:fill="CFF0FC"/>
          </w:tcPr>
          <w:p>
            <w:pPr>
              <w:spacing w:after="0"/>
              <w:rPr>
                <w:sz w:val="11"/>
                <w:szCs w:val="11"/>
                <w:color w:val="auto"/>
              </w:rPr>
            </w:pPr>
          </w:p>
        </w:tc>
        <w:tc>
          <w:tcPr>
            <w:tcW w:w="19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US GreenFiber, LLC (n)</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Building Products Manufacturing</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Second Lien Debt (j)(y)</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10.00%/3.00%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7/3/2014</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8/30/2024</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5,226</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5,223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(2,522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7/3/2014</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(425,508 units)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8/30/2019</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(1,022,813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7/1/2020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 Investments</w:t>
            </w:r>
          </w:p>
        </w:tc>
        <w:tc>
          <w:tcPr>
            <w:tcW w:w="19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6,832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29"/>
        </w:trPr>
        <w:tc>
          <w:tcPr>
            <w:tcW w:w="2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920" w:type="dxa"/>
            <w:vAlign w:val="bottom"/>
            <w:tcBorders>
              <w:top w:val="single" w:sz="8" w:color="CFF0FC"/>
            </w:tcBorders>
          </w:tcPr>
          <w:p>
            <w:pPr>
              <w:spacing w:after="0"/>
              <w:rPr>
                <w:sz w:val="11"/>
                <w:szCs w:val="11"/>
                <w:color w:val="auto"/>
              </w:rPr>
            </w:pPr>
          </w:p>
        </w:tc>
        <w:tc>
          <w:tcPr>
            <w:tcW w:w="134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auto"/>
            </w:tcBorders>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Affiliate Investments (l)</w:t>
            </w:r>
          </w:p>
        </w:tc>
        <w:tc>
          <w:tcPr>
            <w:tcW w:w="1540" w:type="dxa"/>
            <w:vAlign w:val="bottom"/>
            <w:tcBorders>
              <w:bottom w:val="single" w:sz="8" w:color="CFF0FC"/>
            </w:tcBorders>
            <w:gridSpan w:val="2"/>
            <w:shd w:val="clear" w:color="auto" w:fill="CFF0FC"/>
          </w:tcPr>
          <w:p>
            <w:pPr>
              <w:spacing w:after="0"/>
              <w:rPr>
                <w:sz w:val="11"/>
                <w:szCs w:val="11"/>
                <w:color w:val="auto"/>
              </w:rPr>
            </w:pPr>
          </w:p>
        </w:tc>
        <w:tc>
          <w:tcPr>
            <w:tcW w:w="19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r>
      <w:tr>
        <w:trPr>
          <w:trHeight w:val="119"/>
        </w:trPr>
        <w:tc>
          <w:tcPr>
            <w:tcW w:w="2660" w:type="dxa"/>
            <w:vAlign w:val="bottom"/>
            <w:gridSpan w:val="5"/>
          </w:tcPr>
          <w:p>
            <w:pPr>
              <w:ind w:left="20"/>
              <w:spacing w:after="0" w:line="120" w:lineRule="exact"/>
              <w:rPr>
                <w:sz w:val="20"/>
                <w:szCs w:val="20"/>
                <w:color w:val="auto"/>
              </w:rPr>
            </w:pPr>
            <w:r>
              <w:rPr>
                <w:rFonts w:ascii="Times New Roman" w:cs="Times New Roman" w:eastAsia="Times New Roman" w:hAnsi="Times New Roman"/>
                <w:sz w:val="11"/>
                <w:szCs w:val="11"/>
                <w:i w:val="1"/>
                <w:iCs w:val="1"/>
                <w:color w:val="auto"/>
                <w:w w:val="97"/>
              </w:rPr>
              <w:t>Applegate Greenfiber Intermediate Inc. (fka US GreenFiber,</w:t>
            </w:r>
          </w:p>
        </w:tc>
        <w:tc>
          <w:tcPr>
            <w:tcW w:w="1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6"/>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LLC)</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Building Products Manufacturing</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Subordinated Debt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10.00%/0.00%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12/31/2021</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12/31/2027</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9,602</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9,602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9,602</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(5,690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12/31/2021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(7,113 units) (h)(j)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12/31/2021</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8,280</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(2,012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12/31/2021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22,405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24,590</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Medsurant Holdings, LLC</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Healthcare Services</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(84,997 units) (h)(j)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4/12/2011</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Warrant (252,588 units) (h)(j)(m)</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4/12/2011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2,902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5,930</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Pfanstiehl, Inc.</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Healthcare Products</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(2,550 units)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3/29/2013</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33,321</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Spectra A&amp;D Acquisition, Inc. (fka FDS Avionics Corp.)</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Aerospace &amp; Defense Manufacturing</w:t>
            </w: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(k)(ag)</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+ 5.75%)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11.36%/0.00%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2/12/2021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2/11/2026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(12,035 units)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8/25/2021</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(38,493 units) (j)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12/16/2022</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(6,783 units)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7/10/2023</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(4,663 units) (j)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9/16/2022</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19,923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15,321</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Steward Holding LLC (dba Steward Advanced Materials)</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Aerospace &amp; Defense Manufacturing</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(1,000,000 units)</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11/12/2015</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4,714</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Affiliate Investments</w:t>
            </w:r>
          </w:p>
        </w:tc>
        <w:tc>
          <w:tcPr>
            <w:tcW w:w="19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46,485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83,876</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14 %</w:t>
            </w:r>
          </w:p>
        </w:tc>
      </w:tr>
      <w:tr>
        <w:trPr>
          <w:trHeight w:val="129"/>
        </w:trPr>
        <w:tc>
          <w:tcPr>
            <w:tcW w:w="2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920" w:type="dxa"/>
            <w:vAlign w:val="bottom"/>
            <w:tcBorders>
              <w:top w:val="single" w:sz="8" w:color="CFF0FC"/>
            </w:tcBorders>
          </w:tcPr>
          <w:p>
            <w:pPr>
              <w:spacing w:after="0"/>
              <w:rPr>
                <w:sz w:val="11"/>
                <w:szCs w:val="11"/>
                <w:color w:val="auto"/>
              </w:rPr>
            </w:pPr>
          </w:p>
        </w:tc>
        <w:tc>
          <w:tcPr>
            <w:tcW w:w="134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gridSpan w:val="3"/>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Non-control/Non-affiliate Investments</w:t>
            </w:r>
          </w:p>
        </w:tc>
        <w:tc>
          <w:tcPr>
            <w:tcW w:w="880" w:type="dxa"/>
            <w:vAlign w:val="bottom"/>
            <w:tcBorders>
              <w:bottom w:val="single" w:sz="8" w:color="CFF0FC"/>
            </w:tcBorders>
            <w:shd w:val="clear" w:color="auto" w:fill="CFF0FC"/>
          </w:tcPr>
          <w:p>
            <w:pPr>
              <w:spacing w:after="0"/>
              <w:rPr>
                <w:sz w:val="11"/>
                <w:szCs w:val="11"/>
                <w:color w:val="auto"/>
              </w:rPr>
            </w:pPr>
          </w:p>
        </w:tc>
        <w:tc>
          <w:tcPr>
            <w:tcW w:w="19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2KDirect, Inc. (dba iPromote)</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First Lien Debt (k)(at)</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 + 7.25%) / (0.50%)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12.80%/0.00%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6/25/2021</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6/25/2026</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10,772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(j)(aa)</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+ 7.25%) / (0.50%)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9.05%/0.00%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7/30/2021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6/25/2026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(1,000,000 units)</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6/25/2021</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301 Edison Holdings Inc. (dba LGG Industrial)</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Specialty Distribution</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11.75%/1.50%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11/14/2023</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11/13/2028</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(518,135 units) (j)</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11/14/2023</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Acendre Midco, Inc.</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(j)</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+ 7.75%) / (0.50%)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13.41%/0.00%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10/6/2021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10/6/2026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First Lien Debt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 + 7.75%) / (0.50%)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13.41%/0.00%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10/6/2021</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10/6/2026</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12,406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12,369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12,406</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Revolving Loan ($250 unfunded commitment) (i)(j)</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+ 7.75%) / (0.50%)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13.41%/0.00%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10/6/2021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10/6/2026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(500,000 shares)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10/6/2021</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Warrant (150,000 shares) (j)(m)</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10/6/2021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(77,016 shares) (j)</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9/26/2022</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Ad Info Parent, Inc. (dba MediaRadar)</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(j)</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+ 6.25%)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11.75%/0.00%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11/1/2023</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9/16/2029</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Revolving Loan ($1,442 unfunded commitment) (i)(j)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 + 6.25%) / (1.00%)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11.75%/0.00%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11/1/2023</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9/16/2029</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(8 )</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Preferred Equity (1,250,000 units) (j)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11/1/2023</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13,673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13,682</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6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Aldinger Company</w:t>
            </w:r>
          </w:p>
        </w:tc>
        <w:tc>
          <w:tcPr>
            <w:tcW w:w="1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Business Services</w:t>
            </w: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First Lien Debt (ae)</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 + 6.50%) / (2.00%)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11.89%/0.00%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6/30/2023</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6/29/2029</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13,683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13,780</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(7,883 units)</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6/30/2023</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(7,883 units)</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6/30/2023</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788</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788</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Allredi, LLC (fka Marco Group International OpCo, LLC)</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Industrial Cleaning &amp; Coatings</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Second Lien Debt</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5.00%/10.00%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3/2/2020</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9/2/2026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(570,636 units) (h)(j)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7/21/2017</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(39,443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11/24/2021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Common Equity (524,624units) (h)(j)</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8/3/2023</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23"/>
        </w:trPr>
        <w:tc>
          <w:tcPr>
            <w:tcW w:w="2660" w:type="dxa"/>
            <w:vAlign w:val="bottom"/>
            <w:gridSpan w:val="5"/>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i w:val="1"/>
                <w:iCs w:val="1"/>
                <w:color w:val="auto"/>
              </w:rPr>
              <w:t>American AllWaste LLC (dba WasteWater Transport</w:t>
            </w:r>
          </w:p>
        </w:tc>
        <w:tc>
          <w:tcPr>
            <w:tcW w:w="192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1"/>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Services)</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Environmental Industries</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(j)(p)</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+ 6.50%)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12.16%/0.00%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6/28/2021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6/28/2026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First Lien Debt (j)(o)</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(S + 4.00%) / (1.00%)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9.66%/0.00%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6/28/2021</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6/28/2026</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Preferred Equity (500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5/31/2018</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(207 units) (h)(j)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8/6/2019</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Preferred Equity (141 units) (h)(j)</w:t>
            </w:r>
          </w:p>
        </w:tc>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11/2/2020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Preferred Equity (74 units) (h)(j)</w:t>
            </w:r>
          </w:p>
        </w:tc>
        <w:tc>
          <w:tcPr>
            <w:tcW w:w="192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12/29/2021</w:t>
            </w: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19,938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AmeriWater, LLC</w:t>
            </w: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Component Manufacturing</w:t>
            </w: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First Lien Debt (af)</w:t>
            </w:r>
          </w:p>
        </w:tc>
        <w:tc>
          <w:tcPr>
            <w:tcW w:w="1920" w:type="dxa"/>
            <w:vAlign w:val="bottom"/>
          </w:tcPr>
          <w:p>
            <w:pPr>
              <w:spacing w:after="0"/>
              <w:rPr>
                <w:sz w:val="12"/>
                <w:szCs w:val="12"/>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 + 6.25%)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11.60%/0.00%</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7/8/2022</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7/8/2027</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 w:type="dxa"/>
            <w:vAlign w:val="bottom"/>
            <w:shd w:val="clear" w:color="auto" w:fill="CFF0FC"/>
          </w:tcPr>
          <w:p>
            <w:pPr>
              <w:spacing w:after="0"/>
              <w:rPr>
                <w:sz w:val="13"/>
                <w:szCs w:val="13"/>
                <w:color w:val="auto"/>
              </w:rPr>
            </w:pPr>
          </w:p>
        </w:tc>
        <w:tc>
          <w:tcPr>
            <w:tcW w:w="26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Subordinated Debt (j)</w:t>
            </w:r>
          </w:p>
        </w:tc>
        <w:tc>
          <w:tcPr>
            <w:tcW w:w="1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7.00%/7.00%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7/8/2022</w:t>
            </w:r>
          </w:p>
        </w:tc>
        <w:tc>
          <w:tcPr>
            <w:tcW w:w="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1/8/2028</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Common Equity (1,000 units) (h)(j)</w:t>
            </w:r>
          </w:p>
        </w:tc>
        <w:tc>
          <w:tcPr>
            <w:tcW w:w="1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7/8/2022</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-7186295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-7169150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-7186295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-7169150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-4597400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-4580255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-4597400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-4580255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-4005580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-4005580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-3620135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-3620135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-2856865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-2856865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-1896745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-1896745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-1322705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-1322705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-482600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-482600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wp:posOffset>
            </wp:positionV>
            <wp:extent cx="7804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058"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2600" w:type="dxa"/>
            <w:vAlign w:val="bottom"/>
            <w:tcBorders>
              <w:top w:val="single" w:sz="8" w:color="CFF0FC"/>
            </w:tcBorders>
            <w:shd w:val="clear" w:color="auto" w:fill="CFF0FC"/>
          </w:tcPr>
          <w:p>
            <w:pPr>
              <w:spacing w:after="0"/>
              <w:rPr>
                <w:sz w:val="14"/>
                <w:szCs w:val="14"/>
                <w:color w:val="auto"/>
              </w:rPr>
            </w:pPr>
          </w:p>
        </w:tc>
        <w:tc>
          <w:tcPr>
            <w:tcW w:w="332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22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11,036</w:t>
            </w:r>
          </w:p>
        </w:tc>
        <w:tc>
          <w:tcPr>
            <w:tcW w:w="8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AOM Intermediate Holdco, LLC (dba AllOver Media)</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(1,232 units) (h)(j)</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2/1/2022</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19"/>
        </w:trPr>
        <w:tc>
          <w:tcPr>
            <w:tcW w:w="26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i w:val="1"/>
                <w:iCs w:val="1"/>
                <w:color w:val="auto"/>
              </w:rPr>
              <w:t>APM Intermediate Holdings, LLC (dba Artistic Paver</w:t>
            </w:r>
          </w:p>
        </w:tc>
        <w:tc>
          <w:tcPr>
            <w:tcW w:w="33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r>
      <w:tr>
        <w:trPr>
          <w:trHeight w:val="151"/>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Manufacturing, Inc.)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Building Products Manufacturing</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(ai)</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+ 7.00%) / (2.00%)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12.39%/0.00%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11/8/2022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11/8/2027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18,200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18,047</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(1,200 units) (h)(j)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11/8/2022</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19,370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Applied Data Corporation</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(k)(v)</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+ 6.25%) / (1.50%)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11.84%/0.00%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11/6/2020</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11/6/2025</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21,505</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21,505</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(24 units)</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11/6/2020</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1,260</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(1,184,711 units)</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11/6/2020</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22,685</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Auto CRM LLC (dba Dealer Holdings)</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(am)</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(P + 5.50%) / (3.25%)</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14.00%/0.85%</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10/1/2021</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10/1/2026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7,647</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7,647</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0.00%/14.50%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10/1/2021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12/31/2026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677</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(500 units) (j)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10/1/2021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Bad Boy Mowers JV Acquisition, LLC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Consumer Products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(k)</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9.00%/4.50%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11/9/2023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11/9/2030</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13,087</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13,007</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(13,000 units) (j)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11/9/2023</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14,307</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Barefoot Mosquito and Pest Control, LLC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Consumer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(k)</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+ 7.00%) / (2.00%)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12.37%/0.00%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12/22/2023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12/22/2029</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29,000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28,822</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Revolving Loan ($1,500 unfunded commitment) (i)(j)</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+ 7.00%) / (2.00%)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12.37%/0.00%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12/22/2023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12/22/2029</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(3,974 units) (h)(j)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12/22/2023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(15,000 units) (h)(j)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12/22/2023</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30,322</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BCM One Group Holdings, Inc.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11.75%/0.00%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11/17/2021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11/17/2028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18,333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18,333</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0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Bedford Precision Parts LLC</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Specialty Distribution</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(500,000 units) (h)(j)</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3/12/2019</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BP Thrift Buyer, LLC (dba myUnique and Ecothrift)</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Retail</w:t>
            </w: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(j)(al)</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+ 5.75%) / (1.50%)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11.14%/0.00%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9/13/2022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9/13/2027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+ 5.75%) / (1.50%)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8.89%/0.00%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5/12/2023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9/13/2027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1,911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(1,000 units) (j)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9/13/2022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1,432</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22,528</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23,343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BurgerFi International, LLC (dba BurgerFi) (ad)</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Restaurants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(14,201 units) (j)(ao)</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11/3/2022</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(9,787 units) (j)(ao)</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11/3/2022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Cardback Intermediate, LLC (dba Chargeback Gurus)</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(j)(ah)</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+ 6.50%) / (0.75%)</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12.16%/0.00%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8/10/2021</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8/10/2026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11,734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11,693</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11,734</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(495 shares) (j)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8/10/2021</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(495 shares) (j)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8/10/2021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11,977</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23"/>
        </w:trPr>
        <w:tc>
          <w:tcPr>
            <w:tcW w:w="26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i w:val="1"/>
                <w:iCs w:val="1"/>
                <w:color w:val="auto"/>
                <w:w w:val="99"/>
              </w:rPr>
              <w:t>Choice Technology Solutions, LLC (dba Choice Merchant</w:t>
            </w:r>
          </w:p>
        </w:tc>
        <w:tc>
          <w:tcPr>
            <w:tcW w:w="33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r>
      <w:tr>
        <w:trPr>
          <w:trHeight w:val="151"/>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Solutions, LLC)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+ 7.25%)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12.89%/0.00%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4/1/2022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4/1/2027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8,500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8,500</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Revolving Loan ($1,000 unfunded commitment) (i)(j)</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+ 6.25%) / (1.00%)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11.89%/0.00%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4/1/2022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4/1/2027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(500,000 units) (h)(j)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8/21/2023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8,969</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9,188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CIH Intermediate, LLC</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Subordinated Debt (k)</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10.00%/1.00%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3/3/2022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3/3/2028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13,891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13,797</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13,891</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(563 shares) (j)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3/3/2022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1,396</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(563 shares) (j)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3/3/2022</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16,208</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Comply365, LLC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Aerospace &amp; Defense Manufacturing</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(868,922 units)</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12/22/2023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53"/>
        </w:trPr>
        <w:tc>
          <w:tcPr>
            <w:tcW w:w="260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CRS Solutions Holdings, LLC (dba CRS Texas)</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(574,929 units) (h)(j)</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6/28/2022</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9"/>
        </w:trPr>
        <w:tc>
          <w:tcPr>
            <w:tcW w:w="2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CTM Group, Inc.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+ 6.75%)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12.29%/0.00%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2/28/2023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11/30/2026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7,940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7,940</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Subordinated Debt</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11.50%/2.00%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2/28/2023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11/30/2027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2,034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2,014</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(400,000 units)</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2/28/2023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10,230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10,459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Dataguise, Inc.</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11.00%/2.00%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12/30/2022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11/23/2027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21,875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21,835</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21,875</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(909 shares) (j)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12/31/2020</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1,311</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23,335</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23,186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Dealerbuilt Acquisition, LLC</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(ac)</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+ 5.75%) / (4.00%)</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11.15%/1.00%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7/21/2023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7/21/2026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13,130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7.50%/7.50%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7/21/2023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1/21/2027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5,172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5,145</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(1,000 Units) (h)(j)</w:t>
            </w: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7/21/2023</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(1,000 Units) (h)(j)</w:t>
            </w: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7/21/2023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Detechtion Holdings, LLC</w:t>
            </w:r>
          </w:p>
        </w:tc>
        <w:tc>
          <w:tcPr>
            <w:tcW w:w="3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(k)</w:t>
            </w:r>
          </w:p>
        </w:tc>
        <w:tc>
          <w:tcPr>
            <w:tcW w:w="33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+ 5.75%) / (2.25%)</w:t>
            </w:r>
          </w:p>
        </w:tc>
        <w:tc>
          <w:tcPr>
            <w:tcW w:w="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11.14%/2.00%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6/21/2023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6/21/2028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17,689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17,597</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17,689</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0.00%/14.00%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6/21/2023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6/21/2028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2,154</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(500,000 units) (h)(j)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6/21/2023</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20,381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Diversified Search LLC</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(k)(r)</w:t>
            </w:r>
          </w:p>
        </w:tc>
        <w:tc>
          <w:tcPr>
            <w:tcW w:w="332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+ 6.50%) / (1.00%)</w:t>
            </w: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12.11%/0.00%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2/7/2019</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9/30/2025</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24,155</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24,155</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(573 units) (h)(j)</w:t>
            </w:r>
          </w:p>
        </w:tc>
        <w:tc>
          <w:tcPr>
            <w:tcW w:w="33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2/7/2019</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24,591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Education Incites, LLC (dba Acceleration Academies)</w:t>
            </w:r>
          </w:p>
        </w:tc>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w:t>
            </w:r>
          </w:p>
        </w:tc>
        <w:tc>
          <w:tcPr>
            <w:tcW w:w="33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12.75%/0.00%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10/31/2022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10/29/2027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260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6354445</wp:posOffset>
            </wp:positionH>
            <wp:positionV relativeFrom="page">
              <wp:posOffset>637540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6809105</wp:posOffset>
            </wp:positionH>
            <wp:positionV relativeFrom="page">
              <wp:posOffset>637540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-8126095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-8126095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-7165975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-7165975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-6779895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-6779895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-6205855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-6205855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-4293870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-4293870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-3256915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-3256915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-770890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-770890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-385445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-385445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09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6"/>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Elements Brands, LLC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Products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12.25%/0.00%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12/31/2020</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6/30/2024</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1,525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1,525</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Revolving Loan (j)</w:t>
            </w:r>
          </w:p>
        </w:tc>
        <w:tc>
          <w:tcPr>
            <w:tcW w:w="336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12.25%/0.00%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12/31/2020</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6/30/2024</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1,500</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1,497</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Fishbowl Solutions, LLC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(ar)</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+ 7.75%) / (1.00%)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13.40%/0.00%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3/25/2022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3/25/2027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14,174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14,103</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14,174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9"/>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Global Plasma Solutions, Inc.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6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0.00%/18.80%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3/31/2023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3/18/2024</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208</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(947 shares) (j)</w:t>
            </w:r>
          </w:p>
        </w:tc>
        <w:tc>
          <w:tcPr>
            <w:tcW w:w="33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9/21/2018</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GMP HVAC, LLC (dba McGee Heating &amp; Air, LLC)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Utilities: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+ 7.00%) / (2.00%)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12.38%/0.00%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12/8/2023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12/8/2028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Revolving Loan ($1,000 unfunded commitment) (i)(j)</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+ 7.00%) / (2.00%)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12.38%/0.00%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12/8/2023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12/8/2028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(1,000 units) (h)(j)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12/8/2023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3,977</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3,983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19"/>
        </w:trPr>
        <w:tc>
          <w:tcPr>
            <w:tcW w:w="260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i w:val="1"/>
                <w:iCs w:val="1"/>
                <w:color w:val="auto"/>
              </w:rPr>
              <w:t>GP&amp;C Operations, LLC (dba Garlock Printing and</w:t>
            </w:r>
          </w:p>
        </w:tc>
        <w:tc>
          <w:tcPr>
            <w:tcW w:w="3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6"/>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Converting)</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(515,625 units) (h)(j)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1/22/2021</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Green Cubes Technology, LLC (dba Green Cubes)</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+ 13.00%) / (0.00%)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18.53%/0.00%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12/17/2021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12/17/2024</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11,977</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260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Gurobi Optimization, LLC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(3 shares)</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12/19/2017</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8"/>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Haematologic Technologies, Inc.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Healthcare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(x)</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+ 8.25%) / (2.00%)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13.85%/0.00%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10/11/2019</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10/11/2024</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5,385</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5,378</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5,329</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(630 units) (h)(j)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10/11/2019</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(89 units) (h)(j)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6/26/2023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6,097</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5,371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Hallmark Health Care Solutions, Inc.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Healthcare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(3,645,752units) (j)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9/18/2023</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3,645</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8"/>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Healthfuse, LLC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Healthcare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(197,980 units)</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11/13/2020</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53"/>
        </w:trPr>
        <w:tc>
          <w:tcPr>
            <w:tcW w:w="260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Hub Acquisition Sub, LLC (dba Hub Pen)</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Promotional products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Second Lien Debt (k)</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12.50%/1.00%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4/25/2023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6/30/2028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20,140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19,880</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20,140</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(5,837 units)</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3/23/2016</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(637 units) (j)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8/7/2023</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(868 units) (j)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10/16/2020</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20,526</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21,985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IBH Holdings, LLC (fka Inflexxion, Inc.)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(150,000 units)</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6/20/2018</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9"/>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ISI PSG Holdings, LLC (dba Incentive Solutions, Inc.)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(j)(aj)</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+ 7.50%) / (0.50%)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13.00%/0.00%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4/5/2021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4/5/2026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11,517</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11,517</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(j)(an)</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+ 7.50%) / (0.50%)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9.50%/0.00%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6/30/2021</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4/5/2026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12,222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12,221</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12,168</w:t>
            </w:r>
          </w:p>
        </w:tc>
        <w:tc>
          <w:tcPr>
            <w:tcW w:w="840" w:type="dxa"/>
            <w:vAlign w:val="bottom"/>
            <w:shd w:val="clear" w:color="auto" w:fill="CFF0FC"/>
          </w:tcPr>
          <w:p>
            <w:pPr>
              <w:spacing w:after="0"/>
              <w:rPr>
                <w:sz w:val="13"/>
                <w:szCs w:val="13"/>
                <w:color w:val="auto"/>
              </w:rPr>
            </w:pPr>
          </w:p>
        </w:tc>
      </w:tr>
      <w:tr>
        <w:trPr>
          <w:trHeight w:val="148"/>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(256,964 units) (h)(j)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4/5/2021</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24,191</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24,238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The Kyjen Company, LLC (dba Outward Hound)</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Products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(855 shares) (j)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12/8/2017</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Level Education Group, LLC (dba CE4Less)</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(ak)</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+ 5.75%) / (2.00%)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11.41%/0.00%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4/1/2021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4/1/2026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4,622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4,622</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(1,000,000 units) (j)</w:t>
            </w:r>
          </w:p>
        </w:tc>
        <w:tc>
          <w:tcPr>
            <w:tcW w:w="33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4/1/2021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5,604</w:t>
            </w: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LifeSpan Biosciences, Inc.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Healthcare Products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6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11.50%/0.00%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3/19/2021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9/19/2026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15,959</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15,102</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(100 shares) (j)</w:t>
            </w:r>
          </w:p>
        </w:tc>
        <w:tc>
          <w:tcPr>
            <w:tcW w:w="33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3/19/2021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16,959</w:t>
            </w: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Magenta Buyer LLC (dba Trellix)</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 (j)</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+ 8.25%) / (0.75%)</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13.89%/0.00%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7/19/2022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7/27/2029</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7,182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6,864</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5,103</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260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MBS Opco, LLC (dba Marketron)</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+ 8.50%) / (1.50%)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14.16%/0.00%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9/29/2022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9/28/2026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27,000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26,907</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27,000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29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MDME Holding Corp.</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Healthcare Products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+ 6.25%) / (1.00%)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11.75%/0.00%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8/31/2023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8/3/2027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11,893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11,806</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11,806</w:t>
            </w: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(4,735 units) (j)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9/18/2023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r>
      <w:tr>
        <w:trPr>
          <w:trHeight w:val="153"/>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(12,500 units) (j)</w:t>
            </w:r>
          </w:p>
        </w:tc>
        <w:tc>
          <w:tcPr>
            <w:tcW w:w="33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9/18/2023</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840" w:type="dxa"/>
            <w:vAlign w:val="bottom"/>
            <w:tcBorders>
              <w:bottom w:val="single" w:sz="8" w:color="CFF0FC"/>
            </w:tcBorders>
            <w:shd w:val="clear" w:color="auto" w:fill="CFF0FC"/>
          </w:tcPr>
          <w:p>
            <w:pPr>
              <w:spacing w:after="0"/>
              <w:rPr>
                <w:sz w:val="13"/>
                <w:szCs w:val="13"/>
                <w:color w:val="auto"/>
              </w:rPr>
            </w:pPr>
          </w:p>
        </w:tc>
      </w:tr>
      <w:tr>
        <w:trPr>
          <w:trHeight w:val="138"/>
        </w:trPr>
        <w:tc>
          <w:tcPr>
            <w:tcW w:w="2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13,056</w:t>
            </w: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23"/>
        </w:trPr>
        <w:tc>
          <w:tcPr>
            <w:tcW w:w="26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i w:val="1"/>
                <w:iCs w:val="1"/>
                <w:color w:val="auto"/>
              </w:rPr>
              <w:t>Micronics Filtration Holdings, Inc. (dba Micronics</w:t>
            </w:r>
          </w:p>
        </w:tc>
        <w:tc>
          <w:tcPr>
            <w:tcW w:w="33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r>
      <w:tr>
        <w:trPr>
          <w:trHeight w:val="151"/>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Engineered Filtration Group, Inc.)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(j)(as)</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+ 5.50%) / (0.50%)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10.84%/0.00%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2/17/2022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2/17/2027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20,636</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19,873</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20,636</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(au)</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+ 5.50%) / (0.50%)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10.84%/0.00%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2/17/2022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2/17/2027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9,364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9,314</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9,364</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(14,400 units) (j)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2/17/2022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5,440</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30,627</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35,440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Netbase Solutions, Inc. (dba Netbase Quid)</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(k)(ap)</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(P + 4.00%) / (3.25%)</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12.50%/0.00%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11/18/2021</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11/18/2025</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16,708</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16,650</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16,459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49"/>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NWS Technologies, LLC</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Utilities: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4"/>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(u)</w:t>
            </w:r>
          </w:p>
        </w:tc>
        <w:tc>
          <w:tcPr>
            <w:tcW w:w="3360" w:type="dxa"/>
            <w:vAlign w:val="bottom"/>
          </w:tcPr>
          <w:p>
            <w:pPr>
              <w:ind w:left="2260"/>
              <w:spacing w:after="0"/>
              <w:rPr>
                <w:sz w:val="20"/>
                <w:szCs w:val="20"/>
                <w:color w:val="auto"/>
              </w:rPr>
            </w:pPr>
            <w:r>
              <w:rPr>
                <w:rFonts w:ascii="Times New Roman" w:cs="Times New Roman" w:eastAsia="Times New Roman" w:hAnsi="Times New Roman"/>
                <w:sz w:val="11"/>
                <w:szCs w:val="11"/>
                <w:color w:val="auto"/>
              </w:rPr>
              <w:t>(S + 8.00%) / (2.50%)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13.39%/0.00%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6/20/2023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6/16/2028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17,000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16,773</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840" w:type="dxa"/>
            <w:vAlign w:val="bottom"/>
          </w:tcPr>
          <w:p>
            <w:pPr>
              <w:spacing w:after="0"/>
              <w:rPr>
                <w:sz w:val="12"/>
                <w:szCs w:val="12"/>
                <w:color w:val="auto"/>
              </w:rPr>
            </w:pPr>
          </w:p>
        </w:tc>
      </w:tr>
      <w:tr>
        <w:trPr>
          <w:trHeight w:val="153"/>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 unit) (h)(j)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6/20/2023</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(0.375 units) (h)(j)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6/20/2023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18,273</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18,333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OnePath Systems, LLC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(s)</w:t>
            </w:r>
          </w:p>
        </w:tc>
        <w:tc>
          <w:tcPr>
            <w:tcW w:w="33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1"/>
                <w:szCs w:val="11"/>
                <w:color w:val="auto"/>
              </w:rPr>
              <w:t>(S + 7.50%) / (1.00%)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12.83%/0.00%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9/30/2022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9/30/2027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11,000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10,938</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11,000</w:t>
            </w:r>
          </w:p>
        </w:tc>
        <w:tc>
          <w:tcPr>
            <w:tcW w:w="840" w:type="dxa"/>
            <w:vAlign w:val="bottom"/>
            <w:shd w:val="clear" w:color="auto" w:fill="CFF0FC"/>
          </w:tcPr>
          <w:p>
            <w:pPr>
              <w:spacing w:after="0"/>
              <w:rPr>
                <w:sz w:val="13"/>
                <w:szCs w:val="13"/>
                <w:color w:val="auto"/>
              </w:rPr>
            </w:pPr>
          </w:p>
        </w:tc>
      </w:tr>
      <w:tr>
        <w:trPr>
          <w:trHeight w:val="149"/>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(732,542 shares) (j)</w:t>
            </w: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9/30/2022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840" w:type="dxa"/>
            <w:vAlign w:val="bottom"/>
          </w:tcPr>
          <w:p>
            <w:pPr>
              <w:spacing w:after="0"/>
              <w:rPr>
                <w:sz w:val="12"/>
                <w:szCs w:val="12"/>
                <w:color w:val="auto"/>
              </w:rPr>
            </w:pPr>
          </w:p>
        </w:tc>
      </w:tr>
      <w:tr>
        <w:trPr>
          <w:trHeight w:val="142"/>
        </w:trPr>
        <w:tc>
          <w:tcPr>
            <w:tcW w:w="2600" w:type="dxa"/>
            <w:vAlign w:val="bottom"/>
            <w:shd w:val="clear" w:color="auto" w:fill="CFF0FC"/>
          </w:tcPr>
          <w:p>
            <w:pPr>
              <w:spacing w:after="0"/>
              <w:rPr>
                <w:sz w:val="12"/>
                <w:szCs w:val="12"/>
                <w:color w:val="auto"/>
              </w:rPr>
            </w:pPr>
          </w:p>
        </w:tc>
        <w:tc>
          <w:tcPr>
            <w:tcW w:w="3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11,438</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11,704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Palmetto Moon, LLC</w:t>
            </w:r>
          </w:p>
        </w:tc>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Retail</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2"/>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(499 units) (j)</w:t>
            </w:r>
          </w:p>
        </w:tc>
        <w:tc>
          <w:tcPr>
            <w:tcW w:w="3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11/3/2016</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r>
      <w:tr>
        <w:trPr>
          <w:trHeight w:val="148"/>
        </w:trPr>
        <w:tc>
          <w:tcPr>
            <w:tcW w:w="2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Pinnergy, Ltd.</w:t>
            </w: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Oil &amp; Gas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r>
      <w:tr>
        <w:trPr>
          <w:trHeight w:val="140"/>
        </w:trPr>
        <w:tc>
          <w:tcPr>
            <w:tcW w:w="2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6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9.00%/0.00%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6/30/2022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6/30/2027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12,850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12,798</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-8163560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-8163560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-3705860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-3705860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-3320415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-3320415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-2274570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-2274570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707"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8"/>
        </w:trPr>
        <w:tc>
          <w:tcPr>
            <w:tcW w:w="264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Pool &amp; Electrical Products, LLC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Specialty Distribution</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(15,000 units) (h)(j)</w:t>
            </w: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10/28/2020</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4,649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PowerGrid Services Acquisition,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Utilities: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 (j)</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+ 9.50%)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15.15%/0.00%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9/21/2021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3/21/2029</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10,831</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(5,341 units) (h)(j)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9/21/2021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11,392</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Prime AE Group, Inc.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Business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(j)(ab)</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+ 7.25%) / (2.00%)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12.72%/0.00%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11/25/2019</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11/25/2024</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5,833</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5,833</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(900,000 shares) (j)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11/25/2019</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Puget Collision,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Retail</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(k)</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+ 8.50%)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13.84%/0.00%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4/28/2023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9/12/2027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17,546</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QED Technologies International, Inc.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(q)</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+ 6.25%) / (1.50%)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11.14%/0.50%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3/1/2023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3/1/2028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17,348</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17,240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17,348</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(140 shares) (j)</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2/28/2023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1,923</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18,642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19,271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Quest Software US Holdings Inc.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Second Lien Debt (j)</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+ 7.50%) / (0.50%)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13.03%/0.00%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3/1/2022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2/1/2030</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20,000</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14,927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R1 Holdings, LLC (dba RoadOne IntermodaLogistics)</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Transportation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($1,596 unfunded commitment) (j)(w)</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+ 6.25%)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11.72%/0.00%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12/30/2022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12/30/2028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6,343</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6,343</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Subordinated Debt ($417 unfunded commitment) (j)(w)</w:t>
            </w: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8.75%/5.00%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12/30/2022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6/30/2029</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1,403</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Common Equity (280,000 units) ($70 unfunded</w:t>
            </w:r>
          </w:p>
        </w:tc>
        <w:tc>
          <w:tcPr>
            <w:tcW w:w="3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commitment) (j)</w:t>
            </w: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12/30/2022</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8,063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Sonicwall US Holdings, Inc.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Second Lien Debt (j)</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+ 7.50%) / (0.00%)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13.01%/0.00%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9/6/2022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5/18/2026</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3,581</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Suited Connector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 (j)(y)</w:t>
            </w:r>
          </w:p>
        </w:tc>
        <w:tc>
          <w:tcPr>
            <w:tcW w:w="332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0.00%/12.00%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10/29/2021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6/1/2028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16,000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(56,382 units) (h)(j)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12/1/2021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836</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Tedia Company,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Healthcare Products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+ 7.75%)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13.41%/0.00%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3/4/2022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3/4/2027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15,600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Revolving Loan ($2,400 unfunded commitment) (j)(i)</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+ 7.75%) / (1.00%)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13.41%/0.00%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3/4/2022</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3/4/2027</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7.25%/7.25%</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3/4/2022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9/4/2027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2,857</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Preferred Equity (1,000 units) (h)(j)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3/4/2022</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Tiger Calcium Services Inc. (aq)</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Transportation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 (j) (ao)</w:t>
            </w:r>
          </w:p>
        </w:tc>
        <w:tc>
          <w:tcPr>
            <w:tcW w:w="332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12.50%/0.00%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12/21/2022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5/31/2025</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12,500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UBEO, LLC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Business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(705,000 units) (h)(j)</w:t>
            </w: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4/3/2018</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United Biologics,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Healthcare Services</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(98,377 units) (h)(j)</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4/1/2012</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Warrant (57,469 units) (j)(m)</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3/5/2012</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566</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US Fertility Enterprises,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Healthcare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Subordinated Debt (j)</w:t>
            </w:r>
          </w:p>
        </w:tc>
        <w:tc>
          <w:tcPr>
            <w:tcW w:w="3320" w:type="dxa"/>
            <w:vAlign w:val="bottom"/>
          </w:tcPr>
          <w:p>
            <w:pPr>
              <w:spacing w:after="0"/>
              <w:rPr>
                <w:sz w:val="12"/>
                <w:szCs w:val="12"/>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0.00%/13.75%</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5/19/2023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6/1/2028</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13,614</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13,614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USG AS Holdings, LLC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Utilities: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+ 8.50%) / (2.50%)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14.04%/0.00%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2/23/2023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2/23/2028</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9,917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(Units N/A) (j)</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2/21/2023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10,959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Virginia Tile Company, LLC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Specialty Distribution</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(17 units) (j)</w:t>
            </w: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12/19/2014</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Virtex Enterprises, LP</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Second Lien Debt (y)</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+ 9.75%) / (2.50%)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5.46%/9.75%</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4/13/2022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6/30/2026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11,002</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Subordinated Debt</w:t>
            </w:r>
          </w:p>
        </w:tc>
        <w:tc>
          <w:tcPr>
            <w:tcW w:w="3320" w:type="dxa"/>
            <w:vAlign w:val="bottom"/>
            <w:tcBorders>
              <w:bottom w:val="single" w:sz="8" w:color="CFF0FC"/>
            </w:tcBorders>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+ 4.00%) / (2.50%)</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9.46%/0.00%</w:t>
            </w: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9/20/2023</w:t>
            </w:r>
          </w:p>
        </w:tc>
        <w:tc>
          <w:tcPr>
            <w:tcW w:w="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12/31/2025</w:t>
            </w:r>
          </w:p>
        </w:tc>
        <w:tc>
          <w:tcPr>
            <w:tcW w:w="740" w:type="dxa"/>
            <w:vAlign w:val="bottom"/>
            <w:tcBorders>
              <w:bottom w:val="single" w:sz="8" w:color="CFF0FC"/>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White Label Communication,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+ 6.25%)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11.66%/0.00%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10/11/2023</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10/11/2029</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17,500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17,405</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(536units) (h)(j)</w:t>
            </w: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10/11/2023</w:t>
            </w: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(5,000 units) (h)(j)</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10/11/2023</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17,905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Winona Foods, Inc.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Specialty Distribution</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+ 11.00%) / (6.00%)</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12.00%/5.00%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12/13/2023</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6/13/2027</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2,005</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4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i w:val="1"/>
                <w:iCs w:val="1"/>
                <w:color w:val="auto"/>
              </w:rPr>
              <w:t>Wonderware Holdings, LLC (dba CORE Business</w:t>
            </w:r>
          </w:p>
        </w:tc>
        <w:tc>
          <w:tcPr>
            <w:tcW w:w="33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Technologies)</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Information Technology Services</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(k)(z)</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+ 7.00%)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12.59%/0.00%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2/10/2021</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2/9/2026</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8,316</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Worldwide Express Operations, LLC</w:t>
            </w:r>
          </w:p>
        </w:tc>
        <w:tc>
          <w:tcPr>
            <w:tcW w:w="33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Transportation services</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Second Lien Debt (j)</w:t>
            </w:r>
          </w:p>
        </w:tc>
        <w:tc>
          <w:tcPr>
            <w:tcW w:w="332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1"/>
                <w:szCs w:val="11"/>
                <w:color w:val="auto"/>
              </w:rPr>
              <w:t>(S + 7.00%) / (0.75%)</w:t>
            </w:r>
          </w:p>
        </w:tc>
        <w:tc>
          <w:tcPr>
            <w:tcW w:w="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12.61%/0.00%</w:t>
            </w:r>
          </w:p>
        </w:tc>
        <w:tc>
          <w:tcPr>
            <w:tcW w:w="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8/2/2021</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7/26/2029</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27,497</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26,562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27,116</w:t>
            </w: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Equity (795,000units) (j)</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7/21/2021</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(752,380 units) (h)(j)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7/26/2021</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28,499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5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Zonkd, LLC</w:t>
            </w:r>
          </w:p>
        </w:tc>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Component Manufacturing</w:t>
            </w: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 Lien Debt (j)</w:t>
            </w:r>
          </w:p>
        </w:tc>
        <w:tc>
          <w:tcPr>
            <w:tcW w:w="3320" w:type="dxa"/>
            <w:vAlign w:val="bottom"/>
          </w:tcPr>
          <w:p>
            <w:pPr>
              <w:ind w:left="2220"/>
              <w:spacing w:after="0"/>
              <w:rPr>
                <w:sz w:val="20"/>
                <w:szCs w:val="20"/>
                <w:color w:val="auto"/>
              </w:rPr>
            </w:pPr>
            <w:r>
              <w:rPr>
                <w:rFonts w:ascii="Times New Roman" w:cs="Times New Roman" w:eastAsia="Times New Roman" w:hAnsi="Times New Roman"/>
                <w:sz w:val="11"/>
                <w:szCs w:val="11"/>
                <w:color w:val="auto"/>
              </w:rPr>
              <w:t>(S + 10.00%) / (1.00%)</w:t>
            </w: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16.63%/0.00%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3/18/2022</w:t>
            </w: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3/18/2027</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4,300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Equity (4,987 units) (h)(j)</w:t>
            </w: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3/18/2022</w:t>
            </w: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4,757</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640" w:type="dxa"/>
            <w:vAlign w:val="bottom"/>
            <w:tcBorders>
              <w:bottom w:val="single" w:sz="8" w:color="CFF0FC"/>
            </w:tcBorders>
            <w:shd w:val="clear" w:color="auto" w:fill="CFF0FC"/>
          </w:tcPr>
          <w:p>
            <w:pPr>
              <w:spacing w:after="0"/>
              <w:rPr>
                <w:sz w:val="13"/>
                <w:szCs w:val="13"/>
                <w:color w:val="auto"/>
              </w:rPr>
            </w:pPr>
          </w:p>
        </w:tc>
        <w:tc>
          <w:tcPr>
            <w:tcW w:w="33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Non-control/Non-affiliate Investments</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883,312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874,030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tcBorders>
              <w:bottom w:val="single" w:sz="8" w:color="CFF0FC"/>
            </w:tcBorders>
            <w:shd w:val="clear" w:color="auto" w:fill="CFF0FC"/>
          </w:tcPr>
          <w:p>
            <w:pPr>
              <w:spacing w:after="0"/>
              <w:rPr>
                <w:sz w:val="11"/>
                <w:szCs w:val="11"/>
                <w:color w:val="auto"/>
              </w:rPr>
            </w:pPr>
          </w:p>
        </w:tc>
        <w:tc>
          <w:tcPr>
            <w:tcW w:w="33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936,629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957,906</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shd w:val="clear" w:color="auto" w:fill="CFF0FC"/>
          </w:tcPr>
          <w:p>
            <w:pPr>
              <w:spacing w:after="0"/>
              <w:rPr>
                <w:sz w:val="11"/>
                <w:szCs w:val="11"/>
                <w:color w:val="auto"/>
              </w:rPr>
            </w:pPr>
          </w:p>
        </w:tc>
        <w:tc>
          <w:tcPr>
            <w:tcW w:w="3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-8048625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-8048625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-7663180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-7663180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-5494020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-5494020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-4919980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-4919980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-3968115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-3968115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-2630805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-2630805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-1028065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-1028065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-641985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-641985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-445135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-445135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-222250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b w:val="1"/>
          <w:bCs w:val="1"/>
          <w:color w:val="auto"/>
        </w:rPr>
        <w:t>Money market funds (included in cash and cash</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equivalents)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085"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26"/>
        </w:trPr>
        <w:tc>
          <w:tcPr>
            <w:tcW w:w="9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Goldman Sachs Financial Square Treasury Obligation</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114,556</w:t>
            </w:r>
          </w:p>
        </w:tc>
        <w:tc>
          <w:tcPr>
            <w:tcW w:w="2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114,556</w:t>
            </w: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Institution CUSIP (38141W323) (ad)</w:t>
            </w:r>
          </w:p>
        </w:tc>
        <w:tc>
          <w:tcPr>
            <w:tcW w:w="100" w:type="dxa"/>
            <w:vAlign w:val="bottom"/>
            <w:tcBorders>
              <w:bottom w:val="single" w:sz="8" w:color="auto"/>
            </w:tcBorders>
            <w:vMerge w:val="continue"/>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auto"/>
            </w:tcBorders>
            <w:vMerge w:val="continue"/>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2"/>
        </w:trPr>
        <w:tc>
          <w:tcPr>
            <w:tcW w:w="90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Total 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114,556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114,556</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Money Market Funds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1,051,185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1,072,462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182 %</w:t>
            </w:r>
          </w:p>
        </w:tc>
        <w:tc>
          <w:tcPr>
            <w:tcW w:w="0" w:type="dxa"/>
            <w:vAlign w:val="bottom"/>
          </w:tcPr>
          <w:p>
            <w:pPr>
              <w:spacing w:after="0"/>
              <w:rPr>
                <w:sz w:val="1"/>
                <w:szCs w:val="1"/>
                <w:color w:val="auto"/>
              </w:rPr>
            </w:pPr>
          </w:p>
        </w:tc>
      </w:tr>
      <w:tr>
        <w:trPr>
          <w:trHeight w:val="35"/>
        </w:trPr>
        <w:tc>
          <w:tcPr>
            <w:tcW w:w="9080" w:type="dxa"/>
            <w:vAlign w:val="bottom"/>
            <w:tcBorders>
              <w:top w:val="single" w:sz="8" w:color="CFF0FC"/>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CFF0FC"/>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CFF0FC"/>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-290830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-290830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-67945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-50800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-67945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-50800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See Note 3 to the consolidated financial statements for portfolio composition by geographic location.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Equity ownership may be held in shares or units of companies related to the portfolio companies.</w:t>
      </w:r>
    </w:p>
    <w:p>
      <w:pPr>
        <w:spacing w:after="0" w:line="230" w:lineRule="auto"/>
        <w:rPr>
          <w:sz w:val="20"/>
          <w:szCs w:val="20"/>
          <w:color w:val="auto"/>
        </w:rPr>
      </w:pPr>
      <w:r>
        <w:rPr>
          <w:rFonts w:ascii="Times New Roman" w:cs="Times New Roman" w:eastAsia="Times New Roman" w:hAnsi="Times New Roman"/>
          <w:sz w:val="11"/>
          <w:szCs w:val="11"/>
          <w:color w:val="auto"/>
        </w:rPr>
        <w:t>(c) All debt investments are income producing, unless otherwise indicated.</w:t>
      </w:r>
    </w:p>
    <w:p>
      <w:pPr>
        <w:spacing w:after="0" w:line="231" w:lineRule="auto"/>
        <w:rPr>
          <w:sz w:val="20"/>
          <w:szCs w:val="20"/>
          <w:color w:val="auto"/>
        </w:rPr>
      </w:pPr>
      <w:r>
        <w:rPr>
          <w:rFonts w:ascii="Times New Roman" w:cs="Times New Roman" w:eastAsia="Times New Roman" w:hAnsi="Times New Roman"/>
          <w:sz w:val="11"/>
          <w:szCs w:val="11"/>
          <w:color w:val="auto"/>
        </w:rPr>
        <w:t>Equity investments are non-income producing unless otherwise noted.</w:t>
      </w:r>
    </w:p>
    <w:p>
      <w:pPr>
        <w:ind w:right="10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ind w:left="160" w:hanging="152"/>
        <w:spacing w:after="0" w:line="230" w:lineRule="auto"/>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December 31, 2023. Generally, payment-in-kind interest can be paid-in-kind or all in cash.</w:t>
      </w:r>
    </w:p>
    <w:p>
      <w:pPr>
        <w:ind w:left="140" w:hanging="132"/>
        <w:spacing w:after="0" w:line="230" w:lineRule="auto"/>
        <w:tabs>
          <w:tab w:leader="none" w:pos="1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ind w:right="30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60" w:hanging="152"/>
        <w:spacing w:after="0" w:line="230" w:lineRule="auto"/>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ind w:right="540" w:firstLine="8"/>
        <w:spacing w:after="0" w:line="230" w:lineRule="auto"/>
        <w:tabs>
          <w:tab w:leader="none" w:pos="12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2023. The Company is earning 0.50% interest on the unfunded balance of the commitment. The interest rate disclosed represents the rate which will be earned if the commitment is funded.</w:t>
      </w:r>
    </w:p>
    <w:p>
      <w:pPr>
        <w:ind w:right="260" w:firstLine="8"/>
        <w:spacing w:after="0" w:line="230" w:lineRule="auto"/>
        <w:tabs>
          <w:tab w:leader="none" w:pos="12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portion of the investment not held by Fidus Mezzanine Capital II, LP or Fidus Mezzanine Capital III, LP, each a wholly owned subsidiary of the Company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80" w:firstLine="8"/>
        <w:spacing w:after="0" w:line="230" w:lineRule="auto"/>
        <w:tabs>
          <w:tab w:leader="none" w:pos="12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00" w:hanging="192"/>
        <w:spacing w:after="0"/>
        <w:tabs>
          <w:tab w:leader="none" w:pos="20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Warrants entitle the Company to purchase a predetermined number of shares or units of common equity, and are non-income producing. The purchase price and number of shares are subject to adjustment under certain conditions until the expiration date, if</w:t>
      </w:r>
    </w:p>
    <w:p>
      <w:pPr>
        <w:spacing w:after="0" w:line="6" w:lineRule="exact"/>
        <w:rPr>
          <w:rFonts w:ascii="Times New Roman" w:cs="Times New Roman" w:eastAsia="Times New Roman" w:hAnsi="Times New Roman"/>
          <w:sz w:val="10"/>
          <w:szCs w:val="10"/>
          <w:color w:val="auto"/>
        </w:rPr>
      </w:pPr>
    </w:p>
    <w:p>
      <w:pPr>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any.</w:t>
      </w:r>
    </w:p>
    <w:p>
      <w:pPr>
        <w:ind w:left="160" w:hanging="152"/>
        <w:spacing w:after="0" w:line="230" w:lineRule="auto"/>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right="30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6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35"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41"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8"/>
        <w:spacing w:after="0" w:line="230" w:lineRule="auto"/>
        <w:tabs>
          <w:tab w:leader="none" w:pos="12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46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6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80" w:firstLine="8"/>
        <w:spacing w:after="0" w:line="230" w:lineRule="auto"/>
        <w:tabs>
          <w:tab w:leader="none" w:pos="177"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ind w:right="460" w:firstLine="8"/>
        <w:spacing w:after="0" w:line="230" w:lineRule="auto"/>
        <w:tabs>
          <w:tab w:leader="none" w:pos="15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60" w:hanging="152"/>
        <w:spacing w:after="0" w:line="230" w:lineRule="auto"/>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non-accrual status as of December 31, 2023.</w:t>
      </w:r>
    </w:p>
    <w:p>
      <w:pPr>
        <w:ind w:right="460" w:firstLine="8"/>
        <w:spacing w:after="0" w:line="230" w:lineRule="auto"/>
        <w:tabs>
          <w:tab w:leader="none" w:pos="147"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firstLine="8"/>
        <w:spacing w:after="0" w:line="230" w:lineRule="auto"/>
        <w:tabs>
          <w:tab w:leader="none" w:pos="195"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 This investment is classified as a Level 1 investment. For further detail on the fair value measurements, see Note 4 to the consolidated financial statements.</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4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8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00"/>
        <w:spacing w:after="0" w:line="23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line="241" w:lineRule="auto"/>
        <w:rPr>
          <w:sz w:val="20"/>
          <w:szCs w:val="20"/>
          <w:color w:val="auto"/>
        </w:rPr>
      </w:pPr>
      <w:r>
        <w:rPr>
          <w:rFonts w:ascii="Times New Roman" w:cs="Times New Roman" w:eastAsia="Times New Roman" w:hAnsi="Times New Roman"/>
          <w:sz w:val="11"/>
          <w:szCs w:val="11"/>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spacing w:after="0" w:line="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1"/>
          <w:szCs w:val="11"/>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(aq) The headquarters of this portfolio company is located in Canada.</w:t>
      </w:r>
    </w:p>
    <w:p>
      <w:pPr>
        <w:spacing w:after="0" w:line="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1"/>
          <w:szCs w:val="11"/>
          <w:color w:val="auto"/>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1"/>
          <w:szCs w:val="11"/>
          <w:color w:val="auto"/>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1"/>
          <w:szCs w:val="11"/>
          <w:color w:val="auto"/>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1"/>
          <w:szCs w:val="11"/>
          <w:color w:val="auto"/>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ind w:right="-99"/>
        <w:spacing w:after="0" w:line="238" w:lineRule="auto"/>
        <w:rPr>
          <w:sz w:val="20"/>
          <w:szCs w:val="20"/>
          <w:color w:val="auto"/>
        </w:rPr>
      </w:pPr>
      <w:r>
        <w:rPr>
          <w:rFonts w:ascii="Times New Roman" w:cs="Times New Roman" w:eastAsia="Times New Roman" w:hAnsi="Times New Roman"/>
          <w:sz w:val="11"/>
          <w:szCs w:val="11"/>
          <w:i w:val="1"/>
          <w:iCs w:val="1"/>
          <w:color w:val="auto"/>
        </w:rPr>
        <w:t>See Notes to Consolidated Financial Statements.</w:t>
      </w: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0"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75"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2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Fund III is licensed by the U.S. Small Business Administration (the “SBA”) as a small business investment company (“SBIC”). The SBIC license allows Fund III to obtain leverage by issuing SBA-guaranteed debentures (“SBA debentures”), subject to the issuance of leverage commitments by the SBA and other customary procedures. As a SBIC, Fund III is subject to regulations of and oversight by the SBA under the Small Business Investment Act of 1958, as amended (the “SBIC Act”), concerning, among other things, the size and nature of the companies in which they may invest and the structure of those investments. Fund II completed its wind-down plan, can no longer issue additional SBA debentures, and relinquished its SBIC license on March 7, 2024, which remains subject to the SBA's approval.</w:t>
      </w:r>
    </w:p>
    <w:p>
      <w:pPr>
        <w:spacing w:after="0" w:line="13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believe that utilizing both FIC and Fund III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spacing w:after="0" w:line="126"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Fund II and Fund III are not registered under the 1940 Act and rely on the exclusion from the definition of investment company contained in Section 3(c)(7) of the 1940 Act.</w:t>
      </w:r>
    </w:p>
    <w:p>
      <w:pPr>
        <w:spacing w:after="0" w:line="108"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7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of the Company have been prepared in accordance with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accepted accounting principles in the United States of America (“GAAP”) pursuant to the requirements for reporting on Form 10-Q, Accounting Standards Codification (“ASC”)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2023.</w:t>
      </w:r>
    </w:p>
    <w:p>
      <w:pPr>
        <w:spacing w:after="0" w:line="131"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Pursuant to Article 6 of Regulation S-X and ASC 946, the Company will generally not consolidate its investments in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Fund III. All significant intercompany balances and transactions have been eliminated.</w:t>
      </w:r>
    </w:p>
    <w:p>
      <w:pPr>
        <w:spacing w:after="0" w:line="1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Company’s investments are subject to a variety of risks. These risks may include, but are not limited to the following: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 w:lineRule="exact"/>
        <w:rPr>
          <w:sz w:val="20"/>
          <w:szCs w:val="20"/>
          <w:color w:val="auto"/>
        </w:rPr>
      </w:pPr>
    </w:p>
    <w:p>
      <w:pPr>
        <w:jc w:val="both"/>
        <w:ind w:left="1240" w:hanging="378"/>
        <w:spacing w:after="0" w:line="251"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risk - </w:t>
      </w:r>
      <w:r>
        <w:rPr>
          <w:rFonts w:ascii="Times New Roman" w:cs="Times New Roman" w:eastAsia="Times New Roman" w:hAnsi="Times New Roman"/>
          <w:sz w:val="18"/>
          <w:szCs w:val="18"/>
          <w:color w:val="auto"/>
        </w:rPr>
        <w:t>In contrast to investment-grade bonds (the market prices of which change primarily as a reaction to changes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37" w:lineRule="exact"/>
        <w:rPr>
          <w:rFonts w:ascii="Times New Roman" w:cs="Times New Roman" w:eastAsia="Times New Roman" w:hAnsi="Times New Roman"/>
          <w:sz w:val="18"/>
          <w:szCs w:val="18"/>
          <w:color w:val="auto"/>
        </w:rPr>
      </w:pPr>
    </w:p>
    <w:p>
      <w:pPr>
        <w:jc w:val="both"/>
        <w:ind w:left="1240" w:hanging="379"/>
        <w:spacing w:after="0" w:line="267"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risk - </w:t>
      </w:r>
      <w:r>
        <w:rPr>
          <w:rFonts w:ascii="Times New Roman" w:cs="Times New Roman" w:eastAsia="Times New Roman" w:hAnsi="Times New Roman"/>
          <w:sz w:val="18"/>
          <w:szCs w:val="18"/>
          <w:color w:val="auto"/>
        </w:rPr>
        <w:t>Credit risk represents the risk that the Company would incur if the counterparties failed to perform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19" w:lineRule="exact"/>
        <w:rPr>
          <w:rFonts w:ascii="Times New Roman" w:cs="Times New Roman" w:eastAsia="Times New Roman" w:hAnsi="Times New Roman"/>
          <w:sz w:val="18"/>
          <w:szCs w:val="18"/>
          <w:color w:val="auto"/>
        </w:rPr>
      </w:pPr>
    </w:p>
    <w:p>
      <w:pPr>
        <w:ind w:left="1240" w:right="20" w:hanging="379"/>
        <w:spacing w:after="0" w:line="28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risk - </w:t>
      </w:r>
      <w:r>
        <w:rPr>
          <w:rFonts w:ascii="Times New Roman" w:cs="Times New Roman" w:eastAsia="Times New Roman" w:hAnsi="Times New Roman"/>
          <w:sz w:val="18"/>
          <w:szCs w:val="18"/>
          <w:color w:val="auto"/>
        </w:rPr>
        <w:t>Liquidity risk represents the possibility that the Company may not be able to sell its investments quickly or at a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(given the lack of an established market).</w:t>
      </w:r>
    </w:p>
    <w:p>
      <w:pPr>
        <w:spacing w:after="0" w:line="104" w:lineRule="exact"/>
        <w:rPr>
          <w:rFonts w:ascii="Times New Roman" w:cs="Times New Roman" w:eastAsia="Times New Roman" w:hAnsi="Times New Roman"/>
          <w:sz w:val="18"/>
          <w:szCs w:val="18"/>
          <w:color w:val="auto"/>
        </w:rPr>
      </w:pPr>
    </w:p>
    <w:p>
      <w:pPr>
        <w:ind w:left="1240" w:hanging="379"/>
        <w:spacing w:after="0" w:line="28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Interest rate risk represents the likelihood that a change in interest rates could have an adverse impact on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interest-bearing financial instrument.</w:t>
      </w:r>
    </w:p>
    <w:p>
      <w:pPr>
        <w:spacing w:after="0" w:line="104" w:lineRule="exact"/>
        <w:rPr>
          <w:rFonts w:ascii="Times New Roman" w:cs="Times New Roman" w:eastAsia="Times New Roman" w:hAnsi="Times New Roman"/>
          <w:sz w:val="18"/>
          <w:szCs w:val="18"/>
          <w:color w:val="auto"/>
        </w:rPr>
      </w:pPr>
    </w:p>
    <w:p>
      <w:pPr>
        <w:jc w:val="both"/>
        <w:ind w:left="1240" w:hanging="379"/>
        <w:spacing w:after="0" w:line="267"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 </w:t>
      </w:r>
      <w:r>
        <w:rPr>
          <w:rFonts w:ascii="Times New Roman" w:cs="Times New Roman" w:eastAsia="Times New Roman" w:hAnsi="Times New Roman"/>
          <w:sz w:val="18"/>
          <w:szCs w:val="18"/>
          <w:color w:val="auto"/>
        </w:rPr>
        <w:t>Certain of the Company’s debt investments allow for prepayment of principal without penalty. Downward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19" w:lineRule="exact"/>
        <w:rPr>
          <w:rFonts w:ascii="Times New Roman" w:cs="Times New Roman" w:eastAsia="Times New Roman" w:hAnsi="Times New Roman"/>
          <w:sz w:val="18"/>
          <w:szCs w:val="18"/>
          <w:color w:val="auto"/>
        </w:rPr>
      </w:pPr>
    </w:p>
    <w:p>
      <w:pPr>
        <w:jc w:val="both"/>
        <w:ind w:left="1240" w:hanging="379"/>
        <w:spacing w:after="0" w:line="267"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Off-Balance sheet risk - </w:t>
      </w:r>
      <w:r>
        <w:rPr>
          <w:rFonts w:ascii="Times New Roman" w:cs="Times New Roman" w:eastAsia="Times New Roman" w:hAnsi="Times New Roman"/>
          <w:sz w:val="18"/>
          <w:szCs w:val="18"/>
          <w:color w:val="auto"/>
        </w:rPr>
        <w:t>Some of the Company’s financial instruments contain off-balance sheet risk. Generally, these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represent future commitments to purchase other financial instruments at defined terms at defined future dates. See Note 7 for further details.</w:t>
      </w:r>
    </w:p>
    <w:p>
      <w:pPr>
        <w:spacing w:after="0" w:line="11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measures and discloses fair value with respect to substantially all of its financial instruments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Topic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classification: </w:t>
      </w:r>
      <w:r>
        <w:rPr>
          <w:rFonts w:ascii="Times New Roman" w:cs="Times New Roman" w:eastAsia="Times New Roman" w:hAnsi="Times New Roman"/>
          <w:sz w:val="18"/>
          <w:szCs w:val="18"/>
          <w:color w:val="auto"/>
        </w:rPr>
        <w:t>The Company classifies its investments in accordance with the requirements of the 1940 Act. Under the 1940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29"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In accordance with ASC Topic 280 —</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the Company has determined that it has a single reporting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unit structure.</w:t>
      </w:r>
    </w:p>
    <w:p>
      <w:pPr>
        <w:spacing w:after="0" w:line="104"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19"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Deferred financing costs consist of fees and expenses paid in connection with the SBA debentures, the Credit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1"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Realized losses on extinguishment of debt: </w:t>
      </w:r>
      <w:r>
        <w:rPr>
          <w:rFonts w:ascii="Times New Roman" w:cs="Times New Roman" w:eastAsia="Times New Roman" w:hAnsi="Times New Roman"/>
          <w:sz w:val="18"/>
          <w:szCs w:val="18"/>
          <w:color w:val="auto"/>
        </w:rPr>
        <w:t>Upon the repayment of debt obligations which are deemed to be extinguishments,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19"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offering costs: </w:t>
      </w:r>
      <w:r>
        <w:rPr>
          <w:rFonts w:ascii="Times New Roman" w:cs="Times New Roman" w:eastAsia="Times New Roman" w:hAnsi="Times New Roman"/>
          <w:sz w:val="18"/>
          <w:szCs w:val="18"/>
          <w:color w:val="auto"/>
        </w:rPr>
        <w:t>Deferred offering costs include registration expenses related to the shelf registration statement filing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28"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Realized gains or losses and unrealized appreciation or depreciation on investments: </w:t>
      </w:r>
      <w:r>
        <w:rPr>
          <w:rFonts w:ascii="Times New Roman" w:cs="Times New Roman" w:eastAsia="Times New Roman" w:hAnsi="Times New Roman"/>
          <w:sz w:val="18"/>
          <w:szCs w:val="18"/>
          <w:color w:val="auto"/>
        </w:rPr>
        <w:t>Realized gains or losses on investments are recorded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8"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and dividend income: </w:t>
      </w:r>
      <w:r>
        <w:rPr>
          <w:rFonts w:ascii="Times New Roman" w:cs="Times New Roman" w:eastAsia="Times New Roman" w:hAnsi="Times New Roman"/>
          <w:sz w:val="18"/>
          <w:szCs w:val="18"/>
          <w:color w:val="auto"/>
        </w:rPr>
        <w:t>Interest and dividend income are recorded on the accrual basis to the extent that the Company expects to collect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8"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the Company’s investments contain a payment-in-kind (“PIK”) income provision. The PIK income, computed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p>
    <w:p>
      <w:pPr>
        <w:spacing w:after="0" w:line="131"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the Company is accruing PIK dividends) are placed on non-accrual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8"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Origination and closing fees: </w:t>
      </w:r>
      <w:r>
        <w:rPr>
          <w:rFonts w:ascii="Times New Roman" w:cs="Times New Roman" w:eastAsia="Times New Roman" w:hAnsi="Times New Roman"/>
          <w:sz w:val="18"/>
          <w:szCs w:val="18"/>
          <w:color w:val="auto"/>
        </w:rPr>
        <w:t>The Company also typically receives debt investment origination or closing fees in connection with such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26"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connection with the Company’s debt investments, the Company will sometimes receive warrants or other equity-related securities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Fee income</w:t>
      </w:r>
      <w:r>
        <w:rPr>
          <w:rFonts w:ascii="Times New Roman" w:cs="Times New Roman" w:eastAsia="Times New Roman" w:hAnsi="Times New Roman"/>
          <w:sz w:val="18"/>
          <w:szCs w:val="18"/>
          <w:color w:val="auto"/>
        </w:rPr>
        <w:t>: Transaction fees earned in connection with the Company’s investments are recognized as fee income and are generally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The Company follows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(“ASC 860”)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accounting for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9"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has elected, and intends to qualify annually, to be treated for U.S. federal income tax purposes as a RIC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spacing w:after="0" w:line="136"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In the future, Fund III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0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certain wholly-owned subsidiaries (the “Taxable Subsidiaries”) that have elected to be treated as corporations for U.S. federal income tax purposes and are thus subject to U.S. federal income tax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34"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spacing w:after="0" w:line="124"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2024 and December 31, 2023. The Company’s tax returns are generally subject to examination by U.S. federal and most state tax authorities for a period of three years from the date the respective returns are filed, and, accordingly, the Company’s 2020 through 2022 tax years remain subject to examination.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1"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to stockholders: </w:t>
      </w:r>
      <w:r>
        <w:rPr>
          <w:rFonts w:ascii="Times New Roman" w:cs="Times New Roman" w:eastAsia="Times New Roman" w:hAnsi="Times New Roman"/>
          <w:sz w:val="18"/>
          <w:szCs w:val="18"/>
          <w:color w:val="auto"/>
        </w:rPr>
        <w:t>Dividends to stockholders are recorded on the record date with respect to such distributions. The amount, if any,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21"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9"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36"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Earnings and net asset value per share: </w:t>
      </w:r>
      <w:r>
        <w:rPr>
          <w:rFonts w:ascii="Times New Roman" w:cs="Times New Roman" w:eastAsia="Times New Roman" w:hAnsi="Times New Roman"/>
          <w:sz w:val="18"/>
          <w:szCs w:val="18"/>
          <w:color w:val="auto"/>
        </w:rPr>
        <w:t>The earnings per share calculations for the three and six months ended June 30, 2024 and 2023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utilizing the weighted average shares outstanding for the period. Net asset value per share is calculated using the number of shares outstanding as of the end of the period.</w:t>
      </w:r>
    </w:p>
    <w:p>
      <w:pPr>
        <w:spacing w:after="0" w:line="119"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 has an open market stock repurchase program (the “Stock Repurchase Program”)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Most recently, on October 30, 2023, the Board extended the Stock Repurchase Program through December 31, 2024,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2024 and 2023. Refer to Note 8 for additional information concerning stock repurchases.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 accounting pronouncement:</w:t>
      </w:r>
    </w:p>
    <w:p>
      <w:pPr>
        <w:spacing w:after="0" w:line="173"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Portfolio Company Investments</w:t>
      </w:r>
    </w:p>
    <w:p>
      <w:pPr>
        <w:spacing w:after="0" w:line="17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p>
    <w:p>
      <w:pPr>
        <w:spacing w:after="0" w:line="13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active investments in 86 portfolio companies and residual investments in five portfolio companies that have sold their underlying operations. The aggregate fair value of the total portfolio was $1,078,424 and the weighted average yield on the Company’s debt investments was 14.0% as of such date. As of June 30, 2024, the Company held equity investments in 81.3% of its portfolio companies and the average fully diluted equity ownership in those portfolio companies was 3.6%.</w:t>
      </w:r>
    </w:p>
    <w:p>
      <w:pPr>
        <w:spacing w:after="0" w:line="126"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active investments in 81 portfolio companies and residual investments in one portfolio company that has sold its underlying operations. The aggregate fair value of the total portfolio was $957,906 and the weighted average yield on the Company’s debt investments was 14.2% as of such date. As of December 31, 2023, the Company held equity investments in 79.3% of its portfolio companies and the average fully diluted equity ownership in those portfolio companies was 3.0%.</w:t>
      </w:r>
    </w:p>
    <w:p>
      <w:pPr>
        <w:spacing w:after="0" w:line="126"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2024 and December 31, 2023, including accretion of OID and debt investment origination fees, but excluding investments on non-accrual status and investments recorded as a secured borrowing.</w:t>
      </w:r>
    </w:p>
    <w:p>
      <w:pPr>
        <w:spacing w:after="0" w:line="126"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Purchases of debt and equity investments for the six months ended June 30, 2024 and 2023 totaled $208,306 and $147,348, respectively. Proceeds from sales and repayments, including principal, return of capital distributions and realized gains, of portfolio investments for the six months ended June 30, 2024 and 2023 totaled $103,343 and $76,503, respectively.</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by type with corresponding percentage of total portfolio investments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left="22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2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0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675,273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62.6 %</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60.3 %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673,177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63.6 %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577,684</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61.6 %</w:t>
            </w: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148,806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60" w:type="dxa"/>
            <w:vAlign w:val="bottom"/>
          </w:tcPr>
          <w:p>
            <w:pPr>
              <w:spacing w:after="0"/>
              <w:rPr>
                <w:sz w:val="15"/>
                <w:szCs w:val="15"/>
                <w:color w:val="auto"/>
              </w:rPr>
            </w:pPr>
          </w:p>
        </w:tc>
      </w:tr>
      <w:tr>
        <w:trPr>
          <w:trHeight w:val="175"/>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148,346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147,286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135,447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60" w:type="dxa"/>
            <w:vAlign w:val="bottom"/>
            <w:shd w:val="clear" w:color="auto" w:fill="CFF0FC"/>
          </w:tcPr>
          <w:p>
            <w:pPr>
              <w:spacing w:after="0"/>
              <w:rPr>
                <w:sz w:val="15"/>
                <w:szCs w:val="15"/>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125,993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120,264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71,740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60" w:type="dxa"/>
            <w:vAlign w:val="bottom"/>
          </w:tcPr>
          <w:p>
            <w:pPr>
              <w:spacing w:after="0"/>
              <w:rPr>
                <w:sz w:val="15"/>
                <w:szCs w:val="15"/>
                <w:color w:val="auto"/>
              </w:rPr>
            </w:pPr>
          </w:p>
        </w:tc>
      </w:tr>
      <w:tr>
        <w:trPr>
          <w:trHeight w:val="175"/>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2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1,078,424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957,906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1,057,985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936,629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-145415</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-145415</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-145415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-145415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-145415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-145415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-145415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360" w:right="20" w:hanging="339"/>
        <w:spacing w:after="0" w:line="261" w:lineRule="auto"/>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36.8% and 37.4% of the Company's portfolio on a fair value and cost basis as of June 30, 2024, respectively. Includes unitranche investments, which account for 37.6% and 38.5% of the Company's portfolio on a fair value and cost basis as of December 31, 2023, respectively.</w:t>
      </w:r>
    </w:p>
    <w:p>
      <w:pPr>
        <w:spacing w:after="0" w:line="27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8"/>
        </w:trPr>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1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Midwest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110,291</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10.2 %</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112,607</w:t>
            </w:r>
          </w:p>
        </w:tc>
        <w:tc>
          <w:tcPr>
            <w:tcW w:w="14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74,942</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7.1 %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75,436</w:t>
            </w:r>
          </w:p>
        </w:tc>
        <w:tc>
          <w:tcPr>
            <w:tcW w:w="200" w:type="dxa"/>
            <w:vAlign w:val="bottom"/>
            <w:shd w:val="clear" w:color="auto" w:fill="CFF0FC"/>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80" w:type="dxa"/>
            <w:vAlign w:val="bottom"/>
            <w:shd w:val="clear" w:color="auto" w:fill="CFF0FC"/>
          </w:tcPr>
          <w:p>
            <w:pPr>
              <w:spacing w:after="0"/>
              <w:rPr>
                <w:sz w:val="15"/>
                <w:szCs w:val="15"/>
                <w:color w:val="auto"/>
              </w:rPr>
            </w:pPr>
          </w:p>
        </w:tc>
      </w:tr>
      <w:tr>
        <w:trPr>
          <w:trHeight w:val="176"/>
        </w:trPr>
        <w:tc>
          <w:tcPr>
            <w:tcW w:w="1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Southeast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342,399</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286,329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Northeast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198,311</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181,412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189,125</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176,389</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1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West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191,064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209,586</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191,545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Southwest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224,428</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186,274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229,456</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194,466</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12,477</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16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1,078,424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957,906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1,057,985</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936,629</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portfolio composition by type and by geographic region at fair value as a percentage of net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By Type</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By Geographic Region</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8"/>
        </w:trPr>
        <w:tc>
          <w:tcPr>
            <w:tcW w:w="1880" w:type="dxa"/>
            <w:vAlign w:val="bottom"/>
          </w:tcPr>
          <w:p>
            <w:pPr>
              <w:spacing w:after="0"/>
              <w:rPr>
                <w:sz w:val="13"/>
                <w:szCs w:val="13"/>
                <w:color w:val="auto"/>
              </w:rPr>
            </w:pPr>
          </w:p>
        </w:tc>
        <w:tc>
          <w:tcPr>
            <w:tcW w:w="900" w:type="dxa"/>
            <w:vAlign w:val="bottom"/>
          </w:tcPr>
          <w:p>
            <w:pPr>
              <w:ind w:left="36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jc w:val="right"/>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160" w:type="dxa"/>
            <w:vAlign w:val="bottom"/>
            <w:gridSpan w:val="2"/>
          </w:tcPr>
          <w:p>
            <w:pPr>
              <w:jc w:val="right"/>
              <w:ind w:right="106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278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5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5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4"/>
                <w:szCs w:val="14"/>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8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Midwest</w:t>
            </w: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17.1 %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20" w:type="dxa"/>
            <w:vAlign w:val="bottom"/>
          </w:tcPr>
          <w:p>
            <w:pPr>
              <w:spacing w:after="0"/>
              <w:rPr>
                <w:sz w:val="15"/>
                <w:szCs w:val="15"/>
                <w:color w:val="auto"/>
              </w:rPr>
            </w:pPr>
          </w:p>
        </w:tc>
      </w:tr>
      <w:tr>
        <w:trPr>
          <w:trHeight w:val="17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Southeast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Northeast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4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4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7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880" w:type="dxa"/>
            <w:vAlign w:val="bottom"/>
            <w:gridSpan w:val="2"/>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166.7 %</w:t>
            </w:r>
          </w:p>
        </w:tc>
        <w:tc>
          <w:tcPr>
            <w:tcW w:w="1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162.5 %</w:t>
            </w:r>
          </w:p>
        </w:tc>
        <w:tc>
          <w:tcPr>
            <w:tcW w:w="440" w:type="dxa"/>
            <w:vAlign w:val="bottom"/>
          </w:tcPr>
          <w:p>
            <w:pPr>
              <w:spacing w:after="0"/>
              <w:rPr>
                <w:sz w:val="14"/>
                <w:szCs w:val="14"/>
                <w:color w:val="auto"/>
              </w:rPr>
            </w:pPr>
          </w:p>
        </w:tc>
        <w:tc>
          <w:tcPr>
            <w:tcW w:w="19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Southwest</w:t>
            </w:r>
          </w:p>
        </w:tc>
        <w:tc>
          <w:tcPr>
            <w:tcW w:w="1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34.7</w:t>
            </w:r>
          </w:p>
        </w:tc>
        <w:tc>
          <w:tcPr>
            <w:tcW w:w="480" w:type="dxa"/>
            <w:vAlign w:val="bottom"/>
          </w:tcPr>
          <w:p>
            <w:pPr>
              <w:spacing w:after="0"/>
              <w:rPr>
                <w:sz w:val="14"/>
                <w:szCs w:val="14"/>
                <w:color w:val="auto"/>
              </w:rPr>
            </w:pPr>
          </w:p>
        </w:tc>
        <w:tc>
          <w:tcPr>
            <w:tcW w:w="1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Canada</w:t>
            </w:r>
          </w:p>
        </w:tc>
        <w:tc>
          <w:tcPr>
            <w:tcW w:w="1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w:t>
            </w:r>
          </w:p>
        </w:tc>
        <w:tc>
          <w:tcPr>
            <w:tcW w:w="4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166.7 %</w:t>
            </w:r>
          </w:p>
        </w:tc>
        <w:tc>
          <w:tcPr>
            <w:tcW w:w="1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162.5 %</w:t>
            </w:r>
          </w:p>
        </w:tc>
        <w:tc>
          <w:tcPr>
            <w:tcW w:w="2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-401955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-401955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-144780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no portfolio company investments that represented more than 10% of the total investment portfolio on a fair value or cost basis. As of June 30, 2024 and December 31, 2023, the Company had no investments that exceeded 5% of total assets.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2024 and December 31, 2023, the Company had debt investments in three portfolio companies on non-accrual status.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0"/>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40" w:type="dxa"/>
            <w:vAlign w:val="bottom"/>
          </w:tcPr>
          <w:p>
            <w:pPr>
              <w:spacing w:after="0"/>
              <w:rPr>
                <w:sz w:val="14"/>
                <w:szCs w:val="14"/>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Cost</w:t>
            </w:r>
          </w:p>
        </w:tc>
      </w:tr>
      <w:tr>
        <w:trPr>
          <w:trHeight w:val="157"/>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US GreenFiber, LLC</w:t>
            </w:r>
          </w:p>
        </w:tc>
        <w:tc>
          <w:tcPr>
            <w:tcW w:w="160" w:type="dxa"/>
            <w:vAlign w:val="bottom"/>
          </w:tcPr>
          <w:p>
            <w:pPr>
              <w:spacing w:after="0"/>
              <w:rPr>
                <w:sz w:val="13"/>
                <w:szCs w:val="13"/>
                <w:color w:val="auto"/>
              </w:rPr>
            </w:pPr>
          </w:p>
        </w:tc>
        <w:tc>
          <w:tcPr>
            <w:tcW w:w="2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5,222</w:t>
            </w:r>
          </w:p>
        </w:tc>
        <w:tc>
          <w:tcPr>
            <w:tcW w:w="24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w:t>
            </w:r>
          </w:p>
        </w:tc>
        <w:tc>
          <w:tcPr>
            <w:tcW w:w="260" w:type="dxa"/>
            <w:vAlign w:val="bottom"/>
          </w:tcPr>
          <w:p>
            <w:pPr>
              <w:spacing w:after="0"/>
              <w:rPr>
                <w:sz w:val="13"/>
                <w:szCs w:val="13"/>
                <w:color w:val="auto"/>
              </w:rPr>
            </w:pP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Suited Connector LLC</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5,012</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15,933</w:t>
            </w:r>
          </w:p>
        </w:tc>
        <w:tc>
          <w:tcPr>
            <w:tcW w:w="260" w:type="dxa"/>
            <w:vAlign w:val="bottom"/>
            <w:shd w:val="clear" w:color="auto" w:fill="CCEEFF"/>
          </w:tcPr>
          <w:p>
            <w:pPr>
              <w:spacing w:after="0"/>
              <w:rPr>
                <w:sz w:val="14"/>
                <w:szCs w:val="14"/>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Virtex Enterprises, LP</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10,906</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10,906</w:t>
            </w:r>
          </w:p>
        </w:tc>
        <w:tc>
          <w:tcPr>
            <w:tcW w:w="260" w:type="dxa"/>
            <w:vAlign w:val="bottom"/>
          </w:tcPr>
          <w:p>
            <w:pPr>
              <w:spacing w:after="0"/>
              <w:rPr>
                <w:sz w:val="14"/>
                <w:szCs w:val="14"/>
                <w:color w:val="auto"/>
              </w:rPr>
            </w:pPr>
          </w:p>
        </w:tc>
      </w:tr>
      <w:tr>
        <w:trPr>
          <w:trHeight w:val="195"/>
        </w:trPr>
        <w:tc>
          <w:tcPr>
            <w:tcW w:w="58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10,575</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32,061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9,664</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32,062</w:t>
            </w:r>
          </w:p>
        </w:tc>
        <w:tc>
          <w:tcPr>
            <w:tcW w:w="2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Schedule of Investments In and Advances To Affiliates</w:t>
      </w:r>
    </w:p>
    <w:p>
      <w:pPr>
        <w:spacing w:after="0" w:line="173" w:lineRule="exact"/>
        <w:rPr>
          <w:sz w:val="20"/>
          <w:szCs w:val="20"/>
          <w:color w:val="auto"/>
        </w:rPr>
      </w:pPr>
    </w:p>
    <w:p>
      <w:pPr>
        <w:jc w:val="both"/>
        <w:ind w:right="20" w:firstLine="479"/>
        <w:spacing w:after="0" w:line="257"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2023 and any additions and reductions made to such investments during the six months ended June 30, 2024, the ending fair value as of June 30, 2024, and the total investment income earned on such investments during the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8"/>
                <w:szCs w:val="8"/>
                <w:b w:val="1"/>
                <w:bCs w:val="1"/>
                <w:color w:val="auto"/>
              </w:rPr>
              <w:t>Six Months Ended June 30, 2024</w:t>
            </w: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center"/>
              <w:ind w:right="40"/>
              <w:spacing w:after="0" w:line="77" w:lineRule="exact"/>
              <w:rPr>
                <w:sz w:val="20"/>
                <w:szCs w:val="20"/>
                <w:color w:val="auto"/>
              </w:rPr>
            </w:pPr>
            <w:r>
              <w:rPr>
                <w:rFonts w:ascii="Times New Roman" w:cs="Times New Roman" w:eastAsia="Times New Roman" w:hAnsi="Times New Roman"/>
                <w:sz w:val="8"/>
                <w:szCs w:val="8"/>
                <w:b w:val="1"/>
                <w:bCs w:val="1"/>
                <w:color w:val="auto"/>
              </w:rPr>
              <w:t>June 30, 2024</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8"/>
              </w:rPr>
              <w:t>December 31,</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Net Realized</w:t>
            </w:r>
          </w:p>
        </w:tc>
        <w:tc>
          <w:tcPr>
            <w:tcW w:w="200" w:type="dxa"/>
            <w:vAlign w:val="bottom"/>
          </w:tcPr>
          <w:p>
            <w:pPr>
              <w:spacing w:after="0"/>
              <w:rPr>
                <w:sz w:val="6"/>
                <w:szCs w:val="6"/>
                <w:color w:val="auto"/>
              </w:rPr>
            </w:pPr>
          </w:p>
        </w:tc>
        <w:tc>
          <w:tcPr>
            <w:tcW w:w="800" w:type="dxa"/>
            <w:vAlign w:val="bottom"/>
            <w:gridSpan w:val="3"/>
          </w:tcPr>
          <w:p>
            <w:pPr>
              <w:jc w:val="center"/>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Net Change in</w:t>
            </w: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Payment-in-</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jc w:val="center"/>
              <w:ind w:right="40"/>
              <w:spacing w:after="0" w:line="81" w:lineRule="exact"/>
              <w:rPr>
                <w:sz w:val="20"/>
                <w:szCs w:val="20"/>
                <w:color w:val="auto"/>
              </w:rPr>
            </w:pPr>
            <w:r>
              <w:rPr>
                <w:rFonts w:ascii="Times New Roman" w:cs="Times New Roman" w:eastAsia="Times New Roman" w:hAnsi="Times New Roman"/>
                <w:sz w:val="8"/>
                <w:szCs w:val="8"/>
                <w:b w:val="1"/>
                <w:bCs w:val="1"/>
                <w:color w:val="auto"/>
              </w:rPr>
              <w:t>Principal</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91"/>
              </w:rPr>
              <w:t>Gross Additions</w:t>
            </w:r>
            <w:r>
              <w:rPr>
                <w:rFonts w:ascii="Times New Roman" w:cs="Times New Roman" w:eastAsia="Times New Roman" w:hAnsi="Times New Roman"/>
                <w:sz w:val="10"/>
                <w:szCs w:val="10"/>
                <w:b w:val="1"/>
                <w:bCs w:val="1"/>
                <w:color w:val="auto"/>
                <w:w w:val="91"/>
                <w:vertAlign w:val="subscript"/>
              </w:rPr>
              <w:t>(2)</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280"/>
              <w:spacing w:after="0" w:line="81" w:lineRule="exact"/>
              <w:rPr>
                <w:sz w:val="20"/>
                <w:szCs w:val="20"/>
                <w:color w:val="auto"/>
              </w:rPr>
            </w:pPr>
            <w:r>
              <w:rPr>
                <w:rFonts w:ascii="Times New Roman" w:cs="Times New Roman" w:eastAsia="Times New Roman" w:hAnsi="Times New Roman"/>
                <w:sz w:val="8"/>
                <w:szCs w:val="8"/>
                <w:b w:val="1"/>
                <w:bCs w:val="1"/>
                <w:color w:val="auto"/>
              </w:rPr>
              <w:t>Unrealized</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Portfolio Company</w:t>
            </w:r>
          </w:p>
        </w:tc>
        <w:tc>
          <w:tcPr>
            <w:tcW w:w="1680" w:type="dxa"/>
            <w:vAlign w:val="bottom"/>
          </w:tcPr>
          <w:p>
            <w:pPr>
              <w:jc w:val="right"/>
              <w:ind w:right="1600"/>
              <w:spacing w:after="0"/>
              <w:rPr>
                <w:sz w:val="20"/>
                <w:szCs w:val="20"/>
                <w:color w:val="auto"/>
              </w:rPr>
            </w:pPr>
            <w:r>
              <w:rPr>
                <w:rFonts w:ascii="Times New Roman" w:cs="Times New Roman" w:eastAsia="Times New Roman" w:hAnsi="Times New Roman"/>
                <w:sz w:val="4"/>
                <w:szCs w:val="4"/>
                <w:b w:val="1"/>
                <w:bCs w:val="1"/>
                <w:color w:val="auto"/>
                <w:w w:val="84"/>
              </w:rPr>
              <w:t>(1)</w:t>
            </w:r>
          </w:p>
        </w:tc>
        <w:tc>
          <w:tcPr>
            <w:tcW w:w="120" w:type="dxa"/>
            <w:vAlign w:val="bottom"/>
          </w:tcPr>
          <w:p>
            <w:pPr>
              <w:spacing w:after="0"/>
              <w:rPr>
                <w:sz w:val="8"/>
                <w:szCs w:val="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Amount - Debt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40" w:type="dxa"/>
            <w:vAlign w:val="bottom"/>
          </w:tcPr>
          <w:p>
            <w:pPr>
              <w:spacing w:after="0"/>
              <w:rPr>
                <w:sz w:val="8"/>
                <w:szCs w:val="8"/>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5"/>
                <w:szCs w:val="5"/>
                <w:b w:val="1"/>
                <w:bCs w:val="1"/>
                <w:color w:val="auto"/>
              </w:rPr>
              <w:t>(3)</w:t>
            </w:r>
          </w:p>
        </w:tc>
        <w:tc>
          <w:tcPr>
            <w:tcW w:w="240" w:type="dxa"/>
            <w:vAlign w:val="bottom"/>
          </w:tcPr>
          <w:p>
            <w:pPr>
              <w:spacing w:after="0"/>
              <w:rPr>
                <w:sz w:val="8"/>
                <w:szCs w:val="8"/>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June 30, 2024</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Gains</w:t>
            </w:r>
          </w:p>
        </w:tc>
        <w:tc>
          <w:tcPr>
            <w:tcW w:w="160" w:type="dxa"/>
            <w:vAlign w:val="bottom"/>
          </w:tcPr>
          <w:p>
            <w:pPr>
              <w:spacing w:after="0"/>
              <w:rPr>
                <w:sz w:val="20"/>
                <w:szCs w:val="20"/>
                <w:color w:val="auto"/>
              </w:rPr>
            </w:pPr>
            <w:r>
              <w:rPr>
                <w:rFonts w:ascii="Times New Roman" w:cs="Times New Roman" w:eastAsia="Times New Roman" w:hAnsi="Times New Roman"/>
                <w:sz w:val="5"/>
                <w:szCs w:val="5"/>
                <w:b w:val="1"/>
                <w:bCs w:val="1"/>
                <w:color w:val="auto"/>
              </w:rPr>
              <w:t>(4)</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Appreciation</w:t>
            </w:r>
          </w:p>
        </w:tc>
        <w:tc>
          <w:tcPr>
            <w:tcW w:w="80" w:type="dxa"/>
            <w:vAlign w:val="bottom"/>
          </w:tcPr>
          <w:p>
            <w:pPr>
              <w:spacing w:after="0"/>
              <w:rPr>
                <w:sz w:val="8"/>
                <w:szCs w:val="8"/>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220" w:type="dxa"/>
            <w:vAlign w:val="bottom"/>
          </w:tcPr>
          <w:p>
            <w:pPr>
              <w:spacing w:after="0"/>
              <w:rPr>
                <w:sz w:val="8"/>
                <w:szCs w:val="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kind Interest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Dividend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Fee Income</w:t>
            </w:r>
          </w:p>
        </w:tc>
        <w:tc>
          <w:tcPr>
            <w:tcW w:w="0" w:type="dxa"/>
            <w:vAlign w:val="bottom"/>
          </w:tcPr>
          <w:p>
            <w:pPr>
              <w:spacing w:after="0"/>
              <w:rPr>
                <w:sz w:val="1"/>
                <w:szCs w:val="1"/>
                <w:color w:val="auto"/>
              </w:rPr>
            </w:pPr>
          </w:p>
        </w:tc>
      </w:tr>
      <w:tr>
        <w:trPr>
          <w:trHeight w:val="95"/>
        </w:trPr>
        <w:tc>
          <w:tcPr>
            <w:tcW w:w="70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Investments</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8"/>
              </w:rPr>
              <w:t>Fair Value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w w:val="99"/>
              </w:rPr>
              <w:t>Reductions</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8"/>
              </w:rPr>
              <w:t>Fair Value</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(Losses)</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(Depreciation)</w:t>
            </w:r>
          </w:p>
        </w:tc>
        <w:tc>
          <w:tcPr>
            <w:tcW w:w="80" w:type="dxa"/>
            <w:vAlign w:val="bottom"/>
          </w:tcPr>
          <w:p>
            <w:pPr>
              <w:spacing w:after="0"/>
              <w:rPr>
                <w:sz w:val="8"/>
                <w:szCs w:val="8"/>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Income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Income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Income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w:t>
            </w: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20"/>
              <w:spacing w:after="0"/>
              <w:rPr>
                <w:sz w:val="20"/>
                <w:szCs w:val="20"/>
                <w:color w:val="auto"/>
              </w:rPr>
            </w:pPr>
            <w:r>
              <w:rPr>
                <w:rFonts w:ascii="Times New Roman" w:cs="Times New Roman" w:eastAsia="Times New Roman" w:hAnsi="Times New Roman"/>
                <w:sz w:val="8"/>
                <w:szCs w:val="8"/>
                <w:color w:val="auto"/>
                <w:w w:val="97"/>
              </w:rPr>
              <w:t>US GreenFiber, LLC</w:t>
            </w: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4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3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8"/>
                <w:szCs w:val="8"/>
                <w:color w:val="auto"/>
                <w:w w:val="98"/>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8"/>
                <w:szCs w:val="8"/>
                <w:color w:val="auto"/>
                <w:w w:val="98"/>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9"/>
        </w:trPr>
        <w:tc>
          <w:tcPr>
            <w:tcW w:w="2380" w:type="dxa"/>
            <w:vAlign w:val="bottom"/>
            <w:tcBorders>
              <w:top w:val="single" w:sz="8" w:color="CCEEFF"/>
            </w:tcBorders>
            <w:gridSpan w:val="2"/>
          </w:tcPr>
          <w:p>
            <w:pPr>
              <w:ind w:left="20"/>
              <w:spacing w:after="0" w:line="89" w:lineRule="exact"/>
              <w:rPr>
                <w:sz w:val="20"/>
                <w:szCs w:val="20"/>
                <w:color w:val="auto"/>
              </w:rPr>
            </w:pPr>
            <w:r>
              <w:rPr>
                <w:rFonts w:ascii="Times New Roman" w:cs="Times New Roman" w:eastAsia="Times New Roman" w:hAnsi="Times New Roman"/>
                <w:sz w:val="8"/>
                <w:szCs w:val="8"/>
                <w:b w:val="1"/>
                <w:bCs w:val="1"/>
                <w:color w:val="auto"/>
              </w:rPr>
              <w:t>Affiliate Investments</w:t>
            </w:r>
          </w:p>
        </w:tc>
        <w:tc>
          <w:tcPr>
            <w:tcW w:w="12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Applegate Greenfiber Intermediate Inc. (fka US GreenFiber, LLC)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24,590</w:t>
            </w:r>
          </w:p>
        </w:tc>
        <w:tc>
          <w:tcPr>
            <w:tcW w:w="4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24,701</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8"/>
                <w:szCs w:val="8"/>
                <w:color w:val="auto"/>
                <w:w w:val="98"/>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Medsurant Holdings, LLC</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5,930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3,072</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8"/>
                <w:szCs w:val="8"/>
                <w:color w:val="auto"/>
              </w:rPr>
              <w:t>(328 )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8,674</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3,072</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Pfanstiehl, Inc.</w:t>
            </w:r>
          </w:p>
        </w:tc>
        <w:tc>
          <w:tcPr>
            <w:tcW w:w="1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33,321</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(2,344 )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30,977</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(2,344 )</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348</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Spectra A&amp;D Acquisition, Inc. (fka FDS Avionics Corp.)</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15,000</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15,321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1,857</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8"/>
                <w:szCs w:val="8"/>
                <w:color w:val="auto"/>
              </w:rPr>
              <w:t>(1,284 )</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15,894</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(1,285 )</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480"/>
              <w:spacing w:after="0"/>
              <w:rPr>
                <w:sz w:val="20"/>
                <w:szCs w:val="20"/>
                <w:color w:val="auto"/>
              </w:rPr>
            </w:pPr>
            <w:r>
              <w:rPr>
                <w:rFonts w:ascii="Times New Roman" w:cs="Times New Roman" w:eastAsia="Times New Roman" w:hAnsi="Times New Roman"/>
                <w:sz w:val="8"/>
                <w:szCs w:val="8"/>
                <w:color w:val="auto"/>
                <w:w w:val="99"/>
              </w:rPr>
              <w:t>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Steward Holding LLC (dba Steward Advanced Materials)</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4,714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(1,213 )</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3,501</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(1,213 )</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154</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1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24,602</w:t>
            </w:r>
          </w:p>
        </w:tc>
        <w:tc>
          <w:tcPr>
            <w:tcW w:w="2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83,876</w:t>
            </w:r>
          </w:p>
        </w:tc>
        <w:tc>
          <w:tcPr>
            <w:tcW w:w="240" w:type="dxa"/>
            <w:vAlign w:val="bottom"/>
            <w:gridSpan w:val="2"/>
          </w:tcPr>
          <w:p>
            <w:pPr>
              <w:spacing w:after="0"/>
              <w:rPr>
                <w:sz w:val="8"/>
                <w:szCs w:val="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5,040</w:t>
            </w:r>
          </w:p>
        </w:tc>
        <w:tc>
          <w:tcPr>
            <w:tcW w:w="2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8"/>
                <w:szCs w:val="8"/>
                <w:color w:val="auto"/>
              </w:rPr>
              <w:t>(5,169 )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83,747</w:t>
            </w:r>
          </w:p>
        </w:tc>
        <w:tc>
          <w:tcPr>
            <w:tcW w:w="220" w:type="dxa"/>
            <w:vAlign w:val="bottom"/>
          </w:tcPr>
          <w:p>
            <w:pPr>
              <w:spacing w:after="0"/>
              <w:rPr>
                <w:sz w:val="8"/>
                <w:szCs w:val="8"/>
                <w:color w:val="auto"/>
              </w:rPr>
            </w:pPr>
          </w:p>
        </w:tc>
        <w:tc>
          <w:tcPr>
            <w:tcW w:w="380" w:type="dxa"/>
            <w:vAlign w:val="bottom"/>
          </w:tcPr>
          <w:p>
            <w:pPr>
              <w:jc w:val="right"/>
              <w:ind w:right="280"/>
              <w:spacing w:after="0"/>
              <w:rPr>
                <w:sz w:val="20"/>
                <w:szCs w:val="20"/>
                <w:color w:val="auto"/>
              </w:rPr>
            </w:pPr>
            <w:r>
              <w:rPr>
                <w:rFonts w:ascii="Times New Roman" w:cs="Times New Roman" w:eastAsia="Times New Roman" w:hAnsi="Times New Roman"/>
                <w:sz w:val="8"/>
                <w:szCs w:val="8"/>
                <w:color w:val="auto"/>
                <w:w w:val="98"/>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(1,658 )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ind w:left="340"/>
              <w:spacing w:after="0"/>
              <w:rPr>
                <w:sz w:val="20"/>
                <w:szCs w:val="20"/>
                <w:color w:val="auto"/>
              </w:rPr>
            </w:pPr>
            <w:r>
              <w:rPr>
                <w:rFonts w:ascii="Times New Roman" w:cs="Times New Roman" w:eastAsia="Times New Roman" w:hAnsi="Times New Roman"/>
                <w:sz w:val="8"/>
                <w:szCs w:val="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480"/>
              <w:spacing w:after="0"/>
              <w:rPr>
                <w:sz w:val="20"/>
                <w:szCs w:val="20"/>
                <w:color w:val="auto"/>
              </w:rPr>
            </w:pPr>
            <w:r>
              <w:rPr>
                <w:rFonts w:ascii="Times New Roman" w:cs="Times New Roman" w:eastAsia="Times New Roman" w:hAnsi="Times New Roman"/>
                <w:sz w:val="8"/>
                <w:szCs w:val="8"/>
                <w:color w:val="auto"/>
                <w:w w:val="99"/>
              </w:rPr>
              <w:t>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-539115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-522605</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-539115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-522605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-539115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-522605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-539115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-522605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-539115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-522605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-539115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-522605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-539115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-522605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-539115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-522605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-539115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-522605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-539115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-522605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-102235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-102235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-102235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-102235</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-102235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-102235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-102235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-102235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-102235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-102235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360" w:right="280" w:hanging="339"/>
        <w:spacing w:after="0" w:line="243"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interest rate and maturity date for debt investments, and if the investment is income producing is disclosed in the consolidated schedule of investments.</w:t>
      </w:r>
    </w:p>
    <w:p>
      <w:pPr>
        <w:ind w:left="360" w:right="40" w:hanging="339"/>
        <w:spacing w:after="0" w:line="228"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40" w:hanging="339"/>
        <w:spacing w:after="0" w:line="237"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 w:lineRule="exact"/>
        <w:rPr>
          <w:sz w:val="20"/>
          <w:szCs w:val="20"/>
          <w:color w:val="auto"/>
        </w:rPr>
      </w:pPr>
    </w:p>
    <w:p>
      <w:pPr>
        <w:ind w:left="360" w:right="160" w:hanging="339"/>
        <w:spacing w:after="0" w:line="233"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27"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2022 and any additions and reductions made to such investments during the year ended December 31, 2023, including the total investment income earned on such investments during the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9"/>
                <w:szCs w:val="9"/>
                <w:b w:val="1"/>
                <w:bCs w:val="1"/>
                <w:color w:val="auto"/>
              </w:rPr>
              <w:t>Year Ended December 31, 2023</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3"/>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Net Change in</w:t>
            </w: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2023 Principal</w:t>
            </w:r>
          </w:p>
        </w:tc>
        <w:tc>
          <w:tcPr>
            <w:tcW w:w="240" w:type="dxa"/>
            <w:vAlign w:val="bottom"/>
          </w:tcPr>
          <w:p>
            <w:pPr>
              <w:spacing w:after="0"/>
              <w:rPr>
                <w:sz w:val="8"/>
                <w:szCs w:val="8"/>
                <w:color w:val="auto"/>
              </w:rPr>
            </w:pPr>
          </w:p>
        </w:tc>
        <w:tc>
          <w:tcPr>
            <w:tcW w:w="62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74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Net Realized</w:t>
            </w:r>
          </w:p>
        </w:tc>
        <w:tc>
          <w:tcPr>
            <w:tcW w:w="80" w:type="dxa"/>
            <w:vAlign w:val="bottom"/>
          </w:tcPr>
          <w:p>
            <w:pPr>
              <w:spacing w:after="0"/>
              <w:rPr>
                <w:sz w:val="8"/>
                <w:szCs w:val="8"/>
                <w:color w:val="auto"/>
              </w:rPr>
            </w:pPr>
          </w:p>
        </w:tc>
        <w:tc>
          <w:tcPr>
            <w:tcW w:w="720" w:type="dxa"/>
            <w:vAlign w:val="bottom"/>
            <w:gridSpan w:val="2"/>
          </w:tcPr>
          <w:p>
            <w:pPr>
              <w:jc w:val="right"/>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5"/>
              </w:rPr>
              <w:t>Unrealized</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Payment-in-</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8"/>
                <w:szCs w:val="8"/>
                <w:color w:val="auto"/>
              </w:rPr>
            </w:pPr>
          </w:p>
        </w:tc>
        <w:tc>
          <w:tcPr>
            <w:tcW w:w="60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w w:val="97"/>
              </w:rPr>
              <w:t>Amount - Debt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35"/>
              <w:spacing w:after="0" w:line="92" w:lineRule="exact"/>
              <w:rPr>
                <w:sz w:val="20"/>
                <w:szCs w:val="20"/>
                <w:color w:val="auto"/>
              </w:rPr>
            </w:pPr>
            <w:r>
              <w:rPr>
                <w:rFonts w:ascii="Times New Roman" w:cs="Times New Roman" w:eastAsia="Times New Roman" w:hAnsi="Times New Roman"/>
                <w:sz w:val="9"/>
                <w:szCs w:val="9"/>
                <w:b w:val="1"/>
                <w:bCs w:val="1"/>
                <w:color w:val="auto"/>
                <w:w w:val="99"/>
              </w:rPr>
              <w:t>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155"/>
              <w:spacing w:after="0" w:line="92" w:lineRule="exact"/>
              <w:rPr>
                <w:sz w:val="20"/>
                <w:szCs w:val="20"/>
                <w:color w:val="auto"/>
              </w:rPr>
            </w:pPr>
            <w:r>
              <w:rPr>
                <w:rFonts w:ascii="Times New Roman" w:cs="Times New Roman" w:eastAsia="Times New Roman" w:hAnsi="Times New Roman"/>
                <w:sz w:val="9"/>
                <w:szCs w:val="9"/>
                <w:b w:val="1"/>
                <w:bCs w:val="1"/>
                <w:color w:val="auto"/>
              </w:rPr>
              <w:t>Gross</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420"/>
              <w:spacing w:after="0" w:line="92" w:lineRule="exact"/>
              <w:rPr>
                <w:sz w:val="20"/>
                <w:szCs w:val="20"/>
                <w:color w:val="auto"/>
              </w:rPr>
            </w:pPr>
            <w:r>
              <w:rPr>
                <w:rFonts w:ascii="Times New Roman" w:cs="Times New Roman" w:eastAsia="Times New Roman" w:hAnsi="Times New Roman"/>
                <w:sz w:val="9"/>
                <w:szCs w:val="9"/>
                <w:b w:val="1"/>
                <w:bCs w:val="1"/>
                <w:color w:val="auto"/>
              </w:rPr>
              <w:t>Gross</w:t>
            </w:r>
          </w:p>
        </w:tc>
        <w:tc>
          <w:tcPr>
            <w:tcW w:w="80" w:type="dxa"/>
            <w:vAlign w:val="bottom"/>
          </w:tcPr>
          <w:p>
            <w:pPr>
              <w:spacing w:after="0"/>
              <w:rPr>
                <w:sz w:val="8"/>
                <w:szCs w:val="8"/>
                <w:color w:val="auto"/>
              </w:rPr>
            </w:pPr>
          </w:p>
        </w:tc>
        <w:tc>
          <w:tcPr>
            <w:tcW w:w="720" w:type="dxa"/>
            <w:vAlign w:val="bottom"/>
            <w:gridSpan w:val="2"/>
          </w:tcPr>
          <w:p>
            <w:pPr>
              <w:jc w:val="center"/>
              <w:ind w:right="300"/>
              <w:spacing w:after="0" w:line="92" w:lineRule="exact"/>
              <w:rPr>
                <w:sz w:val="20"/>
                <w:szCs w:val="20"/>
                <w:color w:val="auto"/>
              </w:rPr>
            </w:pPr>
            <w:r>
              <w:rPr>
                <w:rFonts w:ascii="Times New Roman" w:cs="Times New Roman" w:eastAsia="Times New Roman" w:hAnsi="Times New Roman"/>
                <w:sz w:val="9"/>
                <w:szCs w:val="9"/>
                <w:b w:val="1"/>
                <w:bCs w:val="1"/>
                <w:color w:val="auto"/>
              </w:rPr>
              <w:t>2023 Fair</w:t>
            </w:r>
          </w:p>
        </w:tc>
        <w:tc>
          <w:tcPr>
            <w:tcW w:w="60" w:type="dxa"/>
            <w:vAlign w:val="bottom"/>
          </w:tcPr>
          <w:p>
            <w:pPr>
              <w:spacing w:after="0"/>
              <w:rPr>
                <w:sz w:val="8"/>
                <w:szCs w:val="8"/>
                <w:color w:val="auto"/>
              </w:rPr>
            </w:pPr>
          </w:p>
        </w:tc>
        <w:tc>
          <w:tcPr>
            <w:tcW w:w="680" w:type="dxa"/>
            <w:vAlign w:val="bottom"/>
            <w:gridSpan w:val="2"/>
          </w:tcPr>
          <w:p>
            <w:pPr>
              <w:jc w:val="right"/>
              <w:ind w:right="380"/>
              <w:spacing w:after="0" w:line="92" w:lineRule="exact"/>
              <w:rPr>
                <w:sz w:val="20"/>
                <w:szCs w:val="20"/>
                <w:color w:val="auto"/>
              </w:rPr>
            </w:pPr>
            <w:r>
              <w:rPr>
                <w:rFonts w:ascii="Times New Roman" w:cs="Times New Roman" w:eastAsia="Times New Roman" w:hAnsi="Times New Roman"/>
                <w:sz w:val="9"/>
                <w:szCs w:val="9"/>
                <w:b w:val="1"/>
                <w:bCs w:val="1"/>
                <w:color w:val="auto"/>
              </w:rPr>
              <w:t>Gains</w:t>
            </w:r>
          </w:p>
        </w:tc>
        <w:tc>
          <w:tcPr>
            <w:tcW w:w="800" w:type="dxa"/>
            <w:vAlign w:val="bottom"/>
            <w:gridSpan w:val="3"/>
          </w:tcPr>
          <w:p>
            <w:pPr>
              <w:ind w:left="40"/>
              <w:spacing w:after="0" w:line="92" w:lineRule="exact"/>
              <w:rPr>
                <w:sz w:val="20"/>
                <w:szCs w:val="20"/>
                <w:color w:val="auto"/>
              </w:rPr>
            </w:pPr>
            <w:r>
              <w:rPr>
                <w:rFonts w:ascii="Times New Roman" w:cs="Times New Roman" w:eastAsia="Times New Roman" w:hAnsi="Times New Roman"/>
                <w:sz w:val="9"/>
                <w:szCs w:val="9"/>
                <w:b w:val="1"/>
                <w:bCs w:val="1"/>
                <w:color w:val="auto"/>
              </w:rPr>
              <w:t>Appreciation</w:t>
            </w:r>
          </w:p>
        </w:tc>
        <w:tc>
          <w:tcPr>
            <w:tcW w:w="60" w:type="dxa"/>
            <w:vAlign w:val="bottom"/>
          </w:tcPr>
          <w:p>
            <w:pPr>
              <w:spacing w:after="0"/>
              <w:rPr>
                <w:sz w:val="8"/>
                <w:szCs w:val="8"/>
                <w:color w:val="auto"/>
              </w:rPr>
            </w:pPr>
          </w:p>
        </w:tc>
        <w:tc>
          <w:tcPr>
            <w:tcW w:w="460" w:type="dxa"/>
            <w:vAlign w:val="bottom"/>
          </w:tcPr>
          <w:p>
            <w:pPr>
              <w:jc w:val="right"/>
              <w:ind w:right="75"/>
              <w:spacing w:after="0" w:line="92" w:lineRule="exact"/>
              <w:rPr>
                <w:sz w:val="20"/>
                <w:szCs w:val="20"/>
                <w:color w:val="auto"/>
              </w:rPr>
            </w:pPr>
            <w:r>
              <w:rPr>
                <w:rFonts w:ascii="Times New Roman" w:cs="Times New Roman" w:eastAsia="Times New Roman" w:hAnsi="Times New Roman"/>
                <w:sz w:val="9"/>
                <w:szCs w:val="9"/>
                <w:b w:val="1"/>
                <w:bCs w:val="1"/>
                <w:color w:val="auto"/>
              </w:rPr>
              <w:t>Interest</w:t>
            </w:r>
          </w:p>
        </w:tc>
        <w:tc>
          <w:tcPr>
            <w:tcW w:w="220" w:type="dxa"/>
            <w:vAlign w:val="bottom"/>
          </w:tcPr>
          <w:p>
            <w:pPr>
              <w:spacing w:after="0"/>
              <w:rPr>
                <w:sz w:val="8"/>
                <w:szCs w:val="8"/>
                <w:color w:val="auto"/>
              </w:rPr>
            </w:pPr>
          </w:p>
        </w:tc>
        <w:tc>
          <w:tcPr>
            <w:tcW w:w="740" w:type="dxa"/>
            <w:vAlign w:val="bottom"/>
            <w:gridSpan w:val="3"/>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rPr>
              <w:t>kind Interest</w:t>
            </w:r>
          </w:p>
        </w:tc>
        <w:tc>
          <w:tcPr>
            <w:tcW w:w="80" w:type="dxa"/>
            <w:vAlign w:val="bottom"/>
          </w:tcPr>
          <w:p>
            <w:pPr>
              <w:spacing w:after="0"/>
              <w:rPr>
                <w:sz w:val="8"/>
                <w:szCs w:val="8"/>
                <w:color w:val="auto"/>
              </w:rPr>
            </w:pPr>
          </w:p>
        </w:tc>
        <w:tc>
          <w:tcPr>
            <w:tcW w:w="460" w:type="dxa"/>
            <w:vAlign w:val="bottom"/>
          </w:tcPr>
          <w:p>
            <w:pPr>
              <w:jc w:val="right"/>
              <w:ind w:right="55"/>
              <w:spacing w:after="0" w:line="92" w:lineRule="exact"/>
              <w:rPr>
                <w:sz w:val="20"/>
                <w:szCs w:val="20"/>
                <w:color w:val="auto"/>
              </w:rPr>
            </w:pPr>
            <w:r>
              <w:rPr>
                <w:rFonts w:ascii="Times New Roman" w:cs="Times New Roman" w:eastAsia="Times New Roman" w:hAnsi="Times New Roman"/>
                <w:sz w:val="9"/>
                <w:szCs w:val="9"/>
                <w:b w:val="1"/>
                <w:bCs w:val="1"/>
                <w:color w:val="auto"/>
                <w:w w:val="96"/>
              </w:rPr>
              <w:t>Dividend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8"/>
              </w:rPr>
              <w:t>Investments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
              <w:spacing w:after="0" w:line="122" w:lineRule="exact"/>
              <w:rPr>
                <w:sz w:val="20"/>
                <w:szCs w:val="20"/>
                <w:color w:val="auto"/>
              </w:rPr>
            </w:pPr>
            <w:r>
              <w:rPr>
                <w:rFonts w:ascii="Times New Roman" w:cs="Times New Roman" w:eastAsia="Times New Roman" w:hAnsi="Times New Roman"/>
                <w:sz w:val="9"/>
                <w:szCs w:val="9"/>
                <w:b w:val="1"/>
                <w:bCs w:val="1"/>
                <w:color w:val="auto"/>
                <w:w w:val="93"/>
              </w:rPr>
              <w:t xml:space="preserve">Additions </w:t>
            </w:r>
            <w:r>
              <w:rPr>
                <w:rFonts w:ascii="Times New Roman" w:cs="Times New Roman" w:eastAsia="Times New Roman" w:hAnsi="Times New Roman"/>
                <w:sz w:val="12"/>
                <w:szCs w:val="12"/>
                <w:b w:val="1"/>
                <w:bCs w:val="1"/>
                <w:color w:val="auto"/>
                <w:w w:val="93"/>
                <w:vertAlign w:val="superscript"/>
              </w:rPr>
              <w:t>(2)</w:t>
            </w:r>
          </w:p>
        </w:tc>
        <w:tc>
          <w:tcPr>
            <w:tcW w:w="260" w:type="dxa"/>
            <w:vAlign w:val="bottom"/>
          </w:tcPr>
          <w:p>
            <w:pPr>
              <w:spacing w:after="0"/>
              <w:rPr>
                <w:sz w:val="10"/>
                <w:szCs w:val="10"/>
                <w:color w:val="auto"/>
              </w:rPr>
            </w:pPr>
          </w:p>
        </w:tc>
        <w:tc>
          <w:tcPr>
            <w:tcW w:w="82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9"/>
                <w:szCs w:val="9"/>
                <w:b w:val="1"/>
                <w:bCs w:val="1"/>
                <w:color w:val="auto"/>
                <w:w w:val="98"/>
              </w:rPr>
              <w:t xml:space="preserve">Reductions </w:t>
            </w:r>
            <w:r>
              <w:rPr>
                <w:rFonts w:ascii="Times New Roman" w:cs="Times New Roman" w:eastAsia="Times New Roman" w:hAnsi="Times New Roman"/>
                <w:sz w:val="12"/>
                <w:szCs w:val="12"/>
                <w:b w:val="1"/>
                <w:bCs w:val="1"/>
                <w:color w:val="auto"/>
                <w:w w:val="98"/>
                <w:vertAlign w:val="superscript"/>
              </w:rPr>
              <w:t>(3)</w:t>
            </w:r>
          </w:p>
        </w:tc>
        <w:tc>
          <w:tcPr>
            <w:tcW w:w="80" w:type="dxa"/>
            <w:vAlign w:val="bottom"/>
          </w:tcPr>
          <w:p>
            <w:pPr>
              <w:spacing w:after="0"/>
              <w:rPr>
                <w:sz w:val="10"/>
                <w:szCs w:val="10"/>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60" w:type="dxa"/>
            <w:vAlign w:val="bottom"/>
          </w:tcPr>
          <w:p>
            <w:pPr>
              <w:spacing w:after="0"/>
              <w:rPr>
                <w:sz w:val="10"/>
                <w:szCs w:val="10"/>
                <w:color w:val="auto"/>
              </w:rPr>
            </w:pPr>
          </w:p>
        </w:tc>
        <w:tc>
          <w:tcPr>
            <w:tcW w:w="6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9"/>
                <w:szCs w:val="9"/>
                <w:b w:val="1"/>
                <w:bCs w:val="1"/>
                <w:color w:val="auto"/>
                <w:w w:val="89"/>
              </w:rPr>
              <w:t xml:space="preserve">(Losses) </w:t>
            </w:r>
            <w:r>
              <w:rPr>
                <w:rFonts w:ascii="Times New Roman" w:cs="Times New Roman" w:eastAsia="Times New Roman" w:hAnsi="Times New Roman"/>
                <w:sz w:val="12"/>
                <w:szCs w:val="12"/>
                <w:b w:val="1"/>
                <w:bCs w:val="1"/>
                <w:color w:val="auto"/>
                <w:w w:val="89"/>
                <w:vertAlign w:val="superscript"/>
              </w:rPr>
              <w:t>(4)</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(Depreciation)</w:t>
            </w:r>
          </w:p>
        </w:tc>
        <w:tc>
          <w:tcPr>
            <w:tcW w:w="6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Income</w:t>
            </w:r>
          </w:p>
        </w:tc>
        <w:tc>
          <w:tcPr>
            <w:tcW w:w="80" w:type="dxa"/>
            <w:vAlign w:val="bottom"/>
          </w:tcPr>
          <w:p>
            <w:pPr>
              <w:spacing w:after="0"/>
              <w:rPr>
                <w:sz w:val="10"/>
                <w:szCs w:val="10"/>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Fee Income</w:t>
            </w:r>
          </w:p>
        </w:tc>
        <w:tc>
          <w:tcPr>
            <w:tcW w:w="0" w:type="dxa"/>
            <w:vAlign w:val="bottom"/>
          </w:tcPr>
          <w:p>
            <w:pPr>
              <w:spacing w:after="0"/>
              <w:rPr>
                <w:sz w:val="1"/>
                <w:szCs w:val="1"/>
                <w:color w:val="auto"/>
              </w:rPr>
            </w:pPr>
          </w:p>
        </w:tc>
      </w:tr>
      <w:tr>
        <w:trPr>
          <w:trHeight w:val="115"/>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EBL, LLC (EbLens)</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11,458</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(11,458 )</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(11,458 )</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11,083</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11,458</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(11,458 )</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(11,458 )</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11,083</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0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Applegate Greenfiber Intermediate Inc. (fka US GreenFiber,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LLC)</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23,168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24,590</w:t>
            </w:r>
          </w:p>
        </w:tc>
        <w:tc>
          <w:tcPr>
            <w:tcW w:w="220" w:type="dxa"/>
            <w:vAlign w:val="bottom"/>
          </w:tcPr>
          <w:p>
            <w:pPr>
              <w:spacing w:after="0"/>
              <w:rPr>
                <w:sz w:val="10"/>
                <w:szCs w:val="10"/>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1,422</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974</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2,540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3,463</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(73 )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5,930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3,463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51,992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(18,717 )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33,321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(8,717 )</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Spectra A&amp;D Acquisition, Inc. (fka FDS Avionics Corp.)</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19,118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2,208</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(6,005 )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15,321</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(4,505 )</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2,379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65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Steward Holding LLC (dba Steward Advanced Materials)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4,772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(58 )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4,714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(58 )</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24,602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101,590</w:t>
            </w:r>
          </w:p>
        </w:tc>
        <w:tc>
          <w:tcPr>
            <w:tcW w:w="240" w:type="dxa"/>
            <w:vAlign w:val="bottom"/>
            <w:gridSpan w:val="2"/>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7,139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rPr>
              <w:t>(24,853 )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83,876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(8,395 )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4,026</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65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-744855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-744855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-744855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-744855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-744855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-744855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-744855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-744855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-744855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-744855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-25400</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-25400</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-25400</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60" w:right="260" w:hanging="339"/>
        <w:spacing w:after="0" w:line="243"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interest rate and maturity date for debt investments, and if the investment is income producing is disclosed in the consolidated schedule of investments.</w:t>
      </w:r>
    </w:p>
    <w:p>
      <w:pPr>
        <w:ind w:left="360" w:right="20" w:hanging="339"/>
        <w:spacing w:after="0" w:line="228"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33"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as of the measurement date.</w:t>
      </w:r>
    </w:p>
    <w:p>
      <w:pPr>
        <w:spacing w:after="0" w:line="171"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in active markets, or that are quoted prices for identical or similar assets in markets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active and inputs that are observable, either directly or indirectly, for substantially the full term, if applicable, of the investment.</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include those that are both unobservable and significant to the overall fair value measurement.</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3"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June 30, 2024. Therefore, the Company values such portfolio investments at fair value, as determined in good faith by the Board, using Level 3 inputs, with the exception of money market funds and one portfolio company that was valued using Level 1 inputs as of June 30, 2024.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40"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Board undertakes a multi-step valuation process each quarter, as described below:</w:t>
      </w:r>
    </w:p>
    <w:p>
      <w:pPr>
        <w:spacing w:after="0" w:line="54" w:lineRule="exact"/>
        <w:rPr>
          <w:sz w:val="20"/>
          <w:szCs w:val="20"/>
          <w:color w:val="auto"/>
        </w:rPr>
      </w:pPr>
    </w:p>
    <w:p>
      <w:pPr>
        <w:ind w:left="960" w:right="20" w:hanging="47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117" w:lineRule="exact"/>
        <w:rPr>
          <w:rFonts w:ascii="Times New Roman" w:cs="Times New Roman" w:eastAsia="Times New Roman" w:hAnsi="Times New Roman"/>
          <w:sz w:val="18"/>
          <w:szCs w:val="18"/>
          <w:color w:val="auto"/>
        </w:rPr>
      </w:pPr>
    </w:p>
    <w:p>
      <w:pPr>
        <w:jc w:val="both"/>
        <w:ind w:left="960" w:hanging="473"/>
        <w:spacing w:after="0" w:line="255"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0"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3"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08"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Board consulted with the independent third-party valuation firm(s) in arriving at our determination of fair value for 16 and 18 of our portfolio company investments representing 22.8% and 29.9% of the total portfolio investments at fair value (exclusive of new portfolio company investments made during the three months ended June 30, 2024 and December 31, 2023, respectively) as of June 30, 2024 and December 31, 2023, respectively.</w:t>
      </w:r>
    </w:p>
    <w:p>
      <w:pPr>
        <w:spacing w:after="0" w:line="122"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33"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3"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4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3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by major class according to the fair value hierarchy: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675,273</w:t>
            </w:r>
          </w:p>
        </w:tc>
        <w:tc>
          <w:tcPr>
            <w:tcW w:w="100" w:type="dxa"/>
            <w:vAlign w:val="bottom"/>
          </w:tcPr>
          <w:p>
            <w:pPr>
              <w:spacing w:after="0"/>
              <w:rPr>
                <w:sz w:val="19"/>
                <w:szCs w:val="19"/>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9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122,092</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122,092</w:t>
            </w:r>
          </w:p>
        </w:tc>
        <w:tc>
          <w:tcPr>
            <w:tcW w:w="100" w:type="dxa"/>
            <w:vAlign w:val="bottom"/>
            <w:shd w:val="clear" w:color="auto" w:fill="CFF0FC"/>
          </w:tcPr>
          <w:p>
            <w:pPr>
              <w:spacing w:after="0"/>
              <w:rPr>
                <w:sz w:val="20"/>
                <w:szCs w:val="20"/>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148,346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148,346</w:t>
            </w:r>
          </w:p>
        </w:tc>
        <w:tc>
          <w:tcPr>
            <w:tcW w:w="100" w:type="dxa"/>
            <w:vAlign w:val="bottom"/>
          </w:tcPr>
          <w:p>
            <w:pPr>
              <w:spacing w:after="0"/>
              <w:rPr>
                <w:sz w:val="19"/>
                <w:szCs w:val="19"/>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9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125,745</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125,993</w:t>
            </w:r>
          </w:p>
        </w:tc>
        <w:tc>
          <w:tcPr>
            <w:tcW w:w="100" w:type="dxa"/>
            <w:vAlign w:val="bottom"/>
            <w:shd w:val="clear" w:color="auto" w:fill="CFF0FC"/>
          </w:tcPr>
          <w:p>
            <w:pPr>
              <w:spacing w:after="0"/>
              <w:rPr>
                <w:sz w:val="20"/>
                <w:szCs w:val="20"/>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00" w:type="dxa"/>
            <w:vAlign w:val="bottom"/>
          </w:tcPr>
          <w:p>
            <w:pPr>
              <w:spacing w:after="0"/>
              <w:rPr>
                <w:sz w:val="19"/>
                <w:szCs w:val="19"/>
                <w:color w:val="auto"/>
              </w:rPr>
            </w:pPr>
          </w:p>
        </w:tc>
      </w:tr>
      <w:tr>
        <w:trPr>
          <w:trHeight w:val="236"/>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9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44,839</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1,078,176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1,123,263</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-179705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-179705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-179705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9"/>
                <w:szCs w:val="19"/>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578,140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578,140</w:t>
            </w:r>
          </w:p>
        </w:tc>
        <w:tc>
          <w:tcPr>
            <w:tcW w:w="100" w:type="dxa"/>
            <w:vAlign w:val="bottom"/>
            <w:shd w:val="clear" w:color="auto" w:fill="CFF0FC"/>
          </w:tcPr>
          <w:p>
            <w:pPr>
              <w:spacing w:after="0"/>
              <w:rPr>
                <w:sz w:val="19"/>
                <w:szCs w:val="19"/>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119,561</w:t>
            </w:r>
          </w:p>
        </w:tc>
        <w:tc>
          <w:tcPr>
            <w:tcW w:w="100" w:type="dxa"/>
            <w:vAlign w:val="bottom"/>
          </w:tcPr>
          <w:p>
            <w:pPr>
              <w:spacing w:after="0"/>
              <w:rPr>
                <w:sz w:val="19"/>
                <w:szCs w:val="19"/>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8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135,173</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135,173</w:t>
            </w:r>
          </w:p>
        </w:tc>
        <w:tc>
          <w:tcPr>
            <w:tcW w:w="100" w:type="dxa"/>
            <w:vAlign w:val="bottom"/>
            <w:shd w:val="clear" w:color="auto" w:fill="CFF0FC"/>
          </w:tcPr>
          <w:p>
            <w:pPr>
              <w:spacing w:after="0"/>
              <w:rPr>
                <w:sz w:val="20"/>
                <w:szCs w:val="20"/>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Pr>
          <w:p>
            <w:pPr>
              <w:spacing w:after="0"/>
              <w:rPr>
                <w:sz w:val="19"/>
                <w:szCs w:val="19"/>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120,264</w:t>
            </w:r>
          </w:p>
        </w:tc>
        <w:tc>
          <w:tcPr>
            <w:tcW w:w="100" w:type="dxa"/>
            <w:vAlign w:val="bottom"/>
          </w:tcPr>
          <w:p>
            <w:pPr>
              <w:spacing w:after="0"/>
              <w:rPr>
                <w:sz w:val="19"/>
                <w:szCs w:val="19"/>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shd w:val="clear" w:color="auto" w:fill="CFF0FC"/>
          </w:tcPr>
          <w:p>
            <w:pPr>
              <w:spacing w:after="0"/>
              <w:rPr>
                <w:sz w:val="20"/>
                <w:szCs w:val="20"/>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8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240" w:type="dxa"/>
            <w:vAlign w:val="bottom"/>
          </w:tcPr>
          <w:p>
            <w:pPr>
              <w:spacing w:after="0"/>
              <w:rPr>
                <w:sz w:val="19"/>
                <w:szCs w:val="19"/>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100" w:type="dxa"/>
            <w:vAlign w:val="bottom"/>
          </w:tcPr>
          <w:p>
            <w:pPr>
              <w:spacing w:after="0"/>
              <w:rPr>
                <w:sz w:val="19"/>
                <w:szCs w:val="19"/>
                <w:color w:val="auto"/>
              </w:rPr>
            </w:pPr>
          </w:p>
        </w:tc>
      </w:tr>
      <w:tr>
        <w:trPr>
          <w:trHeight w:val="266"/>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114,813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957,649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1,072,462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2024 and 2023.</w:t>
      </w:r>
    </w:p>
    <w:p>
      <w:pPr>
        <w:sectPr>
          <w:pgSz w:w="11900" w:h="16838" w:orient="portrait"/>
          <w:cols w:equalWidth="0" w:num="1">
            <w:col w:w="11240"/>
          </w:cols>
          <w:pgMar w:left="320" w:top="76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beginning and ending balances for fair valued investments measured using significant unobservable inputs (Level 3) for the six months ended June 30, 2024 and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Debt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Debt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Debt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2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456,105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182,948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101,456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117,431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860,019</w:t>
            </w:r>
          </w:p>
        </w:tc>
        <w:tc>
          <w:tcPr>
            <w:tcW w:w="100" w:type="dxa"/>
            <w:vAlign w:val="bottom"/>
            <w:shd w:val="clear" w:color="auto" w:fill="CFF0FC"/>
          </w:tcPr>
          <w:p>
            <w:pPr>
              <w:spacing w:after="0"/>
              <w:rPr>
                <w:sz w:val="13"/>
                <w:szCs w:val="13"/>
                <w:color w:val="auto"/>
              </w:rPr>
            </w:pP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(9,333 )</w:t>
            </w: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(5,483 )</w:t>
            </w: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(76 )</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(842 )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(2,529 )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100" w:type="dxa"/>
            <w:vAlign w:val="bottom"/>
            <w:shd w:val="clear" w:color="auto" w:fill="CFF0FC"/>
          </w:tcPr>
          <w:p>
            <w:pPr>
              <w:spacing w:after="0"/>
              <w:rPr>
                <w:sz w:val="14"/>
                <w:szCs w:val="14"/>
                <w:color w:val="auto"/>
              </w:rPr>
            </w:pP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92,162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147,348</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(26,264 )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(42,413 )</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(7,779 )</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(76,456 )</w:t>
            </w: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(923 )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(331 )</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(508 )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(1,762 )</w:t>
            </w: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tcPr>
          <w:p>
            <w:pPr>
              <w:spacing w:after="0"/>
              <w:rPr>
                <w:sz w:val="14"/>
                <w:szCs w:val="14"/>
                <w:color w:val="auto"/>
              </w:rPr>
            </w:pPr>
          </w:p>
        </w:tc>
      </w:tr>
      <w:tr>
        <w:trPr>
          <w:trHeight w:val="162"/>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41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June 30, 2023</w:t>
            </w:r>
          </w:p>
        </w:tc>
        <w:tc>
          <w:tcPr>
            <w:tcW w:w="280" w:type="dxa"/>
            <w:vAlign w:val="bottom"/>
            <w:gridSpan w:val="2"/>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521,928</w:t>
            </w:r>
          </w:p>
        </w:tc>
        <w:tc>
          <w:tcPr>
            <w:tcW w:w="24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161,690</w:t>
            </w:r>
          </w:p>
        </w:tc>
        <w:tc>
          <w:tcPr>
            <w:tcW w:w="24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124,657</w:t>
            </w:r>
          </w:p>
        </w:tc>
        <w:tc>
          <w:tcPr>
            <w:tcW w:w="200" w:type="dxa"/>
            <w:vAlign w:val="bottom"/>
          </w:tcPr>
          <w:p>
            <w:pPr>
              <w:spacing w:after="0"/>
              <w:rPr>
                <w:sz w:val="13"/>
                <w:szCs w:val="13"/>
                <w:color w:val="auto"/>
              </w:rPr>
            </w:pPr>
          </w:p>
        </w:tc>
        <w:tc>
          <w:tcPr>
            <w:tcW w:w="16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117,477</w:t>
            </w:r>
          </w:p>
        </w:tc>
        <w:tc>
          <w:tcPr>
            <w:tcW w:w="20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2,703</w:t>
            </w:r>
          </w:p>
        </w:tc>
        <w:tc>
          <w:tcPr>
            <w:tcW w:w="20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928,455</w:t>
            </w:r>
          </w:p>
        </w:tc>
        <w:tc>
          <w:tcPr>
            <w:tcW w:w="100" w:type="dxa"/>
            <w:vAlign w:val="bottom"/>
          </w:tcPr>
          <w:p>
            <w:pPr>
              <w:spacing w:after="0"/>
              <w:rPr>
                <w:sz w:val="13"/>
                <w:szCs w:val="13"/>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1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280" w:type="dxa"/>
            <w:vAlign w:val="bottom"/>
            <w:gridSpan w:val="2"/>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578,140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119,561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135,173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120,007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4,768</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957,649</w:t>
            </w:r>
          </w:p>
        </w:tc>
        <w:tc>
          <w:tcPr>
            <w:tcW w:w="100" w:type="dxa"/>
            <w:vAlign w:val="bottom"/>
            <w:shd w:val="clear" w:color="auto" w:fill="CFF0FC"/>
          </w:tcPr>
          <w:p>
            <w:pPr>
              <w:spacing w:after="0"/>
              <w:rPr>
                <w:sz w:val="12"/>
                <w:szCs w:val="12"/>
                <w:color w:val="auto"/>
              </w:rPr>
            </w:pP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12,527</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(2,086 )</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(3,670 )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(829 )</w:t>
            </w: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154,282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208,306</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(59,157 )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(25,683 )</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(2,709 )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(15,793 )</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(103,343 )</w:t>
            </w: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(1,130 )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(79 )</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(1,365 )</w:t>
            </w:r>
          </w:p>
        </w:tc>
      </w:tr>
      <w:tr>
        <w:trPr>
          <w:trHeight w:val="162"/>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00" w:type="dxa"/>
            <w:vAlign w:val="bottom"/>
          </w:tcPr>
          <w:p>
            <w:pPr>
              <w:spacing w:after="0"/>
              <w:rPr>
                <w:sz w:val="14"/>
                <w:szCs w:val="14"/>
                <w:color w:val="auto"/>
              </w:rPr>
            </w:pPr>
          </w:p>
        </w:tc>
      </w:tr>
      <w:tr>
        <w:trPr>
          <w:trHeight w:val="16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FF0FC"/>
          </w:tcPr>
          <w:p>
            <w:pPr>
              <w:spacing w:after="0"/>
              <w:rPr>
                <w:sz w:val="14"/>
                <w:szCs w:val="14"/>
                <w:color w:val="auto"/>
              </w:rPr>
            </w:pPr>
          </w:p>
        </w:tc>
      </w:tr>
      <w:tr>
        <w:trPr>
          <w:trHeight w:val="156"/>
        </w:trPr>
        <w:tc>
          <w:tcPr>
            <w:tcW w:w="41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June 30, 2024</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675,273</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122,092</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148,346</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125,745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6,720</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1,078,176</w:t>
            </w:r>
          </w:p>
        </w:tc>
        <w:tc>
          <w:tcPr>
            <w:tcW w:w="100" w:type="dxa"/>
            <w:vAlign w:val="bottom"/>
          </w:tcPr>
          <w:p>
            <w:pPr>
              <w:spacing w:after="0"/>
              <w:rPr>
                <w:sz w:val="13"/>
                <w:szCs w:val="13"/>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-1199515</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-1199515</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-1199515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-1199515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-1199515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479"/>
        <w:spacing w:after="0" w:line="266" w:lineRule="auto"/>
        <w:rPr>
          <w:sz w:val="20"/>
          <w:szCs w:val="20"/>
          <w:color w:val="auto"/>
        </w:rPr>
      </w:pPr>
      <w:r>
        <w:rPr>
          <w:rFonts w:ascii="Times New Roman" w:cs="Times New Roman" w:eastAsia="Times New Roman" w:hAnsi="Times New Roman"/>
          <w:sz w:val="18"/>
          <w:szCs w:val="18"/>
          <w:color w:val="auto"/>
        </w:rPr>
        <w:t>Net change in unrealized appreciation/(depreciation) of $2,861 and $4,369 for the three and six months ended June 30, 2024 was attributable to Level 3 investments held at June 30, 2024. Net change in unrealized appreciation/(depreciation) of $(5,885) and (6,345) for the three and six months ended June 30, 2023 was attributable to Level 3 investments held at June 30, 2023.</w:t>
      </w:r>
    </w:p>
    <w:p>
      <w:pPr>
        <w:spacing w:after="0" w:line="12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by valuation technique used to determine the fair value of the Company’s Level 3 debt and equity investments as of June 30, 2024 and December 31, 2023. The tables are not intended to be all-inclusive, but instead capture the significant unobservable inputs relevant to the Company’s determination of fair values.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80" w:type="dxa"/>
            <w:vAlign w:val="bottom"/>
          </w:tcPr>
          <w:p>
            <w:pPr>
              <w:spacing w:after="0"/>
              <w:rPr>
                <w:sz w:val="17"/>
                <w:szCs w:val="17"/>
                <w:color w:val="auto"/>
              </w:rPr>
            </w:pPr>
          </w:p>
        </w:tc>
        <w:tc>
          <w:tcPr>
            <w:tcW w:w="19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40" w:type="dxa"/>
            <w:vAlign w:val="bottom"/>
          </w:tcPr>
          <w:p>
            <w:pPr>
              <w:spacing w:after="0"/>
              <w:rPr>
                <w:sz w:val="17"/>
                <w:szCs w:val="17"/>
                <w:color w:val="auto"/>
              </w:rPr>
            </w:pP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59"/>
        </w:trPr>
        <w:tc>
          <w:tcPr>
            <w:tcW w:w="2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22"/>
                <w:szCs w:val="22"/>
                <w:color w:val="auto"/>
              </w:rPr>
            </w:pPr>
          </w:p>
        </w:tc>
        <w:tc>
          <w:tcPr>
            <w:tcW w:w="1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40" w:type="dxa"/>
            <w:vAlign w:val="bottom"/>
          </w:tcPr>
          <w:p>
            <w:pPr>
              <w:spacing w:after="0"/>
              <w:rPr>
                <w:sz w:val="22"/>
                <w:szCs w:val="22"/>
                <w:color w:val="auto"/>
              </w:rPr>
            </w:pPr>
          </w:p>
        </w:tc>
        <w:tc>
          <w:tcPr>
            <w:tcW w:w="27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22"/>
                <w:szCs w:val="22"/>
                <w:color w:val="auto"/>
              </w:rPr>
            </w:pPr>
          </w:p>
        </w:tc>
        <w:tc>
          <w:tcPr>
            <w:tcW w:w="1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223"/>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0"/>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671,748</w:t>
            </w:r>
          </w:p>
        </w:tc>
        <w:tc>
          <w:tcPr>
            <w:tcW w:w="280" w:type="dxa"/>
            <w:vAlign w:val="bottom"/>
          </w:tcPr>
          <w:p>
            <w:pPr>
              <w:spacing w:after="0"/>
              <w:rPr>
                <w:sz w:val="19"/>
                <w:szCs w:val="19"/>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Discounted cash flow</w:t>
            </w:r>
          </w:p>
        </w:tc>
        <w:tc>
          <w:tcPr>
            <w:tcW w:w="14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9.3% - 26.4% (15.1%)</w:t>
            </w:r>
          </w:p>
        </w:tc>
      </w:tr>
      <w:tr>
        <w:trPr>
          <w:trHeight w:val="239"/>
        </w:trPr>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280" w:type="dxa"/>
            <w:vAlign w:val="bottom"/>
            <w:shd w:val="clear" w:color="auto" w:fill="CFF0FC"/>
          </w:tcPr>
          <w:p>
            <w:pPr>
              <w:spacing w:after="0"/>
              <w:rPr>
                <w:sz w:val="20"/>
                <w:szCs w:val="20"/>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Enterprise value</w:t>
            </w:r>
          </w:p>
        </w:tc>
        <w:tc>
          <w:tcPr>
            <w:tcW w:w="140" w:type="dxa"/>
            <w:vAlign w:val="bottom"/>
            <w:shd w:val="clear" w:color="auto" w:fill="CFF0FC"/>
          </w:tcPr>
          <w:p>
            <w:pPr>
              <w:spacing w:after="0"/>
              <w:rPr>
                <w:sz w:val="20"/>
                <w:szCs w:val="20"/>
                <w:color w:val="auto"/>
              </w:rPr>
            </w:pPr>
          </w:p>
        </w:tc>
        <w:tc>
          <w:tcPr>
            <w:tcW w:w="2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1.2x</w:t>
            </w: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- 1.2x (1.2x)</w:t>
            </w:r>
          </w:p>
        </w:tc>
      </w:t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spacing w:after="0"/>
              <w:rPr>
                <w:sz w:val="19"/>
                <w:szCs w:val="19"/>
                <w:color w:val="auto"/>
              </w:rPr>
            </w:pPr>
          </w:p>
        </w:tc>
      </w:tr>
      <w:tr>
        <w:trPr>
          <w:trHeight w:val="230"/>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122,092</w:t>
            </w: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line="230" w:lineRule="exact"/>
              <w:rPr>
                <w:sz w:val="20"/>
                <w:szCs w:val="20"/>
                <w:color w:val="auto"/>
              </w:rPr>
            </w:pPr>
            <w:r>
              <w:rPr>
                <w:rFonts w:ascii="Times New Roman" w:cs="Times New Roman" w:eastAsia="Times New Roman" w:hAnsi="Times New Roman"/>
                <w:sz w:val="16"/>
                <w:szCs w:val="16"/>
                <w:color w:val="auto"/>
              </w:rPr>
              <w:t xml:space="preserve">Discounted cash flow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FF0FC"/>
          </w:tcPr>
          <w:p>
            <w:pPr>
              <w:spacing w:after="0"/>
              <w:rPr>
                <w:sz w:val="19"/>
                <w:szCs w:val="19"/>
                <w:color w:val="auto"/>
              </w:rPr>
            </w:pPr>
          </w:p>
        </w:tc>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13.4% - 51.5% (16.9%)</w:t>
            </w:r>
          </w:p>
        </w:tc>
      </w:t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spacing w:after="0"/>
              <w:rPr>
                <w:sz w:val="19"/>
                <w:szCs w:val="19"/>
                <w:color w:val="auto"/>
              </w:rPr>
            </w:pPr>
          </w:p>
        </w:tc>
      </w:tr>
      <w:tr>
        <w:trPr>
          <w:trHeight w:val="229"/>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148,346</w:t>
            </w: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Discounted cash flow</w:t>
            </w:r>
          </w:p>
        </w:tc>
        <w:tc>
          <w:tcPr>
            <w:tcW w:w="140" w:type="dxa"/>
            <w:vAlign w:val="bottom"/>
            <w:shd w:val="clear" w:color="auto" w:fill="CFF0FC"/>
          </w:tcPr>
          <w:p>
            <w:pPr>
              <w:spacing w:after="0"/>
              <w:rPr>
                <w:sz w:val="19"/>
                <w:szCs w:val="19"/>
                <w:color w:val="auto"/>
              </w:rPr>
            </w:pPr>
          </w:p>
        </w:tc>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10.0% - 17.0% (12.8%)</w:t>
            </w:r>
          </w:p>
        </w:tc>
      </w:t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2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1"/>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8"/>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120,095</w:t>
            </w:r>
          </w:p>
        </w:tc>
        <w:tc>
          <w:tcPr>
            <w:tcW w:w="280" w:type="dxa"/>
            <w:vAlign w:val="bottom"/>
            <w:shd w:val="clear" w:color="auto" w:fill="CFF0FC"/>
          </w:tcPr>
          <w:p>
            <w:pPr>
              <w:spacing w:after="0"/>
              <w:rPr>
                <w:sz w:val="20"/>
                <w:szCs w:val="20"/>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Enterprise value</w:t>
            </w:r>
          </w:p>
        </w:tc>
        <w:tc>
          <w:tcPr>
            <w:tcW w:w="140" w:type="dxa"/>
            <w:vAlign w:val="bottom"/>
            <w:shd w:val="clear" w:color="auto" w:fill="CFF0FC"/>
          </w:tcPr>
          <w:p>
            <w:pPr>
              <w:spacing w:after="0"/>
              <w:rPr>
                <w:sz w:val="20"/>
                <w:szCs w:val="20"/>
                <w:color w:val="auto"/>
              </w:rPr>
            </w:pPr>
          </w:p>
        </w:tc>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EBITDA multiples</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4.0x</w:t>
            </w: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- 28.0x (11.4x)</w:t>
            </w:r>
          </w:p>
        </w:tc>
      </w:tr>
      <w:tr>
        <w:trPr>
          <w:trHeight w:val="22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280" w:type="dxa"/>
            <w:vAlign w:val="bottom"/>
          </w:tcPr>
          <w:p>
            <w:pPr>
              <w:spacing w:after="0"/>
              <w:rPr>
                <w:sz w:val="19"/>
                <w:szCs w:val="19"/>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 value</w:t>
            </w:r>
          </w:p>
        </w:tc>
        <w:tc>
          <w:tcPr>
            <w:tcW w:w="140" w:type="dxa"/>
            <w:vAlign w:val="bottom"/>
          </w:tcPr>
          <w:p>
            <w:pPr>
              <w:spacing w:after="0"/>
              <w:rPr>
                <w:sz w:val="19"/>
                <w:szCs w:val="19"/>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multiples</w:t>
            </w:r>
          </w:p>
        </w:tc>
        <w:tc>
          <w:tcPr>
            <w:tcW w:w="16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0.8x</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- 9.5x (7.4x)</w:t>
            </w:r>
          </w:p>
        </w:tc>
      </w:tr>
      <w:tr>
        <w:trPr>
          <w:trHeight w:val="239"/>
        </w:trPr>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10"/>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28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 value</w:t>
            </w:r>
          </w:p>
        </w:tc>
        <w:tc>
          <w:tcPr>
            <w:tcW w:w="14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EBITDA multiples</w:t>
            </w:r>
          </w:p>
        </w:tc>
        <w:tc>
          <w:tcPr>
            <w:tcW w:w="16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6.5x</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- 6.5x (6.5x)</w:t>
            </w:r>
          </w:p>
        </w:tc>
      </w:tr>
    </w:tbl>
    <w:p>
      <w:pPr>
        <w:spacing w:after="0" w:line="388"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$47.6 million of debt investments which were valued using a trading discount to par.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20" w:type="dxa"/>
            <w:vAlign w:val="bottom"/>
          </w:tcPr>
          <w:p>
            <w:pPr>
              <w:spacing w:after="0"/>
              <w:rPr>
                <w:sz w:val="17"/>
                <w:szCs w:val="17"/>
                <w:color w:val="auto"/>
              </w:rPr>
            </w:pPr>
          </w:p>
        </w:tc>
        <w:tc>
          <w:tcPr>
            <w:tcW w:w="19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7"/>
                <w:szCs w:val="17"/>
                <w:color w:val="auto"/>
              </w:rPr>
            </w:pPr>
          </w:p>
        </w:tc>
        <w:tc>
          <w:tcPr>
            <w:tcW w:w="280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59"/>
        </w:trPr>
        <w:tc>
          <w:tcPr>
            <w:tcW w:w="2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22"/>
                <w:szCs w:val="22"/>
                <w:color w:val="auto"/>
              </w:rPr>
            </w:pPr>
          </w:p>
        </w:tc>
        <w:tc>
          <w:tcPr>
            <w:tcW w:w="1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20" w:type="dxa"/>
            <w:vAlign w:val="bottom"/>
          </w:tcPr>
          <w:p>
            <w:pPr>
              <w:spacing w:after="0"/>
              <w:rPr>
                <w:sz w:val="22"/>
                <w:szCs w:val="22"/>
                <w:color w:val="auto"/>
              </w:rPr>
            </w:pPr>
          </w:p>
        </w:tc>
        <w:tc>
          <w:tcPr>
            <w:tcW w:w="28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9"/>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573,140</w:t>
            </w: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20"/>
                <w:szCs w:val="20"/>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9.4% - 23.4% (15.6%)</w:t>
            </w:r>
          </w:p>
        </w:tc>
      </w:tr>
      <w:tr>
        <w:trPr>
          <w:trHeight w:val="220"/>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9"/>
                <w:szCs w:val="19"/>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1.3x</w:t>
            </w: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- 1.3x (1.3x)</w:t>
            </w:r>
          </w:p>
        </w:tc>
      </w:tr>
      <w:tr>
        <w:trPr>
          <w:trHeight w:val="239"/>
        </w:trPr>
        <w:tc>
          <w:tcPr>
            <w:tcW w:w="2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p>
        </w:tc>
      </w:tr>
      <w:tr>
        <w:trPr>
          <w:trHeight w:val="229"/>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119,561</w:t>
            </w:r>
          </w:p>
        </w:tc>
        <w:tc>
          <w:tcPr>
            <w:tcW w:w="220" w:type="dxa"/>
            <w:vAlign w:val="bottom"/>
          </w:tcPr>
          <w:p>
            <w:pPr>
              <w:spacing w:after="0"/>
              <w:rPr>
                <w:sz w:val="19"/>
                <w:szCs w:val="19"/>
                <w:color w:val="auto"/>
              </w:rPr>
            </w:pPr>
          </w:p>
        </w:tc>
        <w:tc>
          <w:tcPr>
            <w:tcW w:w="19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Discounted cash flow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9"/>
                <w:szCs w:val="19"/>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12.7% - 30.0% (16.1%)</w:t>
            </w:r>
          </w:p>
        </w:tc>
      </w:tr>
      <w:tr>
        <w:trPr>
          <w:trHeight w:val="229"/>
        </w:trPr>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spacing w:after="0"/>
              <w:rPr>
                <w:sz w:val="19"/>
                <w:szCs w:val="19"/>
                <w:color w:val="auto"/>
              </w:rPr>
            </w:pPr>
          </w:p>
        </w:tc>
      </w:tr>
      <w:tr>
        <w:trPr>
          <w:trHeight w:val="220"/>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134,965</w:t>
            </w:r>
          </w:p>
        </w:tc>
        <w:tc>
          <w:tcPr>
            <w:tcW w:w="22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9"/>
                <w:szCs w:val="19"/>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10.3% - 16.4% (13.4%)</w:t>
            </w:r>
          </w:p>
        </w:tc>
      </w:tr>
      <w:tr>
        <w:trPr>
          <w:trHeight w:val="239"/>
        </w:trPr>
        <w:tc>
          <w:tcPr>
            <w:tcW w:w="2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20"/>
                <w:szCs w:val="20"/>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6.0x</w:t>
            </w: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(6.0x)</w:t>
            </w:r>
          </w:p>
        </w:tc>
      </w:tr>
      <w:tr>
        <w:trPr>
          <w:trHeight w:val="229"/>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20"/>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112,008</w:t>
            </w:r>
          </w:p>
        </w:tc>
        <w:tc>
          <w:tcPr>
            <w:tcW w:w="22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9"/>
                <w:szCs w:val="19"/>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4.0x</w:t>
            </w: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- 32.5x (9.5x)</w:t>
            </w:r>
          </w:p>
        </w:tc>
      </w:tr>
      <w:tr>
        <w:trPr>
          <w:trHeight w:val="239"/>
        </w:trPr>
        <w:tc>
          <w:tcPr>
            <w:tcW w:w="2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20"/>
                <w:szCs w:val="20"/>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0.7x</w:t>
            </w: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- 9.5x (7.5x)</w:t>
            </w:r>
          </w:p>
        </w:tc>
      </w:tr>
      <w:tr>
        <w:trPr>
          <w:trHeight w:val="229"/>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shd w:val="clear" w:color="auto" w:fill="CFF0FC"/>
          </w:tcPr>
          <w:p>
            <w:pPr>
              <w:spacing w:after="0"/>
              <w:rPr>
                <w:sz w:val="19"/>
                <w:szCs w:val="19"/>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6.0x</w:t>
            </w: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(6.0x)</w:t>
            </w:r>
          </w:p>
        </w:tc>
      </w:tr>
      <w:tr>
        <w:trPr>
          <w:trHeight w:val="210"/>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4.5x</w:t>
            </w: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spacing w:after="0" w:line="158"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$50.5 million of debt investments which were valued using a trading discount to par.</w:t>
      </w:r>
    </w:p>
    <w:p>
      <w:pPr>
        <w:spacing w:after="0" w:line="13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0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173"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the carrying value and fair value of the Company’s debt obligations as of June 30, 2024 and December 31, 2023.</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76"/>
        </w:trPr>
        <w:tc>
          <w:tcPr>
            <w:tcW w:w="44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30, 2024</w:t>
            </w:r>
            <w:r>
              <w:rPr>
                <w:rFonts w:ascii="Times New Roman" w:cs="Times New Roman" w:eastAsia="Times New Roman" w:hAnsi="Times New Roman"/>
                <w:sz w:val="24"/>
                <w:szCs w:val="24"/>
                <w:b w:val="1"/>
                <w:bCs w:val="1"/>
                <w:color w:val="auto"/>
                <w:vertAlign w:val="superscript"/>
              </w:rPr>
              <w:t>(5)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2023</w:t>
            </w:r>
            <w:r>
              <w:rPr>
                <w:rFonts w:ascii="Times New Roman" w:cs="Times New Roman" w:eastAsia="Times New Roman" w:hAnsi="Times New Roman"/>
                <w:sz w:val="24"/>
                <w:szCs w:val="24"/>
                <w:b w:val="1"/>
                <w:bCs w:val="1"/>
                <w:color w:val="auto"/>
                <w:vertAlign w:val="superscript"/>
              </w:rPr>
              <w:t>(5)</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3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SBA debentures </w:t>
            </w:r>
            <w:r>
              <w:rPr>
                <w:rFonts w:ascii="Times New Roman" w:cs="Times New Roman" w:eastAsia="Times New Roman" w:hAnsi="Times New Roman"/>
                <w:sz w:val="24"/>
                <w:szCs w:val="24"/>
                <w:color w:val="auto"/>
                <w:vertAlign w:val="superscript"/>
              </w:rPr>
              <w:t>(2)</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Credit Facility borrowings </w:t>
            </w:r>
            <w:r>
              <w:rPr>
                <w:rFonts w:ascii="Times New Roman" w:cs="Times New Roman" w:eastAsia="Times New Roman" w:hAnsi="Times New Roman"/>
                <w:sz w:val="24"/>
                <w:szCs w:val="24"/>
                <w:color w:val="auto"/>
                <w:vertAlign w:val="superscript"/>
              </w:rPr>
              <w:t>(3)</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January 2026 Notes </w:t>
            </w:r>
            <w:r>
              <w:rPr>
                <w:rFonts w:ascii="Times New Roman" w:cs="Times New Roman" w:eastAsia="Times New Roman" w:hAnsi="Times New Roman"/>
                <w:sz w:val="24"/>
                <w:szCs w:val="24"/>
                <w:color w:val="auto"/>
                <w:vertAlign w:val="superscript"/>
              </w:rPr>
              <w:t>(4)</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113,682</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November 2026 Notes </w:t>
            </w:r>
            <w:r>
              <w:rPr>
                <w:rFonts w:ascii="Times New Roman" w:cs="Times New Roman" w:eastAsia="Times New Roman" w:hAnsi="Times New Roman"/>
                <w:sz w:val="24"/>
                <w:szCs w:val="24"/>
                <w:color w:val="auto"/>
                <w:vertAlign w:val="superscript"/>
              </w:rPr>
              <w:t>(4)</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109,710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106,103</w:t>
            </w:r>
          </w:p>
        </w:tc>
        <w:tc>
          <w:tcPr>
            <w:tcW w:w="0" w:type="dxa"/>
            <w:vAlign w:val="bottom"/>
          </w:tcPr>
          <w:p>
            <w:pPr>
              <w:spacing w:after="0"/>
              <w:rPr>
                <w:sz w:val="1"/>
                <w:szCs w:val="1"/>
                <w:color w:val="auto"/>
              </w:rPr>
            </w:pPr>
          </w:p>
        </w:tc>
      </w:tr>
      <w:tr>
        <w:trPr>
          <w:trHeight w:val="277"/>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457,500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433,891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represents the outstanding principal balance of the debt obligation.</w:t>
      </w:r>
    </w:p>
    <w:p>
      <w:pPr>
        <w:spacing w:after="0" w:line="3" w:lineRule="exact"/>
        <w:rPr>
          <w:rFonts w:ascii="Times New Roman" w:cs="Times New Roman" w:eastAsia="Times New Roman" w:hAnsi="Times New Roman"/>
          <w:sz w:val="14"/>
          <w:szCs w:val="14"/>
          <w:color w:val="auto"/>
        </w:rPr>
      </w:pPr>
    </w:p>
    <w:p>
      <w:pPr>
        <w:ind w:left="480" w:hanging="472"/>
        <w:spacing w:after="0" w:line="22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right="20" w:hanging="472"/>
        <w:spacing w:after="0" w:line="22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borrowings under the Credit Facility, if valued under ASC Topic 820, are based on a market yield approach and current interest rates, which are Level 3 inputs to the market yield model.</w:t>
      </w:r>
    </w:p>
    <w:p>
      <w:pPr>
        <w:ind w:left="480" w:hanging="472"/>
        <w:spacing w:after="0" w:line="22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exclude $15,280 and $15,880 of Secured Borrowings as of June 30, 2024 and December 31, 2023,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inputs used to value the Company’s debt obligations if measured at fair value as of June 30, 2024 and December 31, 2023.</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34"/>
        </w:trPr>
        <w:tc>
          <w:tcPr>
            <w:tcW w:w="3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Valuation Inputs</w:t>
            </w: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20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433,891</w:t>
            </w:r>
          </w:p>
        </w:tc>
        <w:tc>
          <w:tcPr>
            <w:tcW w:w="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429,785</w:t>
            </w:r>
          </w:p>
        </w:tc>
      </w:tr>
      <w:tr>
        <w:trPr>
          <w:trHeight w:val="24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433,891</w:t>
            </w:r>
          </w:p>
        </w:tc>
        <w:tc>
          <w:tcPr>
            <w:tcW w:w="7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429,785</w:t>
            </w:r>
          </w:p>
        </w:tc>
      </w:tr>
      <w:tr>
        <w:trPr>
          <w:trHeight w:val="20"/>
        </w:trPr>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-187960</wp:posOffset>
            </wp:positionV>
            <wp:extent cx="4718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Advisory Agreement: </w:t>
      </w:r>
      <w:r>
        <w:rPr>
          <w:rFonts w:ascii="Times New Roman" w:cs="Times New Roman" w:eastAsia="Times New Roman" w:hAnsi="Times New Roman"/>
          <w:sz w:val="18"/>
          <w:szCs w:val="18"/>
          <w:color w:val="auto"/>
        </w:rPr>
        <w:t>The Company has entered into an Investment Advisory Agreement with the Investment Advisor. Most recently,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12, 2024, the Board approved the renewal of the Investment Advisory Agreement for the period from June 20, 2024 through June 20, 2025.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31"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and six months ended June 30, 2024 was $4,706 and $9,138, respectively, and $4,051 and $7,905 for the three and six months ended June 30, 2023, respectively. The base management fee waiver for the three and six months ended June 30, 2024 was $67 and $136, respectively, and $72 and $144 for the three and six months ended June 30, 2023, respectively. As of June 30, 2024 and December 31, 2023, the base management fee payable (net of the base management fee waiver) was $4,639 and $4,151, respectively.</w:t>
      </w:r>
    </w:p>
    <w:p>
      <w:pPr>
        <w:spacing w:after="0" w:line="134"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3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9"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Company pays the Investment Advisor an incentive fee with respect to pre-incentive fee net investment income in each calendar quarter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rate of 2.0%;</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the Company’s pre-incentive fee net investment income, if any, that exceeds 2.5% in any calendar quarter.</w:t>
      </w:r>
    </w:p>
    <w:p>
      <w:pPr>
        <w:spacing w:after="0" w:line="171"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six months ended June 30, 2024 was $4,546 and $9,013, respectively, and $3,834 and $7,481 for the three and six months ended June 30, 2023, respectively. As of June 30, 2024 and December 31, 2023, the income incentive fee payable was $4,546 and $4,570, respectively.</w:t>
      </w:r>
    </w:p>
    <w:p>
      <w:pPr>
        <w:spacing w:after="0" w:line="126"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June 30, 2024 and December 31, 2023, the capital gains incentive fee payable in cash was $1,607 and $3,537, respectively (as cumulative aggregate realized capital gains and losses on investments exceeded aggregate unrealized capital depreciation on investments plus realized losses on extinguishment of debt as of December 31, 2023). The aggregate amount of capital gains incentive fees paid from the IPO through June 30, 2024 was $17,577.</w:t>
      </w:r>
    </w:p>
    <w:p>
      <w:pPr>
        <w:spacing w:after="0" w:line="14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and six months ended June 30, 2024 was $1,430 and $1,929, respectively, and $(1,174) and $(1,021) for the three and six months ended June 30, 2023, respectively. As of June 30, 2024 and December 31, 2023, the accrued capital gains incentive fee payable was $15,901 and $17,509, respectively.</w:t>
      </w:r>
    </w:p>
    <w:p>
      <w:pPr>
        <w:spacing w:after="0" w:line="134"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Agreement: </w:t>
      </w:r>
      <w:r>
        <w:rPr>
          <w:rFonts w:ascii="Times New Roman" w:cs="Times New Roman" w:eastAsia="Times New Roman" w:hAnsi="Times New Roman"/>
          <w:sz w:val="18"/>
          <w:szCs w:val="18"/>
          <w:color w:val="auto"/>
        </w:rPr>
        <w:t>The Company also entered into an administration agreement (the “Administration Agreement”) with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Most recently, on June 12, 2024 the Board approved the renewal of the Administration Agreement for the period from June 20, 2024 through June 20, 2025.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Administration Agreement, administrative service expenses for the three and six months ended June 30, 2024 and 2023 was $669 and $1,206, respectively, and $618 and $1,091 for the three and six months ended June 30, 2023, respectively. As of June 30, 2024 and December 31, 2023, the accrued administrative service expense payable was $540 and $993,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3"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On June 16, 2014, FIC entered into a senior secured revolving credit agreement (the "Credit Agreement" and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revolving credit facility, the “Credit Facility”) with ING Capital LLC (“ING”), as the administrative agent, collateral agent, and lender. The Credit Facility is secured by certain portfolio investments held by the Company, but portfolio investments held by Fund II and Fund III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13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the Company, excluding investments held by Fund II and Fund III.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2024 and December 31, 2023, the Company was in compliance in all material respects with the terms of the Credit Agreement.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SBA debentures: </w:t>
      </w:r>
      <w:r>
        <w:rPr>
          <w:rFonts w:ascii="Times New Roman" w:cs="Times New Roman" w:eastAsia="Times New Roman" w:hAnsi="Times New Roman"/>
          <w:sz w:val="18"/>
          <w:szCs w:val="18"/>
          <w:color w:val="auto"/>
        </w:rPr>
        <w:t>The Company uses debenture leverage provided through the SBA to fund a portion of its investment purchases.</w:t>
      </w:r>
    </w:p>
    <w:p>
      <w:pPr>
        <w:spacing w:after="0" w:line="17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2024 and December 31, 2023, there were no approved and unused SBA debenture commitments. The SBA may limit the amount that may be drawn each year under any SBA debenture commitments, and each issuance of leverage is conditioned on the SBICs full compliance, as determined by the SBA, with the terms and conditions under SBA regulations.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As of June 30, 2024 and December 31, 2023, the Company’s issued and outstanding SBA debentures mature as follows: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Pooling</w:t>
            </w:r>
          </w:p>
        </w:tc>
        <w:tc>
          <w:tcPr>
            <w:tcW w:w="2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0" w:type="dxa"/>
            <w:vAlign w:val="bottom"/>
          </w:tcPr>
          <w:p>
            <w:pPr>
              <w:spacing w:after="0"/>
              <w:rPr>
                <w:sz w:val="24"/>
                <w:szCs w:val="24"/>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2"/>
        </w:trPr>
        <w:tc>
          <w:tcPr>
            <w:tcW w:w="308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4"/>
              </w:rPr>
              <w:t xml:space="preserve">Date </w:t>
            </w:r>
            <w:r>
              <w:rPr>
                <w:rFonts w:ascii="Times New Roman" w:cs="Times New Roman" w:eastAsia="Times New Roman" w:hAnsi="Times New Roman"/>
                <w:sz w:val="24"/>
                <w:szCs w:val="24"/>
                <w:b w:val="1"/>
                <w:bCs w:val="1"/>
                <w:color w:val="auto"/>
                <w:w w:val="94"/>
                <w:vertAlign w:val="superscript"/>
              </w:rPr>
              <w:t>(1)</w:t>
            </w:r>
          </w:p>
        </w:tc>
        <w:tc>
          <w:tcPr>
            <w:tcW w:w="260" w:type="dxa"/>
            <w:vAlign w:val="bottom"/>
          </w:tcPr>
          <w:p>
            <w:pPr>
              <w:spacing w:after="0"/>
              <w:rPr>
                <w:sz w:val="23"/>
                <w:szCs w:val="23"/>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Pr>
          <w:p>
            <w:pPr>
              <w:spacing w:after="0"/>
              <w:rPr>
                <w:sz w:val="23"/>
                <w:szCs w:val="23"/>
                <w:color w:val="auto"/>
              </w:rPr>
            </w:pP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r>
      <w:tr>
        <w:trPr>
          <w:trHeight w:val="23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3/23/2016</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3/1/2026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6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0"/>
                <w:szCs w:val="20"/>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9/21/2016</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9/20/2017</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9/20/2017</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9/25/2019</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9/1/2029</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3/25/2020</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9/22/2021</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9/1/2031</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3/23/2022</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9/21/2022</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9/1/2032</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9/20/2023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9/20/2023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9/20/2023</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9/20/2023</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21"/>
                <w:szCs w:val="21"/>
                <w:color w:val="auto"/>
              </w:rPr>
            </w:pPr>
          </w:p>
        </w:tc>
      </w:tr>
      <w:tr>
        <w:trPr>
          <w:trHeight w:val="23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r>
      <w:tr>
        <w:trPr>
          <w:trHeight w:val="24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r>
      <w:tr>
        <w:trPr>
          <w:trHeight w:val="23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SBA debentures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3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480" w:right="20" w:hanging="459"/>
        <w:spacing w:after="0" w:line="261"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SBA has two scheduled pooling dates for debentures (in March and in September). Certain debentures funded during the reporting periods may not be pooled until the subsequent pooling date.</w:t>
      </w:r>
    </w:p>
    <w:p>
      <w:pPr>
        <w:spacing w:after="0" w:line="125" w:lineRule="exact"/>
        <w:rPr>
          <w:sz w:val="20"/>
          <w:szCs w:val="20"/>
          <w:color w:val="auto"/>
        </w:rPr>
      </w:pPr>
    </w:p>
    <w:p>
      <w:pPr>
        <w:jc w:val="both"/>
        <w:ind w:left="20" w:firstLine="46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On December 23, 2020, the Company closed the offering of $125,000 in aggregate principal amount of its 4.75% notes due 2026,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2026 Notes”. The total net proceeds to the Company from the January 2026 Notes, based on a public offering price of 100.00% of par, after deducting underwriting discounts of $2,500 and offering expenses of $366, were approximately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131" w:lineRule="exact"/>
        <w:rPr>
          <w:sz w:val="20"/>
          <w:szCs w:val="20"/>
          <w:color w:val="auto"/>
        </w:rPr>
      </w:pPr>
    </w:p>
    <w:p>
      <w:pPr>
        <w:jc w:val="both"/>
        <w:ind w:left="20" w:firstLine="461"/>
        <w:spacing w:after="0" w:line="253" w:lineRule="auto"/>
        <w:rPr>
          <w:sz w:val="20"/>
          <w:szCs w:val="20"/>
          <w:color w:val="auto"/>
        </w:rPr>
      </w:pPr>
      <w:r>
        <w:rPr>
          <w:rFonts w:ascii="Times New Roman" w:cs="Times New Roman" w:eastAsia="Times New Roman" w:hAnsi="Times New Roman"/>
          <w:sz w:val="18"/>
          <w:szCs w:val="18"/>
          <w:color w:val="auto"/>
        </w:rPr>
        <w:t>On October 8, 2021, the Company closed the offering of $125,000 in aggregate principal amount of its 3.50% notes due 2026, or the “November 2026 Notes” (collectively with the January 2026 Notes, the “Notes”). The total net proceeds to the Company from the November 2026 Notes, based on a public offering price of 99.996% of par, after deducting underwriting discounts of $2,500 and offering expenses of $318, were approximately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3" w:lineRule="exact"/>
        <w:rPr>
          <w:sz w:val="20"/>
          <w:szCs w:val="20"/>
          <w:color w:val="auto"/>
        </w:rPr>
      </w:pPr>
    </w:p>
    <w:p>
      <w:pPr>
        <w:jc w:val="both"/>
        <w:ind w:left="20" w:right="20" w:firstLine="461"/>
        <w:spacing w:after="0" w:line="261" w:lineRule="auto"/>
        <w:rPr>
          <w:sz w:val="20"/>
          <w:szCs w:val="20"/>
          <w:color w:val="auto"/>
        </w:rPr>
      </w:pPr>
      <w:r>
        <w:rPr>
          <w:rFonts w:ascii="Times New Roman" w:cs="Times New Roman" w:eastAsia="Times New Roman" w:hAnsi="Times New Roman"/>
          <w:sz w:val="18"/>
          <w:szCs w:val="18"/>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73" w:lineRule="exact"/>
        <w:rPr>
          <w:sz w:val="20"/>
          <w:szCs w:val="20"/>
          <w:color w:val="auto"/>
        </w:rPr>
      </w:pPr>
    </w:p>
    <w:p>
      <w:pPr>
        <w:jc w:val="both"/>
        <w:ind w:right="20" w:firstLine="464"/>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carrying value of secured borrowings totaled $15,280 and $15,880, respectively, and the fair value of the associated loans included in investments was $15,271 and $15,800,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sale treatment was not permitted and these partial loan sales were treated as secured borrowings. The weighted average interest rate on our secured borrowings was approximately 9.4% and 9.4% as of June 30, 2024, and December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73" w:lineRule="exact"/>
        <w:rPr>
          <w:sz w:val="20"/>
          <w:szCs w:val="20"/>
          <w:color w:val="auto"/>
        </w:rPr>
      </w:pPr>
    </w:p>
    <w:p>
      <w:pPr>
        <w:jc w:val="both"/>
        <w:ind w:right="20" w:firstLine="469"/>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aggregate amount outstanding of the senior securities (including secured borrowings) issued by the Company was $297,780 and $265,880, respectively, for which our asset coverage was 317.2% and 321.7%,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Financing Expenses</w:t>
      </w:r>
    </w:p>
    <w:p>
      <w:pPr>
        <w:spacing w:after="0" w:line="173"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Interest and fees related to the Company’s debt for the three and six months ended June 30, 2024 and 2023 which are included in interest and financing expenses on the consolidated statements of operations,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448"/>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8"/>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48"/>
              <w:spacing w:after="0" w:line="158" w:lineRule="exact"/>
              <w:rPr>
                <w:sz w:val="20"/>
                <w:szCs w:val="20"/>
                <w:color w:val="auto"/>
              </w:rPr>
            </w:pPr>
            <w:r>
              <w:rPr>
                <w:rFonts w:ascii="Times New Roman" w:cs="Times New Roman" w:eastAsia="Times New Roman" w:hAnsi="Times New Roman"/>
                <w:sz w:val="14"/>
                <w:szCs w:val="14"/>
                <w:b w:val="1"/>
                <w:bCs w:val="1"/>
                <w:color w:val="auto"/>
              </w:rPr>
              <w:t>Secured</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4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5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5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00" w:type="dxa"/>
            <w:vAlign w:val="bottom"/>
            <w:shd w:val="clear" w:color="auto" w:fill="CCEEFF"/>
          </w:tcPr>
          <w:p>
            <w:pPr>
              <w:spacing w:after="0"/>
              <w:rPr>
                <w:sz w:val="14"/>
                <w:szCs w:val="14"/>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r>
      <w:tr>
        <w:trPr>
          <w:trHeight w:val="20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SBA</w:t>
            </w: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debentures</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3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30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3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SBA debentures</w:t>
            </w: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14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1"/>
                <w:szCs w:val="11"/>
                <w:color w:val="auto"/>
              </w:rPr>
            </w:pPr>
          </w:p>
        </w:tc>
        <w:tc>
          <w:tcPr>
            <w:tcW w:w="10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3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3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stated interest rate, period end</w:t>
            </w:r>
          </w:p>
        </w:tc>
        <w:tc>
          <w:tcPr>
            <w:tcW w:w="120" w:type="dxa"/>
            <w:vAlign w:val="bottom"/>
          </w:tcPr>
          <w:p>
            <w:pPr>
              <w:spacing w:after="0"/>
              <w:rPr>
                <w:sz w:val="13"/>
                <w:szCs w:val="13"/>
                <w:color w:val="auto"/>
              </w:rPr>
            </w:pPr>
          </w:p>
        </w:tc>
        <w:tc>
          <w:tcPr>
            <w:tcW w:w="148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4.316 %</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8.132 %</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9.375 %</w:t>
            </w:r>
          </w:p>
        </w:tc>
        <w:tc>
          <w:tcPr>
            <w:tcW w:w="280" w:type="dxa"/>
            <w:vAlign w:val="bottom"/>
          </w:tcPr>
          <w:p>
            <w:pPr>
              <w:spacing w:after="0"/>
              <w:rPr>
                <w:sz w:val="13"/>
                <w:szCs w:val="13"/>
                <w:color w:val="auto"/>
              </w:rPr>
            </w:pPr>
          </w:p>
        </w:tc>
        <w:tc>
          <w:tcPr>
            <w:tcW w:w="10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4.125 %</w:t>
            </w:r>
          </w:p>
        </w:tc>
        <w:tc>
          <w:tcPr>
            <w:tcW w:w="28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4.641 %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Effective interest rate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4.658 %</w:t>
            </w: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8.433 %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9.375 %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4.576 %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commitment fee rate, period end</w:t>
            </w:r>
          </w:p>
        </w:tc>
        <w:tc>
          <w:tcPr>
            <w:tcW w:w="12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0.581 %</w:t>
            </w:r>
          </w:p>
        </w:tc>
        <w:tc>
          <w:tcPr>
            <w:tcW w:w="1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0.581 %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SBA debentures</w:t>
            </w: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14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1"/>
                <w:szCs w:val="11"/>
                <w:color w:val="auto"/>
              </w:rPr>
            </w:pPr>
          </w:p>
        </w:tc>
        <w:tc>
          <w:tcPr>
            <w:tcW w:w="10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Stated interest expense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3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3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stated interest rate, period end</w:t>
            </w:r>
          </w:p>
        </w:tc>
        <w:tc>
          <w:tcPr>
            <w:tcW w:w="120" w:type="dxa"/>
            <w:vAlign w:val="bottom"/>
          </w:tcPr>
          <w:p>
            <w:pPr>
              <w:spacing w:after="0"/>
              <w:rPr>
                <w:sz w:val="13"/>
                <w:szCs w:val="13"/>
                <w:color w:val="auto"/>
              </w:rPr>
            </w:pPr>
          </w:p>
        </w:tc>
        <w:tc>
          <w:tcPr>
            <w:tcW w:w="148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3.905 %</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7.891 %</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9.101 %</w:t>
            </w:r>
          </w:p>
        </w:tc>
        <w:tc>
          <w:tcPr>
            <w:tcW w:w="280" w:type="dxa"/>
            <w:vAlign w:val="bottom"/>
          </w:tcPr>
          <w:p>
            <w:pPr>
              <w:spacing w:after="0"/>
              <w:rPr>
                <w:sz w:val="13"/>
                <w:szCs w:val="13"/>
                <w:color w:val="auto"/>
              </w:rPr>
            </w:pPr>
          </w:p>
        </w:tc>
        <w:tc>
          <w:tcPr>
            <w:tcW w:w="10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4.125 %</w:t>
            </w:r>
          </w:p>
        </w:tc>
        <w:tc>
          <w:tcPr>
            <w:tcW w:w="28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4.450 %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Effective interest rate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4.310 %</w:t>
            </w: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8.192 %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9.101 %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4.576 %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commitment fee rate, period end</w:t>
            </w:r>
          </w:p>
        </w:tc>
        <w:tc>
          <w:tcPr>
            <w:tcW w:w="12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0.655 %</w:t>
            </w:r>
          </w:p>
        </w:tc>
        <w:tc>
          <w:tcPr>
            <w:tcW w:w="1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0.655 %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-2707640</wp:posOffset>
            </wp:positionV>
            <wp:extent cx="768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-2707640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-2707640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-2707640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-2707640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-2476500</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-2476500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-2476500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-1516380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-1499235</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-1516380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-1499235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-1516380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-1499235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-1516380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-1499235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-367665</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-350520</wp:posOffset>
            </wp:positionV>
            <wp:extent cx="768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-367665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-350520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-367665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-350520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-367665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The effective interest rate is equal to the weighted average stated interest rate plus the amortization of deferred financing costs.</w:t>
      </w:r>
    </w:p>
    <w:p>
      <w:pPr>
        <w:sectPr>
          <w:pgSz w:w="11900" w:h="16838" w:orient="portrait"/>
          <w:cols w:equalWidth="0" w:num="1">
            <w:col w:w="11260"/>
          </w:cols>
          <w:pgMar w:left="320" w:top="765" w:right="319" w:bottom="1440" w:gutter="0" w:footer="0" w:header="0"/>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Losses on Extinguishment of Debt</w:t>
      </w:r>
    </w:p>
    <w:p>
      <w:pPr>
        <w:spacing w:after="0" w:line="173"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prepaid zero and $35,000 of SBA debentures which were scheduled to mature on dates ranging from 2026 to 2027. The Company did not prepay SBA debentures during three and six months ended June 30, 2023. As a result of the prepayments, the Company recognized realized losses on extinguishment of debt of $521 and zero equal to the write-off of the related unamortized deferred financing costs, during the six months ended June 30,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June 30, 2024 and December 31, 2023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SBA</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Credit</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debentures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debenture commitment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CEEFF"/>
          </w:tcPr>
          <w:p>
            <w:pPr>
              <w:spacing w:after="0"/>
              <w:rPr>
                <w:sz w:val="14"/>
                <w:szCs w:val="14"/>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 leverage fees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Pr>
          <w:p>
            <w:pPr>
              <w:spacing w:after="0"/>
              <w:rPr>
                <w:sz w:val="15"/>
                <w:szCs w:val="15"/>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Facility upfront fees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shd w:val="clear" w:color="auto" w:fill="CCEEFF"/>
          </w:tcPr>
          <w:p>
            <w:pPr>
              <w:spacing w:after="0"/>
              <w:rPr>
                <w:sz w:val="15"/>
                <w:szCs w:val="15"/>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underwriting discounts</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100" w:type="dxa"/>
            <w:vAlign w:val="bottom"/>
          </w:tcPr>
          <w:p>
            <w:pPr>
              <w:spacing w:after="0"/>
              <w:rPr>
                <w:sz w:val="15"/>
                <w:szCs w:val="15"/>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debt issue costs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5"/>
                <w:szCs w:val="15"/>
                <w:color w:val="auto"/>
              </w:rPr>
            </w:pPr>
          </w:p>
        </w:tc>
      </w:tr>
      <w:tr>
        <w:trPr>
          <w:trHeight w:val="169"/>
        </w:trPr>
        <w:tc>
          <w:tcPr>
            <w:tcW w:w="3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financing costs</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21,256</w:t>
            </w:r>
          </w:p>
        </w:tc>
        <w:tc>
          <w:tcPr>
            <w:tcW w:w="100" w:type="dxa"/>
            <w:vAlign w:val="bottom"/>
            <w:tcBorders>
              <w:top w:val="single" w:sz="8" w:color="CCEEFF"/>
            </w:tcBorders>
          </w:tcPr>
          <w:p>
            <w:pPr>
              <w:spacing w:after="0"/>
              <w:rPr>
                <w:sz w:val="14"/>
                <w:szCs w:val="14"/>
                <w:color w:val="auto"/>
              </w:rPr>
            </w:pPr>
          </w:p>
        </w:tc>
      </w:tr>
      <w:tr>
        <w:trPr>
          <w:trHeight w:val="17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(1,334 )</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(3,484 )</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(3,489 )</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(8,307 )</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(5,621 )</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(3,335 )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(2,933 )</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(11,889 )</w:t>
            </w:r>
          </w:p>
        </w:tc>
      </w:tr>
      <w:tr>
        <w:trPr>
          <w:trHeight w:val="169"/>
        </w:trPr>
        <w:tc>
          <w:tcPr>
            <w:tcW w:w="3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deferred financing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00" w:type="dxa"/>
            <w:vAlign w:val="bottom"/>
            <w:tcBorders>
              <w:top w:val="single" w:sz="8" w:color="CCEEFF"/>
            </w:tcBorders>
          </w:tcPr>
          <w:p>
            <w:pPr>
              <w:spacing w:after="0"/>
              <w:rPr>
                <w:sz w:val="14"/>
                <w:szCs w:val="14"/>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-376555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-376555</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-376555</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-376555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-376555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-376555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-376555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-145415</wp:posOffset>
            </wp:positionV>
            <wp:extent cx="768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-145415</wp:posOffset>
            </wp:positionV>
            <wp:extent cx="774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-145415</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-145415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-145415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-145415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June 30,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June 30, 2024</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2023</w:t>
            </w:r>
            <w:r>
              <w:rPr>
                <w:rFonts w:ascii="Times New Roman" w:cs="Times New Roman" w:eastAsia="Times New Roman" w:hAnsi="Times New Roman"/>
                <w:sz w:val="16"/>
                <w:szCs w:val="16"/>
                <w:b w:val="1"/>
                <w:bCs w:val="1"/>
                <w:color w:val="auto"/>
                <w:vertAlign w:val="superscript"/>
              </w:rPr>
              <w:t>(1)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2"/>
                <w:szCs w:val="12"/>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SBA</w:t>
            </w:r>
          </w:p>
        </w:tc>
        <w:tc>
          <w:tcPr>
            <w:tcW w:w="120" w:type="dxa"/>
            <w:vAlign w:val="bottom"/>
          </w:tcPr>
          <w:p>
            <w:pPr>
              <w:spacing w:after="0"/>
              <w:rPr>
                <w:sz w:val="12"/>
                <w:szCs w:val="12"/>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debentures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4"/>
              </w:rPr>
              <w:t>debentures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32,500</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457,500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460,000</w:t>
            </w:r>
          </w:p>
        </w:tc>
        <w:tc>
          <w:tcPr>
            <w:tcW w:w="100" w:type="dxa"/>
            <w:vAlign w:val="bottom"/>
            <w:shd w:val="clear" w:color="auto" w:fill="CCEEFF"/>
          </w:tcPr>
          <w:p>
            <w:pPr>
              <w:spacing w:after="0"/>
              <w:rPr>
                <w:sz w:val="13"/>
                <w:szCs w:val="13"/>
                <w:color w:val="auto"/>
              </w:rPr>
            </w:pPr>
          </w:p>
        </w:tc>
      </w:tr>
      <w:tr>
        <w:trPr>
          <w:trHeight w:val="16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unamortized deferred financing costs</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(4,677 )</w:t>
            </w: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(933 )</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(2,201 )</w:t>
            </w: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(7,811 )</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(5,528 )</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(1,082 )</w:t>
            </w:r>
          </w:p>
        </w:tc>
        <w:tc>
          <w:tcPr>
            <w:tcW w:w="1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(2,757 )</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(9,367 )</w:t>
            </w:r>
          </w:p>
        </w:tc>
      </w:tr>
      <w:tr>
        <w:trPr>
          <w:trHeight w:val="20"/>
        </w:trPr>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net of deferred financing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170,323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247,799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449,689</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204,472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(1,082 )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247,243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450,633</w:t>
            </w:r>
          </w:p>
        </w:tc>
        <w:tc>
          <w:tcPr>
            <w:tcW w:w="100" w:type="dxa"/>
            <w:vAlign w:val="bottom"/>
            <w:shd w:val="clear" w:color="auto" w:fill="CCEEFF"/>
          </w:tcPr>
          <w:p>
            <w:pPr>
              <w:spacing w:after="0"/>
              <w:rPr>
                <w:sz w:val="15"/>
                <w:szCs w:val="15"/>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-24765</wp:posOffset>
            </wp:positionV>
            <wp:extent cx="768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excludes $15,280 and $15,880 of Secured Borrowings as of June 30, 2024 and December 31, 2023, respectively.</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As of June 30, 2024, the Company’s debt liabilities are scheduled to mature as follows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SBA</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Secured</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24"/>
                <w:szCs w:val="24"/>
                <w:b w:val="1"/>
                <w:bCs w:val="1"/>
                <w:color w:val="auto"/>
                <w:vertAlign w:val="superscript"/>
              </w:rPr>
              <w:t>(2)</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3"/>
                <w:szCs w:val="23"/>
                <w:color w:val="auto"/>
              </w:rPr>
            </w:pPr>
          </w:p>
        </w:tc>
      </w:tr>
      <w:tr>
        <w:trPr>
          <w:trHeight w:val="236"/>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0"/>
                <w:szCs w:val="20"/>
                <w:color w:val="auto"/>
              </w:rPr>
            </w:pPr>
          </w:p>
        </w:tc>
      </w:tr>
      <w:tr>
        <w:trPr>
          <w:trHeight w:val="239"/>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264,950</w:t>
            </w:r>
          </w:p>
        </w:tc>
        <w:tc>
          <w:tcPr>
            <w:tcW w:w="100" w:type="dxa"/>
            <w:vAlign w:val="bottom"/>
          </w:tcPr>
          <w:p>
            <w:pPr>
              <w:spacing w:after="0"/>
              <w:rPr>
                <w:sz w:val="20"/>
                <w:szCs w:val="20"/>
                <w:color w:val="auto"/>
              </w:rPr>
            </w:pPr>
          </w:p>
        </w:tc>
      </w:tr>
      <w:tr>
        <w:trPr>
          <w:trHeight w:val="247"/>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CEEFF"/>
          </w:tcPr>
          <w:p>
            <w:pPr>
              <w:spacing w:after="0"/>
              <w:rPr>
                <w:sz w:val="21"/>
                <w:szCs w:val="21"/>
                <w:color w:val="auto"/>
              </w:rPr>
            </w:pPr>
          </w:p>
        </w:tc>
      </w:tr>
      <w:tr>
        <w:trPr>
          <w:trHeight w:val="239"/>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21"/>
                <w:szCs w:val="21"/>
                <w:color w:val="auto"/>
              </w:rPr>
            </w:pPr>
          </w:p>
        </w:tc>
      </w:tr>
      <w:tr>
        <w:trPr>
          <w:trHeight w:val="24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100" w:type="dxa"/>
            <w:vAlign w:val="bottom"/>
          </w:tcPr>
          <w:p>
            <w:pPr>
              <w:spacing w:after="0"/>
              <w:rPr>
                <w:sz w:val="21"/>
                <w:szCs w:val="21"/>
                <w:color w:val="auto"/>
              </w:rPr>
            </w:pPr>
          </w:p>
        </w:tc>
      </w:tr>
      <w:tr>
        <w:trPr>
          <w:trHeight w:val="277"/>
        </w:trPr>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472,780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03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3" w:lineRule="exact"/>
        <w:rPr>
          <w:sz w:val="20"/>
          <w:szCs w:val="20"/>
          <w:color w:val="auto"/>
        </w:rPr>
      </w:pPr>
    </w:p>
    <w:p>
      <w:pPr>
        <w:jc w:val="both"/>
        <w:ind w:left="360" w:right="20" w:hanging="339"/>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53"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Facility matures on August 17, 2027.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3"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The Company had outstanding commitments to portfolio companies to fund various undrawn revolving loans, other debt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 commitments totaling $8,792 and $9,675 as of June 30, 2024 and December 31, 2023, respectively. Such outstanding commitments are summarized in the following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0"/>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260" w:type="dxa"/>
            <w:vAlign w:val="bottom"/>
          </w:tcPr>
          <w:p>
            <w:pPr>
              <w:spacing w:after="0"/>
              <w:rPr>
                <w:sz w:val="13"/>
                <w:szCs w:val="13"/>
                <w:color w:val="auto"/>
              </w:rPr>
            </w:pPr>
          </w:p>
        </w:tc>
      </w:tr>
      <w:tr>
        <w:trPr>
          <w:trHeight w:val="167"/>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 - Investment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60" w:type="dxa"/>
            <w:vAlign w:val="bottom"/>
          </w:tcPr>
          <w:p>
            <w:pPr>
              <w:spacing w:after="0"/>
              <w:rPr>
                <w:sz w:val="14"/>
                <w:szCs w:val="14"/>
                <w:color w:val="auto"/>
              </w:rPr>
            </w:pPr>
          </w:p>
        </w:tc>
      </w:tr>
      <w:tr>
        <w:trPr>
          <w:trHeight w:val="157"/>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 Info Parent, Inc. (dba MediaRadar) - Revolving Loan</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4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260" w:type="dxa"/>
            <w:vAlign w:val="bottom"/>
            <w:shd w:val="clear" w:color="auto" w:fill="CCEEFF"/>
          </w:tcPr>
          <w:p>
            <w:pPr>
              <w:spacing w:after="0"/>
              <w:rPr>
                <w:sz w:val="13"/>
                <w:szCs w:val="13"/>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Acendre Midco, Inc. - Revolving Loan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60" w:type="dxa"/>
            <w:vAlign w:val="bottom"/>
          </w:tcPr>
          <w:p>
            <w:pPr>
              <w:spacing w:after="0"/>
              <w:rPr>
                <w:sz w:val="14"/>
                <w:szCs w:val="14"/>
                <w:color w:val="auto"/>
              </w:rPr>
            </w:pP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Barefoot Mosquito and Pest Control, LLC - Revolving Loan</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shd w:val="clear" w:color="auto" w:fill="CCEEFF"/>
          </w:tcPr>
          <w:p>
            <w:pPr>
              <w:spacing w:after="0"/>
              <w:rPr>
                <w:sz w:val="14"/>
                <w:szCs w:val="14"/>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Choice Technology Solutions, LLC (dba Choice Merchant Solutions, LLC) - Revolving Loan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tcPr>
          <w:p>
            <w:pPr>
              <w:spacing w:after="0"/>
              <w:rPr>
                <w:sz w:val="14"/>
                <w:szCs w:val="14"/>
                <w:color w:val="auto"/>
              </w:rPr>
            </w:pP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Donovan Food Brokerage, LLC - Revolving Loan</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Elements Brands, LLC - Revolving Loan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GMP HVAC, LLC (dba McGee Heating &amp; Air, LLC) - Revolving Loan</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shd w:val="clear" w:color="auto" w:fill="CCEEFF"/>
          </w:tcPr>
          <w:p>
            <w:pPr>
              <w:spacing w:after="0"/>
              <w:rPr>
                <w:sz w:val="14"/>
                <w:szCs w:val="14"/>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First Lien Debt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260" w:type="dxa"/>
            <w:vAlign w:val="bottom"/>
          </w:tcPr>
          <w:p>
            <w:pPr>
              <w:spacing w:after="0"/>
              <w:rPr>
                <w:sz w:val="14"/>
                <w:szCs w:val="14"/>
                <w:color w:val="auto"/>
              </w:rPr>
            </w:pP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Subordinated Debt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60" w:type="dxa"/>
            <w:vAlign w:val="bottom"/>
            <w:shd w:val="clear" w:color="auto" w:fill="CCEEFF"/>
          </w:tcPr>
          <w:p>
            <w:pPr>
              <w:spacing w:after="0"/>
              <w:rPr>
                <w:sz w:val="14"/>
                <w:szCs w:val="14"/>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Common Equity</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60" w:type="dxa"/>
            <w:vAlign w:val="bottom"/>
          </w:tcPr>
          <w:p>
            <w:pPr>
              <w:spacing w:after="0"/>
              <w:rPr>
                <w:sz w:val="14"/>
                <w:szCs w:val="14"/>
                <w:color w:val="auto"/>
              </w:rPr>
            </w:pPr>
          </w:p>
        </w:tc>
      </w:tr>
      <w:tr>
        <w:trPr>
          <w:trHeight w:val="16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Tedia Company, LLC - Revolving Loan</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260" w:type="dxa"/>
            <w:vAlign w:val="bottom"/>
            <w:shd w:val="clear" w:color="auto" w:fill="CCEEFF"/>
          </w:tcPr>
          <w:p>
            <w:pPr>
              <w:spacing w:after="0"/>
              <w:rPr>
                <w:sz w:val="14"/>
                <w:szCs w:val="14"/>
                <w:color w:val="auto"/>
              </w:rPr>
            </w:pPr>
          </w:p>
        </w:tc>
      </w:tr>
      <w:tr>
        <w:trPr>
          <w:trHeight w:val="16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W50 Holdings, LLC - Preferred Equity</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96"/>
        </w:trPr>
        <w:tc>
          <w:tcPr>
            <w:tcW w:w="58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12,192</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8,792</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12,818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9,675</w:t>
            </w:r>
          </w:p>
        </w:tc>
        <w:tc>
          <w:tcPr>
            <w:tcW w:w="2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768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Additional detail for each of the commitments above is provided in the Company’s consolidated schedules of investments. As of June 30, 2024 and December 31, 2023, the Company had sufficient liquidity coverage to satisfy these unfunded commitments. Cash and cash equivalents were $48,320 and $119,131 and available borrowings under the Credit Facility were $67,500 and $100,000 as of June 30, 2024 and December 31, 2023, respectively.</w:t>
      </w:r>
    </w:p>
    <w:p>
      <w:pPr>
        <w:spacing w:after="0" w:line="12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pacing w:after="0" w:line="120"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28"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the normal course of business, the Company may be subject to legal and regulatory proceedings that are generally incidental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17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Cumulative Underwriting Fees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300"/>
              <w:spacing w:after="0" w:line="19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vMerge w:val="restart"/>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and Commissions and Offering</w:t>
            </w:r>
          </w:p>
        </w:tc>
        <w:tc>
          <w:tcPr>
            <w:tcW w:w="280" w:type="dxa"/>
            <w:vAlign w:val="bottom"/>
          </w:tcPr>
          <w:p>
            <w:pPr>
              <w:spacing w:after="0"/>
              <w:rPr>
                <w:sz w:val="9"/>
                <w:szCs w:val="9"/>
                <w:color w:val="auto"/>
              </w:rPr>
            </w:pPr>
          </w:p>
        </w:tc>
        <w:tc>
          <w:tcPr>
            <w:tcW w:w="1520" w:type="dxa"/>
            <w:vAlign w:val="bottom"/>
            <w:gridSpan w:val="3"/>
            <w:vMerge w:val="restart"/>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Average Offering</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Gross Proceeds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1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Borders>
              <w:bottom w:val="single" w:sz="8" w:color="auto"/>
            </w:tcBorders>
            <w:vMerge w:val="continue"/>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vMerge w:val="continue"/>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jc w:val="center"/>
              <w:ind w:right="30"/>
              <w:spacing w:after="0" w:line="272" w:lineRule="exact"/>
              <w:rPr>
                <w:sz w:val="20"/>
                <w:szCs w:val="20"/>
                <w:color w:val="auto"/>
              </w:rPr>
            </w:pPr>
            <w:r>
              <w:rPr>
                <w:rFonts w:ascii="Times New Roman" w:cs="Times New Roman" w:eastAsia="Times New Roman" w:hAnsi="Times New Roman"/>
                <w:sz w:val="18"/>
                <w:szCs w:val="18"/>
                <w:b w:val="1"/>
                <w:bCs w:val="1"/>
                <w:color w:val="auto"/>
                <w:w w:val="92"/>
              </w:rPr>
              <w:t xml:space="preserve">Costs </w:t>
            </w:r>
            <w:r>
              <w:rPr>
                <w:rFonts w:ascii="Times New Roman" w:cs="Times New Roman" w:eastAsia="Times New Roman" w:hAnsi="Times New Roman"/>
                <w:sz w:val="24"/>
                <w:szCs w:val="24"/>
                <w:b w:val="1"/>
                <w:bCs w:val="1"/>
                <w:color w:val="auto"/>
                <w:w w:val="92"/>
                <w:vertAlign w:val="superscript"/>
              </w:rPr>
              <w:t>(1)</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since IPO</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14,388,414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39" w:lineRule="auto"/>
        <w:tabs>
          <w:tab w:leader="none" w:pos="22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ATM Program</w:t>
      </w:r>
    </w:p>
    <w:p>
      <w:pPr>
        <w:spacing w:after="0" w:line="17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six months ended June 30, 2024 and 2023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1"/>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Underwriting</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36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Fees and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151"/>
        </w:trPr>
        <w:tc>
          <w:tcPr>
            <w:tcW w:w="4240" w:type="dxa"/>
            <w:vAlign w:val="bottom"/>
          </w:tcPr>
          <w:p>
            <w:pPr>
              <w:spacing w:after="0"/>
              <w:rPr>
                <w:sz w:val="13"/>
                <w:szCs w:val="13"/>
                <w:color w:val="auto"/>
              </w:rPr>
            </w:pPr>
          </w:p>
        </w:tc>
        <w:tc>
          <w:tcPr>
            <w:tcW w:w="1360" w:type="dxa"/>
            <w:vAlign w:val="bottom"/>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Proceeds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Commissions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Proceeds</w:t>
            </w:r>
          </w:p>
        </w:tc>
        <w:tc>
          <w:tcPr>
            <w:tcW w:w="0" w:type="dxa"/>
            <w:vAlign w:val="bottom"/>
          </w:tcPr>
          <w:p>
            <w:pPr>
              <w:spacing w:after="0"/>
              <w:rPr>
                <w:sz w:val="1"/>
                <w:szCs w:val="1"/>
                <w:color w:val="auto"/>
              </w:rPr>
            </w:pPr>
          </w:p>
        </w:tc>
      </w:tr>
      <w:tr>
        <w:trPr>
          <w:trHeight w:val="140"/>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1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January 1, 2023 through March 31,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260,610</w:t>
            </w:r>
          </w:p>
        </w:tc>
        <w:tc>
          <w:tcPr>
            <w:tcW w:w="4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20.68</w:t>
            </w:r>
          </w:p>
        </w:tc>
        <w:tc>
          <w:tcPr>
            <w:tcW w:w="4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5,389</w:t>
            </w: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52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1, 2023 through June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246,574</w:t>
            </w:r>
          </w:p>
        </w:tc>
        <w:tc>
          <w:tcPr>
            <w:tcW w:w="2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4,914</w:t>
            </w:r>
          </w:p>
        </w:tc>
        <w:tc>
          <w:tcPr>
            <w:tcW w:w="2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507,184</w:t>
            </w:r>
          </w:p>
        </w:tc>
        <w:tc>
          <w:tcPr>
            <w:tcW w:w="260" w:type="dxa"/>
            <w:vAlign w:val="bottom"/>
          </w:tcPr>
          <w:p>
            <w:pPr>
              <w:spacing w:after="0"/>
              <w:rPr>
                <w:sz w:val="12"/>
                <w:szCs w:val="12"/>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10,303</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2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January 1, 2024 through March 31,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987,170</w:t>
            </w:r>
          </w:p>
        </w:tc>
        <w:tc>
          <w:tcPr>
            <w:tcW w:w="4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4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19,408</w:t>
            </w: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52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1, 2024 through June 30,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1,691,336</w:t>
            </w:r>
          </w:p>
        </w:tc>
        <w:tc>
          <w:tcPr>
            <w:tcW w:w="2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19.80</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33,489</w:t>
            </w:r>
          </w:p>
        </w:tc>
        <w:tc>
          <w:tcPr>
            <w:tcW w:w="2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2,678,506</w:t>
            </w:r>
          </w:p>
        </w:tc>
        <w:tc>
          <w:tcPr>
            <w:tcW w:w="260" w:type="dxa"/>
            <w:vAlign w:val="bottom"/>
          </w:tcPr>
          <w:p>
            <w:pPr>
              <w:spacing w:after="0"/>
              <w:rPr>
                <w:sz w:val="12"/>
                <w:szCs w:val="12"/>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52,897</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proceeds exclude amortization of deferred equity financing costs.</w:t>
      </w:r>
    </w:p>
    <w:p>
      <w:pPr>
        <w:spacing w:after="0" w:line="15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Cumulative to date, the Company has sold 8,649,249 shares of common stock under the ATM Program at a weighted-average price of $19.73, raising $170,669 of gross proceeds. Net proceeds were $168,408 after commissions to the sales agents on shares sold. As of June 30, 2024, the Company has $129,331 available under the ATM Program.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As described in Note 2, the Company has a Stock Repurchase Program under which the Company may acquire up to $5,000 of its outstanding common stock. The Company did not make any repurchases of common stock during the three and six months ended June 30,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DRIP Program</w:t>
      </w:r>
    </w:p>
    <w:p>
      <w:pPr>
        <w:spacing w:after="0" w:line="227"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The Company issued 43,755 and 43,755 shares of common stock under the DRIP during the three and six months ended June 30, 2024, respectively. The Company issued 30,836 and 30,836 shares of common stock under the DRIP during the three and six months ended June 30, 2023, respectively. Refer to Note 9 for additional information regarding the issuance of shares under the DRIP.</w:t>
      </w:r>
    </w:p>
    <w:p>
      <w:pPr>
        <w:spacing w:after="0" w:line="122"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18"/>
          <w:szCs w:val="18"/>
          <w:color w:val="auto"/>
        </w:rPr>
        <w:t>The Company had 33,161,240 and 30,438,979 shares of common stock outstanding as of June 30, 2024 and December 31, 2023, respectively.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Dividends and Distributions</w:t>
      </w:r>
    </w:p>
    <w:p>
      <w:pPr>
        <w:spacing w:after="0" w:line="175"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The following table summarizes the dividends paid during the last two fiscal years and for the six months ended June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89"/>
              <w:spacing w:after="0"/>
              <w:rPr>
                <w:sz w:val="20"/>
                <w:szCs w:val="20"/>
                <w:color w:val="auto"/>
              </w:rPr>
            </w:pPr>
            <w:r>
              <w:rPr>
                <w:rFonts w:ascii="Times New Roman" w:cs="Times New Roman" w:eastAsia="Times New Roman" w:hAnsi="Times New Roman"/>
                <w:sz w:val="11"/>
                <w:szCs w:val="11"/>
                <w:b w:val="1"/>
                <w:bCs w:val="1"/>
                <w:color w:val="auto"/>
              </w:rPr>
              <w:t>DRIP</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DRIP</w:t>
            </w:r>
          </w:p>
        </w:tc>
        <w:tc>
          <w:tcPr>
            <w:tcW w:w="0" w:type="dxa"/>
            <w:vAlign w:val="bottom"/>
          </w:tcPr>
          <w:p>
            <w:pPr>
              <w:spacing w:after="0"/>
              <w:rPr>
                <w:sz w:val="1"/>
                <w:szCs w:val="1"/>
                <w:color w:val="auto"/>
              </w:rPr>
            </w:pPr>
          </w:p>
        </w:tc>
      </w:tr>
      <w:tr>
        <w:trPr>
          <w:trHeight w:val="149"/>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Record</w:t>
            </w:r>
          </w:p>
        </w:tc>
        <w:tc>
          <w:tcPr>
            <w:tcW w:w="120" w:type="dxa"/>
            <w:vAlign w:val="bottom"/>
          </w:tcPr>
          <w:p>
            <w:pPr>
              <w:spacing w:after="0"/>
              <w:rPr>
                <w:sz w:val="12"/>
                <w:szCs w:val="12"/>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8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740" w:type="dxa"/>
            <w:vAlign w:val="bottom"/>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DRIP</w:t>
            </w:r>
          </w:p>
        </w:tc>
        <w:tc>
          <w:tcPr>
            <w:tcW w:w="2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0" w:type="dxa"/>
            <w:vAlign w:val="bottom"/>
          </w:tcPr>
          <w:p>
            <w:pPr>
              <w:spacing w:after="0"/>
              <w:rPr>
                <w:sz w:val="1"/>
                <w:szCs w:val="1"/>
                <w:color w:val="auto"/>
              </w:rPr>
            </w:pPr>
          </w:p>
        </w:tc>
      </w:tr>
      <w:tr>
        <w:trPr>
          <w:trHeight w:val="153"/>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3"/>
                <w:szCs w:val="13"/>
                <w:color w:val="auto"/>
              </w:rPr>
            </w:pPr>
          </w:p>
        </w:tc>
        <w:tc>
          <w:tcPr>
            <w:tcW w:w="8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w w:val="97"/>
              </w:rPr>
              <w:t>Distribution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Distribution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109"/>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2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Issue Price</w:t>
            </w:r>
          </w:p>
        </w:tc>
        <w:tc>
          <w:tcPr>
            <w:tcW w:w="0" w:type="dxa"/>
            <w:vAlign w:val="bottom"/>
          </w:tcPr>
          <w:p>
            <w:pPr>
              <w:spacing w:after="0"/>
              <w:rPr>
                <w:sz w:val="1"/>
                <w:szCs w:val="1"/>
                <w:color w:val="auto"/>
              </w:rPr>
            </w:pPr>
          </w:p>
        </w:tc>
      </w:tr>
      <w:tr>
        <w:trPr>
          <w:trHeight w:val="140"/>
        </w:trPr>
        <w:tc>
          <w:tcPr>
            <w:tcW w:w="27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80" w:type="dxa"/>
            <w:vAlign w:val="bottom"/>
            <w:vMerge w:val="restart"/>
          </w:tcPr>
          <w:p>
            <w:pPr>
              <w:ind w:left="20"/>
              <w:spacing w:after="0" w:line="114" w:lineRule="exact"/>
              <w:rPr>
                <w:sz w:val="20"/>
                <w:szCs w:val="20"/>
                <w:color w:val="auto"/>
              </w:rPr>
            </w:pPr>
            <w:r>
              <w:rPr>
                <w:rFonts w:ascii="Times New Roman" w:cs="Times New Roman" w:eastAsia="Times New Roman" w:hAnsi="Times New Roman"/>
                <w:sz w:val="11"/>
                <w:szCs w:val="11"/>
                <w:color w:val="auto"/>
                <w:w w:val="98"/>
              </w:rPr>
              <w:t>2/15/2022</w:t>
            </w: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00" w:type="dxa"/>
            <w:vAlign w:val="bottom"/>
            <w:gridSpan w:val="2"/>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3/11/2022</w:t>
            </w:r>
          </w:p>
        </w:tc>
        <w:tc>
          <w:tcPr>
            <w:tcW w:w="940" w:type="dxa"/>
            <w:vAlign w:val="bottom"/>
            <w:gridSpan w:val="2"/>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3/25/2022</w:t>
            </w:r>
          </w:p>
        </w:tc>
        <w:tc>
          <w:tcPr>
            <w:tcW w:w="240" w:type="dxa"/>
            <w:vAlign w:val="bottom"/>
            <w:gridSpan w:val="2"/>
            <w:vMerge w:val="restart"/>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0.36</w:t>
            </w:r>
          </w:p>
        </w:tc>
        <w:tc>
          <w:tcPr>
            <w:tcW w:w="340" w:type="dxa"/>
            <w:vAlign w:val="bottom"/>
            <w:gridSpan w:val="2"/>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8,797</w:t>
            </w:r>
          </w:p>
        </w:tc>
        <w:tc>
          <w:tcPr>
            <w:tcW w:w="360" w:type="dxa"/>
            <w:vAlign w:val="bottom"/>
            <w:gridSpan w:val="2"/>
            <w:vMerge w:val="restart"/>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8,797</w:t>
            </w:r>
          </w:p>
        </w:tc>
        <w:tc>
          <w:tcPr>
            <w:tcW w:w="360" w:type="dxa"/>
            <w:vAlign w:val="bottom"/>
            <w:gridSpan w:val="2"/>
            <w:vMerge w:val="restart"/>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continue"/>
          </w:tcPr>
          <w:p>
            <w:pPr>
              <w:spacing w:after="0"/>
              <w:rPr>
                <w:sz w:val="3"/>
                <w:szCs w:val="3"/>
                <w:color w:val="auto"/>
              </w:rPr>
            </w:pPr>
          </w:p>
        </w:tc>
        <w:tc>
          <w:tcPr>
            <w:tcW w:w="74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3"/>
                <w:szCs w:val="3"/>
                <w:color w:val="auto"/>
              </w:rPr>
            </w:pPr>
          </w:p>
        </w:tc>
        <w:tc>
          <w:tcPr>
            <w:tcW w:w="1240" w:type="dxa"/>
            <w:vAlign w:val="bottom"/>
            <w:gridSpan w:val="2"/>
            <w:vMerge w:val="restart"/>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2/15/2022</w:t>
            </w:r>
          </w:p>
        </w:tc>
        <w:tc>
          <w:tcPr>
            <w:tcW w:w="2260" w:type="dxa"/>
            <w:vAlign w:val="bottom"/>
            <w:gridSpan w:val="2"/>
            <w:vMerge w:val="restart"/>
          </w:tcPr>
          <w:p>
            <w:pPr>
              <w:jc w:val="right"/>
              <w:ind w:right="212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80" w:type="dxa"/>
            <w:vAlign w:val="bottom"/>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3/11/2022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3/25/2022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0.17</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4,154</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4,154</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5/02/2022</w:t>
            </w: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6/10/2022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6/24/2022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5/02/2022</w:t>
            </w:r>
          </w:p>
        </w:tc>
        <w:tc>
          <w:tcPr>
            <w:tcW w:w="2260" w:type="dxa"/>
            <w:vAlign w:val="bottom"/>
            <w:gridSpan w:val="2"/>
            <w:vMerge w:val="restart"/>
          </w:tcPr>
          <w:p>
            <w:pPr>
              <w:jc w:val="right"/>
              <w:ind w:right="212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80" w:type="dxa"/>
            <w:vAlign w:val="bottom"/>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6/10/2022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6/24/2022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0.07</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1,712</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1,712</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8/01/2022</w:t>
            </w: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9/9/2022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9/23/2022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8/01/2022</w:t>
            </w:r>
          </w:p>
        </w:tc>
        <w:tc>
          <w:tcPr>
            <w:tcW w:w="2260" w:type="dxa"/>
            <w:vAlign w:val="bottom"/>
            <w:gridSpan w:val="2"/>
            <w:vMerge w:val="restart"/>
          </w:tcPr>
          <w:p>
            <w:pPr>
              <w:jc w:val="right"/>
              <w:ind w:right="212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80" w:type="dxa"/>
            <w:vAlign w:val="bottom"/>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9/9/2022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9/23/2022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0.07</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1,711</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1,711</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8/01/2022</w:t>
            </w: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12/16/2022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8,902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8,902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8/01/2022</w:t>
            </w:r>
          </w:p>
        </w:tc>
        <w:tc>
          <w:tcPr>
            <w:tcW w:w="2260" w:type="dxa"/>
            <w:vAlign w:val="bottom"/>
            <w:gridSpan w:val="2"/>
            <w:vMerge w:val="restart"/>
          </w:tcPr>
          <w:p>
            <w:pPr>
              <w:jc w:val="right"/>
              <w:ind w:right="212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80" w:type="dxa"/>
            <w:vAlign w:val="bottom"/>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12/2/2022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12/16/2022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0.07</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1,731</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1,731</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w w:val="95"/>
              </w:rPr>
              <w:t>11/03/2022</w:t>
            </w:r>
          </w:p>
        </w:tc>
        <w:tc>
          <w:tcPr>
            <w:tcW w:w="2220" w:type="dxa"/>
            <w:vAlign w:val="bottom"/>
            <w:vMerge w:val="restart"/>
          </w:tcPr>
          <w:p>
            <w:pPr>
              <w:jc w:val="right"/>
              <w:ind w:right="208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20" w:type="dxa"/>
            <w:vAlign w:val="bottom"/>
            <w:gridSpan w:val="2"/>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12/2/2022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12/16/2022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0.08</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1,978</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1,978</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520" w:type="dxa"/>
            <w:vAlign w:val="bottom"/>
            <w:gridSpan w:val="2"/>
            <w:vMerge w:val="continu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w w:val="95"/>
              </w:rPr>
              <w:t>11/03/2022</w:t>
            </w:r>
          </w:p>
        </w:tc>
        <w:tc>
          <w:tcPr>
            <w:tcW w:w="2220" w:type="dxa"/>
            <w:vAlign w:val="bottom"/>
            <w:vMerge w:val="restart"/>
          </w:tcPr>
          <w:p>
            <w:pPr>
              <w:jc w:val="right"/>
              <w:ind w:right="2084"/>
              <w:spacing w:after="0"/>
              <w:rPr>
                <w:sz w:val="20"/>
                <w:szCs w:val="20"/>
                <w:color w:val="auto"/>
              </w:rPr>
            </w:pPr>
            <w:r>
              <w:rPr>
                <w:rFonts w:ascii="Times New Roman" w:cs="Times New Roman" w:eastAsia="Times New Roman" w:hAnsi="Times New Roman"/>
                <w:sz w:val="7"/>
                <w:szCs w:val="7"/>
                <w:color w:val="auto"/>
                <w:w w:val="97"/>
              </w:rPr>
              <w:t>(1)</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2,473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2,473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20" w:type="dxa"/>
            <w:vAlign w:val="bottom"/>
            <w:gridSpan w:val="2"/>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12/2/2022</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12/16/2022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4"/>
                <w:szCs w:val="4"/>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520" w:type="dxa"/>
            <w:vAlign w:val="bottom"/>
            <w:gridSpan w:val="2"/>
            <w:vMerge w:val="continu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49,052</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49,052</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80" w:type="dxa"/>
            <w:vAlign w:val="bottom"/>
            <w:vMerge w:val="restart"/>
          </w:tcPr>
          <w:p>
            <w:pPr>
              <w:ind w:left="20"/>
              <w:spacing w:after="0" w:line="117" w:lineRule="exact"/>
              <w:rPr>
                <w:sz w:val="20"/>
                <w:szCs w:val="20"/>
                <w:color w:val="auto"/>
              </w:rPr>
            </w:pPr>
            <w:r>
              <w:rPr>
                <w:rFonts w:ascii="Times New Roman" w:cs="Times New Roman" w:eastAsia="Times New Roman" w:hAnsi="Times New Roman"/>
                <w:sz w:val="11"/>
                <w:szCs w:val="11"/>
                <w:color w:val="auto"/>
                <w:w w:val="98"/>
              </w:rPr>
              <w:t>2/15/2023</w:t>
            </w: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0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3/22/2023</w:t>
            </w:r>
          </w:p>
        </w:tc>
        <w:tc>
          <w:tcPr>
            <w:tcW w:w="94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3/29/2023</w:t>
            </w:r>
          </w:p>
        </w:tc>
        <w:tc>
          <w:tcPr>
            <w:tcW w:w="240" w:type="dxa"/>
            <w:vAlign w:val="bottom"/>
            <w:gridSpan w:val="2"/>
            <w:vMerge w:val="restart"/>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0.41</w:t>
            </w:r>
          </w:p>
        </w:tc>
        <w:tc>
          <w:tcPr>
            <w:tcW w:w="34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10,245</w:t>
            </w:r>
          </w:p>
        </w:tc>
        <w:tc>
          <w:tcPr>
            <w:tcW w:w="36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10,245</w:t>
            </w:r>
          </w:p>
        </w:tc>
        <w:tc>
          <w:tcPr>
            <w:tcW w:w="360" w:type="dxa"/>
            <w:vAlign w:val="bottom"/>
            <w:gridSpan w:val="2"/>
            <w:vMerge w:val="restart"/>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continue"/>
          </w:tcPr>
          <w:p>
            <w:pPr>
              <w:spacing w:after="0"/>
              <w:rPr>
                <w:sz w:val="3"/>
                <w:szCs w:val="3"/>
                <w:color w:val="auto"/>
              </w:rPr>
            </w:pPr>
          </w:p>
        </w:tc>
        <w:tc>
          <w:tcPr>
            <w:tcW w:w="74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3"/>
                <w:szCs w:val="3"/>
                <w:color w:val="auto"/>
              </w:rPr>
            </w:pPr>
          </w:p>
        </w:tc>
        <w:tc>
          <w:tcPr>
            <w:tcW w:w="1240" w:type="dxa"/>
            <w:vAlign w:val="bottom"/>
            <w:gridSpan w:val="2"/>
            <w:vMerge w:val="restart"/>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2/15/2023 (2)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3/22/2023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3,748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3,748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2/15/2023 (1)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3/22/2023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5/02/2023</w:t>
            </w: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6/21/2023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6/28/2023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18,061</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5/02/2023 (2)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6/21/2023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6/28/2023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8,370</w:t>
            </w: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5/02/2023 (1)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6/21/2023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6/28/2023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4,405</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80" w:type="dxa"/>
            <w:vAlign w:val="bottom"/>
            <w:vMerge w:val="restart"/>
          </w:tcPr>
          <w:p>
            <w:pPr>
              <w:ind w:left="20"/>
              <w:spacing w:after="0" w:line="116" w:lineRule="exact"/>
              <w:rPr>
                <w:sz w:val="20"/>
                <w:szCs w:val="20"/>
                <w:color w:val="auto"/>
              </w:rPr>
            </w:pPr>
            <w:r>
              <w:rPr>
                <w:rFonts w:ascii="Times New Roman" w:cs="Times New Roman" w:eastAsia="Times New Roman" w:hAnsi="Times New Roman"/>
                <w:sz w:val="11"/>
                <w:szCs w:val="11"/>
                <w:color w:val="auto"/>
                <w:w w:val="98"/>
              </w:rPr>
              <w:t>8/01/2023</w:t>
            </w: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00" w:type="dxa"/>
            <w:vAlign w:val="bottom"/>
            <w:gridSpan w:val="2"/>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9/20/2023</w:t>
            </w:r>
          </w:p>
        </w:tc>
        <w:tc>
          <w:tcPr>
            <w:tcW w:w="940" w:type="dxa"/>
            <w:vAlign w:val="bottom"/>
            <w:gridSpan w:val="2"/>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0.41</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11,666</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11,666</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continue"/>
          </w:tcPr>
          <w:p>
            <w:pPr>
              <w:spacing w:after="0"/>
              <w:rPr>
                <w:sz w:val="3"/>
                <w:szCs w:val="3"/>
                <w:color w:val="auto"/>
              </w:rPr>
            </w:pPr>
          </w:p>
        </w:tc>
        <w:tc>
          <w:tcPr>
            <w:tcW w:w="740" w:type="dxa"/>
            <w:vAlign w:val="bottom"/>
            <w:vMerge w:val="restart"/>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3"/>
                <w:szCs w:val="3"/>
                <w:color w:val="auto"/>
              </w:rPr>
            </w:pPr>
          </w:p>
        </w:tc>
        <w:tc>
          <w:tcPr>
            <w:tcW w:w="1240" w:type="dxa"/>
            <w:vAlign w:val="bottom"/>
            <w:gridSpan w:val="2"/>
            <w:vMerge w:val="restart"/>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8/01/2023 (2)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9/20/2023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8/01/2023 (1)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9/20/2023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9/27/2023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2,845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2,845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w w:val="95"/>
              </w:rPr>
              <w:t>10/30/2023</w:t>
            </w:r>
          </w:p>
        </w:tc>
        <w:tc>
          <w:tcPr>
            <w:tcW w:w="222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12/20/2023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0.43</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13,061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13,061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520" w:type="dxa"/>
            <w:vAlign w:val="bottom"/>
            <w:gridSpan w:val="2"/>
            <w:vMerge w:val="continue"/>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10/30/2023 (2)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12/20/2023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10/30/2023 (1)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12/20/2023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12/27/2023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3,037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3,037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274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continue"/>
          </w:tcPr>
          <w:p>
            <w:pPr>
              <w:spacing w:after="0"/>
              <w:rPr>
                <w:sz w:val="6"/>
                <w:szCs w:val="6"/>
                <w:color w:val="auto"/>
              </w:rPr>
            </w:pP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78,930</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78,327</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2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30,836</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2/13/2024</w:t>
            </w: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3/20/2024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3/27/2024</w:t>
            </w:r>
          </w:p>
        </w:tc>
        <w:tc>
          <w:tcPr>
            <w:tcW w:w="2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0.43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13,513</w:t>
            </w:r>
          </w:p>
        </w:tc>
        <w:tc>
          <w:tcPr>
            <w:tcW w:w="3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13,513</w:t>
            </w:r>
          </w:p>
        </w:tc>
        <w:tc>
          <w:tcPr>
            <w:tcW w:w="3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0"/>
        </w:trPr>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(3</w:t>
            </w: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80" w:type="dxa"/>
            <w:vAlign w:val="bottom"/>
            <w:vMerge w:val="restart"/>
          </w:tcPr>
          <w:p>
            <w:pPr>
              <w:ind w:left="20"/>
              <w:spacing w:after="0" w:line="117" w:lineRule="exact"/>
              <w:rPr>
                <w:sz w:val="20"/>
                <w:szCs w:val="20"/>
                <w:color w:val="auto"/>
              </w:rPr>
            </w:pPr>
            <w:r>
              <w:rPr>
                <w:rFonts w:ascii="Times New Roman" w:cs="Times New Roman" w:eastAsia="Times New Roman" w:hAnsi="Times New Roman"/>
                <w:sz w:val="11"/>
                <w:szCs w:val="11"/>
                <w:color w:val="auto"/>
                <w:w w:val="98"/>
              </w:rPr>
              <w:t>2/13/2024</w:t>
            </w:r>
          </w:p>
        </w:tc>
        <w:tc>
          <w:tcPr>
            <w:tcW w:w="2260" w:type="dxa"/>
            <w:vAlign w:val="bottom"/>
            <w:gridSpan w:val="2"/>
            <w:vMerge w:val="restart"/>
          </w:tcPr>
          <w:p>
            <w:pPr>
              <w:jc w:val="right"/>
              <w:ind w:right="2124"/>
              <w:spacing w:after="0"/>
              <w:rPr>
                <w:sz w:val="20"/>
                <w:szCs w:val="20"/>
                <w:color w:val="auto"/>
              </w:rPr>
            </w:pPr>
            <w:r>
              <w:rPr>
                <w:rFonts w:ascii="Times New Roman" w:cs="Times New Roman" w:eastAsia="Times New Roman" w:hAnsi="Times New Roman"/>
                <w:sz w:val="7"/>
                <w:szCs w:val="7"/>
                <w:color w:val="auto"/>
                <w:w w:val="97"/>
              </w:rPr>
              <w:t>(2)</w:t>
            </w: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480" w:type="dxa"/>
            <w:vAlign w:val="bottom"/>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90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3/20/2024</w:t>
            </w:r>
          </w:p>
        </w:tc>
        <w:tc>
          <w:tcPr>
            <w:tcW w:w="940" w:type="dxa"/>
            <w:vAlign w:val="bottom"/>
            <w:gridSpan w:val="2"/>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3/27/2024</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0.22</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6,914</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6,914</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vMerge w:val="restart"/>
          </w:tcPr>
          <w:p>
            <w:pPr>
              <w:jc w:val="right"/>
              <w:spacing w:after="0" w:line="73"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w:t>
            </w:r>
          </w:p>
        </w:tc>
        <w:tc>
          <w:tcPr>
            <w:tcW w:w="1240" w:type="dxa"/>
            <w:vAlign w:val="bottom"/>
            <w:gridSpan w:val="2"/>
            <w:vMerge w:val="restart"/>
          </w:tcPr>
          <w:p>
            <w:pPr>
              <w:jc w:val="right"/>
              <w:ind w:right="120"/>
              <w:spacing w:after="0" w:line="73"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4/29/2024</w:t>
            </w: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6/19/2024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6/26/2024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31,889</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gridSpan w:val="3"/>
            <w:shd w:val="clear" w:color="auto" w:fill="CFF0FC"/>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4/29/2024 </w:t>
            </w:r>
            <w:r>
              <w:rPr>
                <w:rFonts w:ascii="Times New Roman" w:cs="Times New Roman" w:eastAsia="Times New Roman" w:hAnsi="Times New Roman"/>
                <w:sz w:val="14"/>
                <w:szCs w:val="14"/>
                <w:color w:val="auto"/>
                <w:vertAlign w:val="superscript"/>
              </w:rPr>
              <w:t>(2)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6/26/2024</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5,299</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2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11,866</w:t>
            </w: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39,966</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39,119</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43,755</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-3642360</wp:posOffset>
            </wp:positionV>
            <wp:extent cx="7132320" cy="939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1200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1200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200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1200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-2133600</wp:posOffset>
            </wp:positionV>
            <wp:extent cx="7132320" cy="1200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200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200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200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200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939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200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200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3" w:lineRule="exact"/>
        <w:rPr>
          <w:sz w:val="20"/>
          <w:szCs w:val="20"/>
          <w:color w:val="auto"/>
        </w:rPr>
      </w:pPr>
    </w:p>
    <w:p>
      <w:pPr>
        <w:ind w:left="360" w:hanging="339"/>
        <w:spacing w:after="0"/>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dividend</w:t>
      </w:r>
    </w:p>
    <w:p>
      <w:pPr>
        <w:spacing w:after="0" w:line="1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dividend</w:t>
      </w:r>
    </w:p>
    <w:p>
      <w:pPr>
        <w:spacing w:after="0" w:line="1" w:lineRule="exact"/>
        <w:rPr>
          <w:rFonts w:ascii="Times New Roman" w:cs="Times New Roman" w:eastAsia="Times New Roman" w:hAnsi="Times New Roman"/>
          <w:sz w:val="14"/>
          <w:szCs w:val="14"/>
          <w:color w:val="auto"/>
        </w:rPr>
      </w:pPr>
    </w:p>
    <w:p>
      <w:pPr>
        <w:ind w:left="360" w:right="280" w:hanging="339"/>
        <w:spacing w:after="0" w:line="233"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shares issued pursuant to the DRIP as reflected in the table above, during the six months ended June 30, 2024 and the years ended December 31, 2023 and 2022,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2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20,380</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shd w:val="clear" w:color="auto" w:fill="CCEEFF"/>
          </w:tcPr>
          <w:p>
            <w:pPr>
              <w:spacing w:after="0"/>
              <w:rPr>
                <w:sz w:val="14"/>
                <w:szCs w:val="14"/>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April 1, 2022 through June 30, 2022</w:t>
            </w:r>
          </w:p>
        </w:tc>
        <w:tc>
          <w:tcPr>
            <w:tcW w:w="25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20,233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5"/>
                <w:szCs w:val="15"/>
                <w:color w:val="auto"/>
              </w:rPr>
            </w:pPr>
          </w:p>
        </w:tc>
      </w:tr>
      <w:tr>
        <w:trPr>
          <w:trHeight w:val="17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2022 through September 30, 2022</w:t>
            </w:r>
          </w:p>
        </w:tc>
        <w:tc>
          <w:tcPr>
            <w:tcW w:w="2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21,114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17.08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5"/>
                <w:szCs w:val="15"/>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October 1, 2022 through December 31, 2022</w:t>
            </w:r>
          </w:p>
        </w:tc>
        <w:tc>
          <w:tcPr>
            <w:tcW w:w="25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23,026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5"/>
                <w:szCs w:val="15"/>
                <w:color w:val="auto"/>
              </w:rPr>
            </w:pPr>
          </w:p>
        </w:tc>
      </w:tr>
      <w:tr>
        <w:trPr>
          <w:trHeight w:val="209"/>
        </w:trPr>
        <w:tc>
          <w:tcPr>
            <w:tcW w:w="36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84,753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18.61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361"/>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2023 through March 31, 2023</w:t>
            </w:r>
          </w:p>
        </w:tc>
        <w:tc>
          <w:tcPr>
            <w:tcW w:w="2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25,512</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19.22</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4"/>
                <w:szCs w:val="14"/>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April 1, 2023 through June 30, 2023</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2023 through September 30, 2023</w:t>
            </w:r>
          </w:p>
        </w:tc>
        <w:tc>
          <w:tcPr>
            <w:tcW w:w="2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39,962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shd w:val="clear" w:color="auto" w:fill="CCEEFF"/>
          </w:tcPr>
          <w:p>
            <w:pPr>
              <w:spacing w:after="0"/>
              <w:rPr>
                <w:sz w:val="15"/>
                <w:szCs w:val="15"/>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October 1, 2023 through December 31, 2023</w:t>
            </w:r>
          </w:p>
        </w:tc>
        <w:tc>
          <w:tcPr>
            <w:tcW w:w="25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45,047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19.83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5"/>
                <w:szCs w:val="15"/>
                <w:color w:val="auto"/>
              </w:rPr>
            </w:pPr>
          </w:p>
        </w:tc>
      </w:tr>
      <w:tr>
        <w:trPr>
          <w:trHeight w:val="209"/>
        </w:trPr>
        <w:tc>
          <w:tcPr>
            <w:tcW w:w="36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110,521</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19.46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361"/>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2024 through March 31, 2024</w:t>
            </w:r>
          </w:p>
        </w:tc>
        <w:tc>
          <w:tcPr>
            <w:tcW w:w="2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43,050</w:t>
            </w:r>
          </w:p>
        </w:tc>
        <w:tc>
          <w:tcPr>
            <w:tcW w:w="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shd w:val="clear" w:color="auto" w:fill="CFF0FC"/>
          </w:tcPr>
          <w:p>
            <w:pPr>
              <w:spacing w:after="0"/>
              <w:rPr>
                <w:sz w:val="14"/>
                <w:szCs w:val="14"/>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April 1, 2024 through June 30, 2024</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3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top w:val="single" w:sz="8" w:color="CFF0FC"/>
              <w:bottom w:val="single" w:sz="8" w:color="CFF0FC"/>
              <w:right w:val="single" w:sz="8" w:color="CFF0FC"/>
            </w:tcBorders>
            <w:gridSpan w:val="2"/>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43,050</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19.78</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-2167890</wp:posOffset>
            </wp:positionV>
            <wp:extent cx="603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-2150745</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-2167890</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-2150745</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-2167890</wp:posOffset>
            </wp:positionV>
            <wp:extent cx="514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-2150745</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-984885</wp:posOffset>
            </wp:positionV>
            <wp:extent cx="603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-967740</wp:posOffset>
            </wp:positionV>
            <wp:extent cx="603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-984885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-967740</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-984885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-967740</wp:posOffset>
            </wp:positionV>
            <wp:extent cx="514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596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96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-144780</wp:posOffset>
            </wp:positionV>
            <wp:extent cx="596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-144780</wp:posOffset>
            </wp:positionV>
            <wp:extent cx="514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wp:posOffset>
            </wp:positionV>
            <wp:extent cx="514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812"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12" w:gutter="0" w:footer="0" w:header="0"/>
          <w:type w:val="continuous"/>
        </w:sectPr>
      </w:pPr>
    </w:p>
    <w:bookmarkStart w:id="38" w:name="page39"/>
    <w:bookmarkEnd w:id="3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Highlights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six months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20" w:type="dxa"/>
            <w:vAlign w:val="bottom"/>
            <w:gridSpan w:val="7"/>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63"/>
        </w:trPr>
        <w:tc>
          <w:tcPr>
            <w:tcW w:w="704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 (loss) on investments, net of tax (provision) </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(0.28 )</w:t>
            </w:r>
          </w:p>
        </w:tc>
        <w:tc>
          <w:tcPr>
            <w:tcW w:w="60" w:type="dxa"/>
            <w:vAlign w:val="bottom"/>
          </w:tcPr>
          <w:p>
            <w:pPr>
              <w:spacing w:after="0"/>
              <w:rPr>
                <w:sz w:val="21"/>
                <w:szCs w:val="21"/>
                <w:color w:val="auto"/>
              </w:rPr>
            </w:pPr>
          </w:p>
        </w:tc>
      </w:tr>
      <w:tr>
        <w:trPr>
          <w:trHeight w:val="243"/>
        </w:trPr>
        <w:tc>
          <w:tcPr>
            <w:tcW w:w="70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unrealized appreciation (depreciation) on investments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Realized losses on extinguishment of debt </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0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increase from investment operations </w:t>
            </w:r>
            <w:r>
              <w:rPr>
                <w:rFonts w:ascii="Times New Roman" w:cs="Times New Roman" w:eastAsia="Times New Roman" w:hAnsi="Times New Roman"/>
                <w:sz w:val="24"/>
                <w:szCs w:val="24"/>
                <w:color w:val="auto"/>
                <w:vertAlign w:val="superscript"/>
              </w:rPr>
              <w:t>(1)</w:t>
            </w:r>
          </w:p>
        </w:tc>
        <w:tc>
          <w:tcPr>
            <w:tcW w:w="4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Accretive (dilutive) effect of share issuances and repurchases</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to stockholders</w:t>
            </w:r>
          </w:p>
        </w:tc>
        <w:tc>
          <w:tcPr>
            <w:tcW w:w="4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60" w:type="dxa"/>
            <w:vAlign w:val="bottom"/>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(11)</w:t>
            </w:r>
          </w:p>
        </w:tc>
        <w:tc>
          <w:tcPr>
            <w:tcW w:w="4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60" w:type="dxa"/>
            <w:vAlign w:val="bottom"/>
          </w:tcPr>
          <w:p>
            <w:pPr>
              <w:spacing w:after="0"/>
              <w:rPr>
                <w:sz w:val="21"/>
                <w:szCs w:val="21"/>
                <w:color w:val="auto"/>
              </w:rPr>
            </w:pPr>
          </w:p>
        </w:tc>
      </w:tr>
      <w:tr>
        <w:trPr>
          <w:trHeight w:val="277"/>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value at end of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33,161,240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25,265,808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during the period</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31,511,236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24,916,729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646,766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483,348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net assets </w:t>
            </w:r>
            <w:r>
              <w:rPr>
                <w:rFonts w:ascii="Times New Roman" w:cs="Times New Roman" w:eastAsia="Times New Roman" w:hAnsi="Times New Roman"/>
                <w:sz w:val="24"/>
                <w:szCs w:val="24"/>
                <w:color w:val="auto"/>
                <w:vertAlign w:val="superscript"/>
              </w:rPr>
              <w:t>(6)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Ratios to average net assets:</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70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(2)(4)(10)</w:t>
            </w:r>
          </w:p>
        </w:tc>
        <w:tc>
          <w:tcPr>
            <w:tcW w:w="44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11.9 %</w:t>
            </w:r>
          </w:p>
        </w:tc>
        <w:tc>
          <w:tcPr>
            <w:tcW w:w="4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(5)</w:t>
            </w:r>
          </w:p>
        </w:tc>
        <w:tc>
          <w:tcPr>
            <w:tcW w:w="440" w:type="dxa"/>
            <w:vAlign w:val="bottom"/>
          </w:tcPr>
          <w:p>
            <w:pPr>
              <w:spacing w:after="0"/>
              <w:rPr>
                <w:sz w:val="21"/>
                <w:szCs w:val="21"/>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11.2 %</w:t>
            </w: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(3)</w:t>
            </w:r>
          </w:p>
        </w:tc>
        <w:tc>
          <w:tcPr>
            <w:tcW w:w="440" w:type="dxa"/>
            <w:vAlign w:val="bottom"/>
          </w:tcPr>
          <w:p>
            <w:pPr>
              <w:spacing w:after="0"/>
              <w:rPr>
                <w:sz w:val="21"/>
                <w:szCs w:val="21"/>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68"/>
        </w:trPr>
        <w:tc>
          <w:tcPr>
            <w:tcW w:w="70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(8)</w:t>
            </w:r>
          </w:p>
        </w:tc>
        <w:tc>
          <w:tcPr>
            <w:tcW w:w="440" w:type="dxa"/>
            <w:vAlign w:val="bottom"/>
          </w:tcPr>
          <w:p>
            <w:pPr>
              <w:spacing w:after="0"/>
              <w:rPr>
                <w:sz w:val="23"/>
                <w:szCs w:val="23"/>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7.2 %</w:t>
            </w:r>
          </w:p>
        </w:tc>
        <w:tc>
          <w:tcPr>
            <w:tcW w:w="42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turnover ratio</w:t>
            </w:r>
          </w:p>
        </w:tc>
        <w:tc>
          <w:tcPr>
            <w:tcW w:w="440" w:type="dxa"/>
            <w:vAlign w:val="bottom"/>
          </w:tcPr>
          <w:p>
            <w:pPr>
              <w:spacing w:after="0"/>
              <w:rPr>
                <w:sz w:val="20"/>
                <w:szCs w:val="20"/>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20.2 %</w:t>
            </w:r>
          </w:p>
        </w:tc>
        <w:tc>
          <w:tcPr>
            <w:tcW w:w="4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debt outstanding </w:t>
            </w:r>
            <w:r>
              <w:rPr>
                <w:rFonts w:ascii="Times New Roman" w:cs="Times New Roman" w:eastAsia="Times New Roman" w:hAnsi="Times New Roman"/>
                <w:sz w:val="24"/>
                <w:szCs w:val="24"/>
                <w:color w:val="auto"/>
                <w:vertAlign w:val="superscript"/>
              </w:rPr>
              <w:t>(7)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448,355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debt per share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-2211070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-2193925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per share data.</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with the exception of income tax (provision) benefit from realized gains on investments.</w:t>
      </w:r>
    </w:p>
    <w:p>
      <w:pPr>
        <w:jc w:val="both"/>
        <w:ind w:left="520" w:right="6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520" w:right="6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ind w:left="520" w:right="8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investment income to average net assets ratio is annualized and calculated using the net investment income caption as presented on the consolidated statements of operations, which includes incentive fee.</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net assets is calculated as the average of the net asset balances as of each quarter end during the fiscal year and the prior year end.</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debt outstanding is calculated as the average of the outstanding debt balances, including secured borrowings, as of each quarter end during the fiscal year and the prior year end.</w:t>
      </w:r>
    </w:p>
    <w:p>
      <w:pPr>
        <w:jc w:val="both"/>
        <w:ind w:left="520" w:right="6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are schedules of supplemental expense ratios to average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196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Expenses other than incentive fee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68"/>
        </w:trPr>
        <w:tc>
          <w:tcPr>
            <w:tcW w:w="698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Incentive fee, net of incentive fee waiver </w:t>
            </w:r>
            <w:r>
              <w:rPr>
                <w:rFonts w:ascii="Times New Roman" w:cs="Times New Roman" w:eastAsia="Times New Roman" w:hAnsi="Times New Roman"/>
                <w:sz w:val="24"/>
                <w:szCs w:val="24"/>
                <w:color w:val="auto"/>
                <w:vertAlign w:val="superscript"/>
              </w:rPr>
              <w:t>(9)</w:t>
            </w: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1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gridSpan w:val="2"/>
            <w:vMerge w:val="continue"/>
          </w:tcPr>
          <w:p>
            <w:pPr>
              <w:spacing w:after="0"/>
              <w:rPr>
                <w:sz w:val="20"/>
                <w:szCs w:val="20"/>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62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39" w:name="page40"/>
    <w:bookmarkEnd w:id="3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 to average net assets:</w:t>
            </w:r>
          </w:p>
        </w:tc>
        <w:tc>
          <w:tcPr>
            <w:tcW w:w="21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700" w:type="dxa"/>
            <w:vAlign w:val="bottom"/>
            <w:tcBorders>
              <w:top w:val="single" w:sz="8" w:color="auto"/>
            </w:tcBorders>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Total expenses, before base management fee waiver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68"/>
        </w:trPr>
        <w:tc>
          <w:tcPr>
            <w:tcW w:w="682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Base management fee waiver </w:t>
            </w:r>
            <w:r>
              <w:rPr>
                <w:rFonts w:ascii="Times New Roman" w:cs="Times New Roman" w:eastAsia="Times New Roman" w:hAnsi="Times New Roman"/>
                <w:sz w:val="24"/>
                <w:szCs w:val="24"/>
                <w:color w:val="auto"/>
                <w:vertAlign w:val="superscript"/>
              </w:rPr>
              <w:t>(9)</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Total expenses </w:t>
            </w:r>
            <w:r>
              <w:rPr>
                <w:rFonts w:ascii="Times New Roman" w:cs="Times New Roman" w:eastAsia="Times New Roman" w:hAnsi="Times New Roman"/>
                <w:sz w:val="24"/>
                <w:szCs w:val="24"/>
                <w:color w:val="auto"/>
                <w:vertAlign w:val="superscript"/>
              </w:rPr>
              <w:t>(2)(4)</w:t>
            </w:r>
          </w:p>
        </w:tc>
        <w:tc>
          <w:tcPr>
            <w:tcW w:w="2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gridSpan w:val="2"/>
            <w:vMerge w:val="continue"/>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631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3" w:lineRule="exact"/>
        <w:rPr>
          <w:sz w:val="20"/>
          <w:szCs w:val="20"/>
          <w:color w:val="auto"/>
        </w:rPr>
      </w:pPr>
    </w:p>
    <w:p>
      <w:pPr>
        <w:ind w:left="520" w:right="220" w:hanging="512"/>
        <w:spacing w:after="0" w:line="261"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jc w:val="both"/>
        <w:ind w:right="60" w:firstLine="479"/>
        <w:spacing w:after="0" w:line="282" w:lineRule="auto"/>
        <w:rPr>
          <w:sz w:val="20"/>
          <w:szCs w:val="20"/>
          <w:color w:val="auto"/>
        </w:rPr>
      </w:pPr>
      <w:r>
        <w:rPr>
          <w:rFonts w:ascii="Times New Roman" w:cs="Times New Roman" w:eastAsia="Times New Roman" w:hAnsi="Times New Roman"/>
          <w:sz w:val="18"/>
          <w:szCs w:val="18"/>
          <w:color w:val="auto"/>
        </w:rPr>
        <w:t>On July 2, 2024, the Company exited its debt investment in Aldinger Company. The Company received payment in full of $23,089 on its first lien debt, which included a prepayment fee.</w:t>
      </w:r>
    </w:p>
    <w:p>
      <w:pPr>
        <w:spacing w:after="0" w:line="108" w:lineRule="exact"/>
        <w:rPr>
          <w:sz w:val="20"/>
          <w:szCs w:val="20"/>
          <w:color w:val="auto"/>
        </w:rPr>
      </w:pPr>
    </w:p>
    <w:p>
      <w:pPr>
        <w:jc w:val="both"/>
        <w:ind w:right="60" w:firstLine="479"/>
        <w:spacing w:after="0" w:line="266" w:lineRule="auto"/>
        <w:rPr>
          <w:sz w:val="20"/>
          <w:szCs w:val="20"/>
          <w:color w:val="auto"/>
        </w:rPr>
      </w:pPr>
      <w:r>
        <w:rPr>
          <w:rFonts w:ascii="Times New Roman" w:cs="Times New Roman" w:eastAsia="Times New Roman" w:hAnsi="Times New Roman"/>
          <w:sz w:val="18"/>
          <w:szCs w:val="18"/>
          <w:color w:val="auto"/>
        </w:rPr>
        <w:t>On July 25, 2024, the Company entered into an incremental commitment agreement relating to the Credit Facility that increased the total commitments available under the Credit Facility from $100,000 to $140,000, subject to the borrowing base requirement. The $40,000 increase was provided by three existing lenders.</w:t>
      </w:r>
    </w:p>
    <w:p>
      <w:pPr>
        <w:spacing w:after="0" w:line="122" w:lineRule="exact"/>
        <w:rPr>
          <w:sz w:val="20"/>
          <w:szCs w:val="20"/>
          <w:color w:val="auto"/>
        </w:rPr>
      </w:pPr>
    </w:p>
    <w:p>
      <w:pPr>
        <w:jc w:val="both"/>
        <w:ind w:right="80" w:firstLine="479"/>
        <w:spacing w:after="0" w:line="261" w:lineRule="auto"/>
        <w:rPr>
          <w:sz w:val="20"/>
          <w:szCs w:val="20"/>
          <w:color w:val="auto"/>
        </w:rPr>
      </w:pPr>
      <w:r>
        <w:rPr>
          <w:rFonts w:ascii="Times New Roman" w:cs="Times New Roman" w:eastAsia="Times New Roman" w:hAnsi="Times New Roman"/>
          <w:sz w:val="18"/>
          <w:szCs w:val="18"/>
          <w:color w:val="auto"/>
        </w:rPr>
        <w:t>On July 29, 2024, the Board declared a regular quarterly dividend of $0.43 per share and a supplemental dividend of $0.14 per share payable on September 26, 2024, to stockholders of record as of September 19, 2024.</w:t>
      </w:r>
    </w:p>
    <w:p>
      <w:pPr>
        <w:jc w:val="center"/>
        <w:ind w:right="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2023, filed with the SEC on February 29, 2024. The information contained in this section should also be read in conjunction with our unaudited consolidated financial statements and related notes thereto appearing elsewhere in this Quarterly Report on Form 10-Q.</w:t>
      </w:r>
    </w:p>
    <w:p>
      <w:pPr>
        <w:spacing w:after="0" w:line="180" w:lineRule="exact"/>
        <w:rPr>
          <w:sz w:val="20"/>
          <w:szCs w:val="20"/>
          <w:color w:val="auto"/>
        </w:rPr>
      </w:pPr>
    </w:p>
    <w:p>
      <w:pPr>
        <w:jc w:val="both"/>
        <w:ind w:firstLine="281"/>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references to “we,” “us,” “our,” “Fidus” and “FIC” refer to Fidus Investment Corporation and its consolidated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133"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its impacts on the ability of our portfolio companies to operate and the investment opportunities available to us;</w:t>
      </w:r>
    </w:p>
    <w:p>
      <w:pPr>
        <w:spacing w:after="0" w:line="9"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Advisor to locate suitable investments for us and to monitor and administer our investments;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attract and retain highly talented professionals;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Fund III to operate as an SBIC;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and the elevated level of inflation on our business and portfolio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5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ind w:left="1020" w:right="40" w:hanging="503"/>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atility, could adversely affect our results, particularly because we use leverage as part of our investment strategy;</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level of inflation could adversely affect our business, results of operations and financial condition of our portfolio companies, which may, in turn, impact the valuation of such portfolio companies; and</w:t>
      </w:r>
    </w:p>
    <w:p>
      <w:pPr>
        <w:ind w:left="1020" w:right="260" w:hanging="503"/>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Item 1A. – Risk Factors contained in our Annual Report on Form 10-K for the year ended December 31, 2023, elsewhere in this Quarterly Report on Form 10-Q and in our other filings with the SEC.</w:t>
      </w:r>
    </w:p>
    <w:p>
      <w:pPr>
        <w:spacing w:after="0" w:line="127" w:lineRule="exact"/>
        <w:rPr>
          <w:sz w:val="20"/>
          <w:szCs w:val="20"/>
          <w:color w:val="auto"/>
        </w:rPr>
      </w:pPr>
    </w:p>
    <w:p>
      <w:pPr>
        <w:jc w:val="both"/>
        <w:ind w:firstLine="829"/>
        <w:spacing w:after="0" w:line="255" w:lineRule="auto"/>
        <w:rPr>
          <w:sz w:val="20"/>
          <w:szCs w:val="20"/>
          <w:color w:val="auto"/>
        </w:rPr>
      </w:pPr>
      <w:r>
        <w:rPr>
          <w:rFonts w:ascii="Times New Roman" w:cs="Times New Roman" w:eastAsia="Times New Roman" w:hAnsi="Times New Roman"/>
          <w:sz w:val="18"/>
          <w:szCs w:val="18"/>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contained in our Annual Report on Form 10-K for the year ended December 31, 2023, filed with the SEC on February 29, 2024. You should not place undue reliance on these forward-looking statements, which apply only as of the date of this Quarterly Report on Form 10-Q.</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Corporate Structure</w:t>
      </w:r>
    </w:p>
    <w:p>
      <w:pPr>
        <w:spacing w:after="0" w:line="17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3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3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Fund II and Fund III received their SBIC licenses on May 28, 2013 and March 21, 2019, respectively. We plan to continue to operate Fund III as a SBIC, subject to SBA approval, and to utilize the proceeds of the sale of SBA-guaranteed debentures to enhance returns to our stockholders. Fund II completed its wind-down plan, can no longer issue additional SBA debentures, and relinquished its SBIC license on March 7, 2024, which remains subject to the SBA's approval. We have also made, and continue to make, investments directly through FIC. We believe that utilizing FIC and Fund III as investment vehicles provides us with access to a broader array of investment opportunities.</w:t>
      </w:r>
    </w:p>
    <w:p>
      <w:pPr>
        <w:spacing w:after="0" w:line="129"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First Lien Debt. </w:t>
      </w:r>
      <w:r>
        <w:rPr>
          <w:rFonts w:ascii="Times New Roman" w:cs="Times New Roman" w:eastAsia="Times New Roman" w:hAnsi="Times New Roman"/>
          <w:sz w:val="18"/>
          <w:szCs w:val="18"/>
          <w:color w:val="auto"/>
        </w:rPr>
        <w:t>We structure some of our investments as senior secured or first lien debt investments. First lien debt investments are secured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38"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spacing w:after="0" w:line="12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Second Lien Debt. </w:t>
      </w:r>
      <w:r>
        <w:rPr>
          <w:rFonts w:ascii="Times New Roman" w:cs="Times New Roman" w:eastAsia="Times New Roman" w:hAnsi="Times New Roman"/>
          <w:sz w:val="18"/>
          <w:szCs w:val="18"/>
          <w:color w:val="auto"/>
        </w:rPr>
        <w:t>Some of our debt investments take the form of second lien debt, which includes senior subordinated notes. Second lien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These investments are typically structured as unsecured, subordinated notes. Structurally, subordinated debt usually ranks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Our equity investments typically consist of either a direct minority equity investment in common or preferred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4" w:name="page45"/>
    <w:bookmarkEnd w:id="44"/>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generate revenue in the form of interest and fee income on debt investments and dividends, if any, on equity investments. Our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24"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investment professionals of the Investment Advisor and/or its affiliates, when and to the extent engaged in providing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4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fees and management fees;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dividend agent and custodial fees and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shares on any securities exchange;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or other regulators including printing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and mailing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officers/errors and omissions liability insurance, and any other insurance premiums;</w:t>
      </w:r>
    </w:p>
    <w:p>
      <w:pPr>
        <w:spacing w:after="0" w:line="9" w:lineRule="exact"/>
        <w:rPr>
          <w:rFonts w:ascii="Times New Roman" w:cs="Times New Roman" w:eastAsia="Times New Roman" w:hAnsi="Times New Roman"/>
          <w:sz w:val="18"/>
          <w:szCs w:val="18"/>
          <w:color w:val="auto"/>
        </w:rPr>
      </w:pPr>
    </w:p>
    <w:p>
      <w:pPr>
        <w:ind w:left="1020" w:right="68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5" w:name="page46"/>
    <w:bookmarkEnd w:id="45"/>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voting expenses; and</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or the Investment Advisor in connection with administering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Investment Activity and Yield</w:t>
      </w:r>
    </w:p>
    <w:p>
      <w:pPr>
        <w:spacing w:after="0" w:line="17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and 2023, we invested $208.3 million and $147.3 million, respectively, in debt and equity investments including eight and eight new portfolio companies, respectively. During the six months ended June 30, 2024 and 2023, we received proceeds from sales or repayments, including principal, return of capital dividends and net realized gains (losses), of $103.3 million and $76.5 million, respectively, including an exit of two and five portfolio companies, respectively. The following table summarizes purchases of investments and sales and repayments of investments by type for the six months ended June 30, 2024 and 2023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 of Investments</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Sales and Repayments of Investments</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69"/>
        </w:trPr>
        <w:tc>
          <w:tcPr>
            <w:tcW w:w="1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16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74.1 %</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2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62.6 %</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57.2 %</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34.4 %</w:t>
            </w: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300" w:type="dxa"/>
            <w:vAlign w:val="bottom"/>
          </w:tcPr>
          <w:p>
            <w:pPr>
              <w:spacing w:after="0"/>
              <w:rPr>
                <w:sz w:val="15"/>
                <w:szCs w:val="15"/>
                <w:color w:val="auto"/>
              </w:rPr>
            </w:pPr>
          </w:p>
        </w:tc>
      </w:tr>
      <w:tr>
        <w:trPr>
          <w:trHeight w:val="17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300" w:type="dxa"/>
            <w:vAlign w:val="bottom"/>
          </w:tcPr>
          <w:p>
            <w:pPr>
              <w:spacing w:after="0"/>
              <w:rPr>
                <w:sz w:val="15"/>
                <w:szCs w:val="15"/>
                <w:color w:val="auto"/>
              </w:rPr>
            </w:pPr>
          </w:p>
        </w:tc>
      </w:tr>
      <w:tr>
        <w:trPr>
          <w:trHeight w:val="17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r>
      <w:tr>
        <w:trPr>
          <w:trHeight w:val="169"/>
        </w:trPr>
        <w:tc>
          <w:tcPr>
            <w:tcW w:w="1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208.3</w:t>
            </w:r>
          </w:p>
        </w:tc>
        <w:tc>
          <w:tcPr>
            <w:tcW w:w="240" w:type="dxa"/>
            <w:vAlign w:val="bottom"/>
          </w:tcPr>
          <w:p>
            <w:pPr>
              <w:spacing w:after="0"/>
              <w:rPr>
                <w:sz w:val="14"/>
                <w:szCs w:val="14"/>
                <w:color w:val="auto"/>
              </w:rPr>
            </w:pPr>
          </w:p>
        </w:tc>
        <w:tc>
          <w:tcPr>
            <w:tcW w:w="128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560" w:type="dxa"/>
            <w:vAlign w:val="bottom"/>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147.3</w:t>
            </w:r>
          </w:p>
        </w:tc>
        <w:tc>
          <w:tcPr>
            <w:tcW w:w="260" w:type="dxa"/>
            <w:vAlign w:val="bottom"/>
          </w:tcPr>
          <w:p>
            <w:pPr>
              <w:spacing w:after="0"/>
              <w:rPr>
                <w:sz w:val="14"/>
                <w:szCs w:val="14"/>
                <w:color w:val="auto"/>
              </w:rPr>
            </w:pPr>
          </w:p>
        </w:tc>
        <w:tc>
          <w:tcPr>
            <w:tcW w:w="12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2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w:t>
            </w:r>
          </w:p>
        </w:tc>
        <w:tc>
          <w:tcPr>
            <w:tcW w:w="1900" w:type="dxa"/>
            <w:vAlign w:val="bottom"/>
            <w:gridSpan w:val="3"/>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76.5</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20"/>
        </w:trPr>
        <w:tc>
          <w:tcPr>
            <w:tcW w:w="1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-144780</wp:posOffset>
            </wp:positionV>
            <wp:extent cx="768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-144780</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-144780</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-144780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-144780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-144780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-144780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-144780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20" w:firstLine="8"/>
        <w:spacing w:after="0" w:line="261" w:lineRule="auto"/>
        <w:tabs>
          <w:tab w:leader="none" w:pos="20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2024 and 2023, first lien debt includes unitranche securities, which account for 29.9% and 32.5% of purchases, respectively. For the six months ended June 30, 2024 and 2023, first lien debt includes unitranche securities, which account for 5.0% and 3.9% of repayments, respectively.</w:t>
      </w:r>
    </w:p>
    <w:p>
      <w:pPr>
        <w:spacing w:after="0" w:line="11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of June 30, 2024, the fair value of our investment portfolio totaled $1,078.4 million and consisted of 86 active portfolio companies and five portfolio companies that have sold their underlying operations. As of June 30, 2024, 48 portfolio companies’ debt investments bore interest at a variable rate, which represented $688.4 million, or 72.8%, of our debt investment portfolio on a fair value basis, and the remainder of our debt investment portfolio was comprised of fixed-rate investments. Overall, the portfolio had net unrealized appreciation of $20.4 million as of June 30, 2024. As of June 30, 2024, our average active portfolio company investment at amortized cost was $12.3 million, which excludes investments in five portfolio companies that have sold their underlying operations.</w:t>
      </w:r>
    </w:p>
    <w:p>
      <w:pPr>
        <w:spacing w:after="0" w:line="13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As of December 31, 2023, the fair value of our investment portfolio totaled $957.9 million and consisted of 81 active portfolio companies and one portfolio company that has sold its underlying operations. As of December 31, 2023, 46 portfolio companies’ debt investments bore interest at a variable rate, which represented $629.3 million, or 75.6%, of our debt investment portfolio on a fair value basis, and the remainder of our debt investment portfolio was comprised of fixed-rate investments. Overall, the portfolio had net unrealized appreciation of $21.3 million as of December 31, 2023. As of December 31, 2023, our average active portfolio company investment at amortized cost was $11.6 million, which excludes an investment in one portfolio company that has sold its underlying operations.</w:t>
      </w:r>
    </w:p>
    <w:p>
      <w:pPr>
        <w:spacing w:after="0" w:line="13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weighted average yield on debt investments as of June 30, 2024 and December 31, 2023 was 14.0% and 14.2%,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w:t>
      </w:r>
    </w:p>
    <w:p>
      <w:pPr>
        <w:spacing w:after="0" w:line="129"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portfolio composition by investment type at fair value and cost and as a percentage of total investments (dollars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tcPr>
          <w:p>
            <w:pPr>
              <w:jc w:val="center"/>
              <w:ind w:left="18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7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62.6 %</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60.3 %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63.6 %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61.6 %</w:t>
            </w:r>
          </w:p>
        </w:tc>
      </w:tr>
      <w:tr>
        <w:trPr>
          <w:trHeight w:val="175"/>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60" w:type="dxa"/>
            <w:vAlign w:val="bottom"/>
          </w:tcPr>
          <w:p>
            <w:pPr>
              <w:spacing w:after="0"/>
              <w:rPr>
                <w:sz w:val="15"/>
                <w:szCs w:val="15"/>
                <w:color w:val="auto"/>
              </w:rPr>
            </w:pPr>
          </w:p>
        </w:tc>
      </w:tr>
      <w:tr>
        <w:trPr>
          <w:trHeight w:val="175"/>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60" w:type="dxa"/>
            <w:vAlign w:val="bottom"/>
            <w:shd w:val="clear" w:color="auto" w:fill="CFF0FC"/>
          </w:tcPr>
          <w:p>
            <w:pPr>
              <w:spacing w:after="0"/>
              <w:rPr>
                <w:sz w:val="15"/>
                <w:szCs w:val="15"/>
                <w:color w:val="auto"/>
              </w:rPr>
            </w:pPr>
          </w:p>
        </w:tc>
      </w:tr>
      <w:tr>
        <w:trPr>
          <w:trHeight w:val="175"/>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60" w:type="dxa"/>
            <w:vAlign w:val="bottom"/>
          </w:tcPr>
          <w:p>
            <w:pPr>
              <w:spacing w:after="0"/>
              <w:rPr>
                <w:sz w:val="15"/>
                <w:szCs w:val="15"/>
                <w:color w:val="auto"/>
              </w:rPr>
            </w:pPr>
          </w:p>
        </w:tc>
      </w:tr>
      <w:tr>
        <w:trPr>
          <w:trHeight w:val="175"/>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5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7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957.9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1,058.0</w:t>
            </w:r>
          </w:p>
        </w:tc>
        <w:tc>
          <w:tcPr>
            <w:tcW w:w="240" w:type="dxa"/>
            <w:vAlign w:val="bottom"/>
          </w:tcPr>
          <w:p>
            <w:pPr>
              <w:spacing w:after="0"/>
              <w:rPr>
                <w:sz w:val="14"/>
                <w:szCs w:val="14"/>
                <w:color w:val="auto"/>
              </w:rPr>
            </w:pPr>
          </w:p>
        </w:tc>
        <w:tc>
          <w:tcPr>
            <w:tcW w:w="1060" w:type="dxa"/>
            <w:vAlign w:val="bottom"/>
            <w:gridSpan w:val="2"/>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20"/>
        </w:trPr>
        <w:tc>
          <w:tcPr>
            <w:tcW w:w="1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768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-145415</wp:posOffset>
            </wp:positionV>
            <wp:extent cx="768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-145415</wp:posOffset>
            </wp:positionV>
            <wp:extent cx="7747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-145415</wp:posOffset>
            </wp:positionV>
            <wp:extent cx="7747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-145415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-145415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-145415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firstLine="8"/>
        <w:spacing w:after="0" w:line="261" w:lineRule="auto"/>
        <w:tabs>
          <w:tab w:leader="none" w:pos="20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36.8% and 37.4% of our portfolio on a fair value and cost basis as of June 30, 2024, respectively. Includes unitranche investments, which account for 37.6% and 38.5% of our portfolio on a fair value and cost basis as of December 31, 2023, respectively.</w:t>
      </w:r>
    </w:p>
    <w:p>
      <w:pPr>
        <w:spacing w:after="0" w:line="113"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7"/>
        </w:trPr>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58"/>
        </w:trPr>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left="18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7"/>
        </w:trPr>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69"/>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Midwest</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10.2 %</w:t>
            </w:r>
          </w:p>
        </w:tc>
        <w:tc>
          <w:tcPr>
            <w:tcW w:w="3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11.8 %</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7.1 %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8.1 %</w:t>
            </w:r>
          </w:p>
        </w:tc>
      </w:tr>
      <w:tr>
        <w:trPr>
          <w:trHeight w:val="175"/>
        </w:trPr>
        <w:tc>
          <w:tcPr>
            <w:tcW w:w="1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Southeast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300" w:type="dxa"/>
            <w:vAlign w:val="bottom"/>
          </w:tcPr>
          <w:p>
            <w:pPr>
              <w:spacing w:after="0"/>
              <w:rPr>
                <w:sz w:val="15"/>
                <w:szCs w:val="15"/>
                <w:color w:val="auto"/>
              </w:rPr>
            </w:pPr>
          </w:p>
        </w:tc>
      </w:tr>
      <w:tr>
        <w:trPr>
          <w:trHeight w:val="176"/>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Northeast</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300" w:type="dxa"/>
            <w:vAlign w:val="bottom"/>
            <w:shd w:val="clear" w:color="auto" w:fill="CFF0FC"/>
          </w:tcPr>
          <w:p>
            <w:pPr>
              <w:spacing w:after="0"/>
              <w:rPr>
                <w:sz w:val="15"/>
                <w:szCs w:val="15"/>
                <w:color w:val="auto"/>
              </w:rPr>
            </w:pPr>
          </w:p>
        </w:tc>
      </w:tr>
      <w:tr>
        <w:trPr>
          <w:trHeight w:val="175"/>
        </w:trPr>
        <w:tc>
          <w:tcPr>
            <w:tcW w:w="1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West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300" w:type="dxa"/>
            <w:vAlign w:val="bottom"/>
          </w:tcPr>
          <w:p>
            <w:pPr>
              <w:spacing w:after="0"/>
              <w:rPr>
                <w:sz w:val="15"/>
                <w:szCs w:val="15"/>
                <w:color w:val="auto"/>
              </w:rPr>
            </w:pPr>
          </w:p>
        </w:tc>
      </w:tr>
      <w:tr>
        <w:trPr>
          <w:trHeight w:val="176"/>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Southwest</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00" w:type="dxa"/>
            <w:vAlign w:val="bottom"/>
            <w:shd w:val="clear" w:color="auto" w:fill="CFF0FC"/>
          </w:tcPr>
          <w:p>
            <w:pPr>
              <w:spacing w:after="0"/>
              <w:rPr>
                <w:sz w:val="15"/>
                <w:szCs w:val="15"/>
                <w:color w:val="auto"/>
              </w:rPr>
            </w:pP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5"/>
                <w:szCs w:val="15"/>
                <w:color w:val="auto"/>
              </w:rPr>
            </w:pPr>
          </w:p>
        </w:tc>
      </w:tr>
      <w:tr>
        <w:trPr>
          <w:trHeight w:val="189"/>
        </w:trPr>
        <w:tc>
          <w:tcPr>
            <w:tcW w:w="166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1,078.4</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20" w:type="dxa"/>
            <w:vAlign w:val="bottom"/>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957.9</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60" w:type="dxa"/>
            <w:vAlign w:val="bottom"/>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1,058.0</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60" w:type="dxa"/>
            <w:vAlign w:val="bottom"/>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-25400</wp:posOffset>
            </wp:positionV>
            <wp:extent cx="768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-7620</wp:posOffset>
            </wp:positionV>
            <wp:extent cx="768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-25400</wp:posOffset>
            </wp:positionV>
            <wp:extent cx="768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768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-25400</wp:posOffset>
            </wp:positionV>
            <wp:extent cx="768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detailed industry composition of our portfolio at fair value and cost as a percentage of total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1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58"/>
        </w:trPr>
        <w:tc>
          <w:tcPr>
            <w:tcW w:w="3860" w:type="dxa"/>
            <w:vAlign w:val="bottom"/>
          </w:tcPr>
          <w:p>
            <w:pPr>
              <w:spacing w:after="0"/>
              <w:rPr>
                <w:sz w:val="13"/>
                <w:szCs w:val="13"/>
                <w:color w:val="auto"/>
              </w:rPr>
            </w:pPr>
          </w:p>
        </w:tc>
        <w:tc>
          <w:tcPr>
            <w:tcW w:w="2140" w:type="dxa"/>
            <w:vAlign w:val="bottom"/>
            <w:gridSpan w:val="3"/>
          </w:tcPr>
          <w:p>
            <w:pPr>
              <w:ind w:left="54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Pr>
          <w:p>
            <w:pPr>
              <w:jc w:val="right"/>
              <w:ind w:right="29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980" w:type="dxa"/>
            <w:vAlign w:val="bottom"/>
            <w:gridSpan w:val="3"/>
          </w:tcPr>
          <w:p>
            <w:pPr>
              <w:ind w:left="50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5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r>
      <w:tr>
        <w:trPr>
          <w:trHeight w:val="16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Information Technology Services</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34.3 %</w:t>
            </w:r>
          </w:p>
        </w:tc>
        <w:tc>
          <w:tcPr>
            <w:tcW w:w="2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33.7 %</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36.4 %</w:t>
            </w:r>
          </w:p>
        </w:tc>
        <w:tc>
          <w:tcPr>
            <w:tcW w:w="1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36.0 %</w:t>
            </w: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40" w:type="dxa"/>
            <w:vAlign w:val="bottom"/>
          </w:tcPr>
          <w:p>
            <w:pPr>
              <w:spacing w:after="0"/>
              <w:rPr>
                <w:sz w:val="15"/>
                <w:szCs w:val="15"/>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Products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shd w:val="clear" w:color="auto" w:fill="CCEEFF"/>
          </w:tcPr>
          <w:p>
            <w:pPr>
              <w:spacing w:after="0"/>
              <w:rPr>
                <w:sz w:val="15"/>
                <w:szCs w:val="15"/>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 Manufacturing</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tcPr>
          <w:p>
            <w:pPr>
              <w:spacing w:after="0"/>
              <w:rPr>
                <w:sz w:val="15"/>
                <w:szCs w:val="15"/>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Services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shd w:val="clear" w:color="auto" w:fill="CCEEFF"/>
          </w:tcPr>
          <w:p>
            <w:pPr>
              <w:spacing w:after="0"/>
              <w:rPr>
                <w:sz w:val="15"/>
                <w:szCs w:val="15"/>
                <w:color w:val="auto"/>
              </w:rPr>
            </w:pPr>
          </w:p>
        </w:tc>
      </w:tr>
      <w:tr>
        <w:trPr>
          <w:trHeight w:val="17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Utilities: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40" w:type="dxa"/>
            <w:vAlign w:val="bottom"/>
          </w:tcPr>
          <w:p>
            <w:pPr>
              <w:spacing w:after="0"/>
              <w:rPr>
                <w:sz w:val="15"/>
                <w:szCs w:val="15"/>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40" w:type="dxa"/>
            <w:vAlign w:val="bottom"/>
            <w:shd w:val="clear" w:color="auto" w:fill="CCEEFF"/>
          </w:tcPr>
          <w:p>
            <w:pPr>
              <w:spacing w:after="0"/>
              <w:rPr>
                <w:sz w:val="15"/>
                <w:szCs w:val="15"/>
                <w:color w:val="auto"/>
              </w:rPr>
            </w:pPr>
          </w:p>
        </w:tc>
      </w:tr>
      <w:tr>
        <w:trPr>
          <w:trHeight w:val="17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Products Manufacturing</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5"/>
                <w:szCs w:val="15"/>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Services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shd w:val="clear" w:color="auto" w:fill="CCEEFF"/>
          </w:tcPr>
          <w:p>
            <w:pPr>
              <w:spacing w:after="0"/>
              <w:rPr>
                <w:sz w:val="15"/>
                <w:szCs w:val="15"/>
                <w:color w:val="auto"/>
              </w:rPr>
            </w:pPr>
          </w:p>
        </w:tc>
      </w:tr>
      <w:tr>
        <w:trPr>
          <w:trHeight w:val="17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5"/>
                <w:szCs w:val="15"/>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Distribution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shd w:val="clear" w:color="auto" w:fill="CCEEFF"/>
          </w:tcPr>
          <w:p>
            <w:pPr>
              <w:spacing w:after="0"/>
              <w:rPr>
                <w:sz w:val="15"/>
                <w:szCs w:val="15"/>
                <w:color w:val="auto"/>
              </w:rPr>
            </w:pPr>
          </w:p>
        </w:tc>
      </w:tr>
      <w:tr>
        <w:trPr>
          <w:trHeight w:val="17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Industries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tcPr>
          <w:p>
            <w:pPr>
              <w:spacing w:after="0"/>
              <w:rPr>
                <w:sz w:val="15"/>
                <w:szCs w:val="15"/>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Promotional Products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shd w:val="clear" w:color="auto" w:fill="CCEEFF"/>
          </w:tcPr>
          <w:p>
            <w:pPr>
              <w:spacing w:after="0"/>
              <w:rPr>
                <w:sz w:val="15"/>
                <w:szCs w:val="15"/>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Aerospace &amp; Defense Manufacturing</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tcPr>
          <w:p>
            <w:pPr>
              <w:spacing w:after="0"/>
              <w:rPr>
                <w:sz w:val="15"/>
                <w:szCs w:val="15"/>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shd w:val="clear" w:color="auto" w:fill="CCEEFF"/>
          </w:tcPr>
          <w:p>
            <w:pPr>
              <w:spacing w:after="0"/>
              <w:rPr>
                <w:sz w:val="15"/>
                <w:szCs w:val="15"/>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&amp; Gas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5"/>
                <w:szCs w:val="15"/>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Cleaning &amp; Coatings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shd w:val="clear" w:color="auto" w:fill="CCEEFF"/>
          </w:tcPr>
          <w:p>
            <w:pPr>
              <w:spacing w:after="0"/>
              <w:rPr>
                <w:sz w:val="15"/>
                <w:szCs w:val="15"/>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Restaurants</w:t>
            </w:r>
          </w:p>
        </w:tc>
        <w:tc>
          <w:tcPr>
            <w:tcW w:w="2140" w:type="dxa"/>
            <w:vAlign w:val="bottom"/>
            <w:gridSpan w:val="3"/>
          </w:tcPr>
          <w:p>
            <w:pPr>
              <w:ind w:left="1420"/>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8"/>
                <w:szCs w:val="8"/>
                <w:color w:val="auto"/>
              </w:rPr>
              <w:t xml:space="preserve">  (1)</w:t>
            </w:r>
          </w:p>
        </w:tc>
        <w:tc>
          <w:tcPr>
            <w:tcW w:w="156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8"/>
                <w:szCs w:val="8"/>
                <w:color w:val="auto"/>
              </w:rPr>
              <w:t xml:space="preserve">  (1)</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5"/>
                <w:szCs w:val="15"/>
                <w:color w:val="auto"/>
              </w:rPr>
            </w:pPr>
          </w:p>
        </w:tc>
      </w:tr>
      <w:tr>
        <w:trPr>
          <w:trHeight w:val="20"/>
        </w:trPr>
        <w:tc>
          <w:tcPr>
            <w:tcW w:w="38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8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88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180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169"/>
        </w:trPr>
        <w:tc>
          <w:tcPr>
            <w:tcW w:w="3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(1) Percentage is less than 0.1% of respective total.</w:t>
            </w:r>
          </w:p>
        </w:tc>
        <w:tc>
          <w:tcPr>
            <w:tcW w:w="158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-127635</wp:posOffset>
            </wp:positionV>
            <wp:extent cx="774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-144780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-127635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-144780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-127635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-144780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-127635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Asset Quality</w:t>
      </w:r>
    </w:p>
    <w:p>
      <w:pPr>
        <w:spacing w:after="0" w:line="1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22" w:lineRule="exact"/>
        <w:rPr>
          <w:sz w:val="20"/>
          <w:szCs w:val="20"/>
          <w:color w:val="auto"/>
        </w:rPr>
      </w:pPr>
    </w:p>
    <w:p>
      <w:pPr>
        <w:ind w:left="1020" w:right="4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1"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ind w:left="1020" w:right="10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5 is used for investments performing substantially below our expectations and the risks have increased substantially since origination. We expect some loss of principal.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7" w:name="page48"/>
    <w:bookmarkEnd w:id="47"/>
    <w:p>
      <w:pPr>
        <w:jc w:val="both"/>
        <w:ind w:right="80" w:firstLine="479"/>
        <w:spacing w:after="0" w:line="255" w:lineRule="auto"/>
        <w:rPr>
          <w:sz w:val="20"/>
          <w:szCs w:val="20"/>
          <w:color w:val="auto"/>
        </w:rPr>
      </w:pPr>
      <w:r>
        <w:rPr>
          <w:rFonts w:ascii="Times New Roman" w:cs="Times New Roman" w:eastAsia="Times New Roman" w:hAnsi="Times New Roman"/>
          <w:sz w:val="18"/>
          <w:szCs w:val="18"/>
          <w:color w:val="auto"/>
        </w:rPr>
        <w:t>We also have observed, and continue to observe, supply chain disruptions, labor and resource shortages, commodity inflation, elements of financial market instability (including high interest rates),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rating scale at fair value and cost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tcPr>
          <w:p>
            <w:pPr>
              <w:jc w:val="center"/>
              <w:ind w:left="18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10.2 %</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8.9 %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4.9 %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3.2 %</w:t>
            </w:r>
          </w:p>
        </w:tc>
      </w:tr>
      <w:tr>
        <w:trPr>
          <w:trHeight w:val="17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360" w:type="dxa"/>
            <w:vAlign w:val="bottom"/>
          </w:tcPr>
          <w:p>
            <w:pPr>
              <w:spacing w:after="0"/>
              <w:rPr>
                <w:sz w:val="15"/>
                <w:szCs w:val="15"/>
                <w:color w:val="auto"/>
              </w:rPr>
            </w:pPr>
          </w:p>
        </w:tc>
      </w:tr>
      <w:tr>
        <w:trPr>
          <w:trHeight w:val="176"/>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60" w:type="dxa"/>
            <w:vAlign w:val="bottom"/>
            <w:shd w:val="clear" w:color="auto" w:fill="CFF0FC"/>
          </w:tcPr>
          <w:p>
            <w:pPr>
              <w:spacing w:after="0"/>
              <w:rPr>
                <w:sz w:val="15"/>
                <w:szCs w:val="15"/>
                <w:color w:val="auto"/>
              </w:rPr>
            </w:pPr>
          </w:p>
        </w:tc>
      </w:tr>
      <w:tr>
        <w:trPr>
          <w:trHeight w:val="17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60" w:type="dxa"/>
            <w:vAlign w:val="bottom"/>
          </w:tcPr>
          <w:p>
            <w:pPr>
              <w:spacing w:after="0"/>
              <w:rPr>
                <w:sz w:val="15"/>
                <w:szCs w:val="15"/>
                <w:color w:val="auto"/>
              </w:rPr>
            </w:pPr>
          </w:p>
        </w:tc>
      </w:tr>
      <w:tr>
        <w:trPr>
          <w:trHeight w:val="175"/>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7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957.9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1,058.0</w:t>
            </w:r>
          </w:p>
        </w:tc>
        <w:tc>
          <w:tcPr>
            <w:tcW w:w="240" w:type="dxa"/>
            <w:vAlign w:val="bottom"/>
          </w:tcPr>
          <w:p>
            <w:pPr>
              <w:spacing w:after="0"/>
              <w:rPr>
                <w:sz w:val="14"/>
                <w:szCs w:val="14"/>
                <w:color w:val="auto"/>
              </w:rPr>
            </w:pPr>
          </w:p>
        </w:tc>
        <w:tc>
          <w:tcPr>
            <w:tcW w:w="1060" w:type="dxa"/>
            <w:vAlign w:val="bottom"/>
            <w:gridSpan w:val="2"/>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100.0 %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100.0 %</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768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-145415</wp:posOffset>
            </wp:positionV>
            <wp:extent cx="768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-145415</wp:posOffset>
            </wp:positionV>
            <wp:extent cx="774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-145415</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-145415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-145415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-145415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ind w:right="80" w:firstLine="478"/>
        <w:spacing w:after="0" w:line="282" w:lineRule="auto"/>
        <w:rPr>
          <w:sz w:val="20"/>
          <w:szCs w:val="20"/>
          <w:color w:val="auto"/>
        </w:rPr>
      </w:pPr>
      <w:r>
        <w:rPr>
          <w:rFonts w:ascii="Times New Roman" w:cs="Times New Roman" w:eastAsia="Times New Roman" w:hAnsi="Times New Roman"/>
          <w:sz w:val="18"/>
          <w:szCs w:val="18"/>
          <w:color w:val="auto"/>
        </w:rPr>
        <w:t>Based on our investment rating system, the weighted average rating of our portfolio as of June 30, 2024 and December 31, 2023 was 2.0 and 2.0, respectively, on a fair value basis and 2.1 and 2.2, respectively, on a cost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73" w:lineRule="exact"/>
        <w:rPr>
          <w:sz w:val="20"/>
          <w:szCs w:val="20"/>
          <w:color w:val="auto"/>
        </w:rPr>
      </w:pPr>
    </w:p>
    <w:p>
      <w:pPr>
        <w:jc w:val="both"/>
        <w:ind w:right="80" w:firstLine="47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had debt investments in three portfolio companies on non-accrual status (dollars in millions),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58"/>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68"/>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48"/>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8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4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169"/>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GreenFiber, LLC</w:t>
            </w:r>
          </w:p>
        </w:tc>
        <w:tc>
          <w:tcPr>
            <w:tcW w:w="140" w:type="dxa"/>
            <w:vAlign w:val="bottom"/>
          </w:tcPr>
          <w:p>
            <w:pPr>
              <w:spacing w:after="0"/>
              <w:rPr>
                <w:sz w:val="14"/>
                <w:szCs w:val="14"/>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tcPr>
          <w:p>
            <w:pPr>
              <w:spacing w:after="0"/>
              <w:rPr>
                <w:sz w:val="14"/>
                <w:szCs w:val="14"/>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4"/>
                <w:szCs w:val="14"/>
                <w:color w:val="auto"/>
              </w:rPr>
            </w:pPr>
          </w:p>
        </w:tc>
      </w:tr>
      <w:tr>
        <w:trPr>
          <w:trHeight w:val="17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Suited Connector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CEEFF"/>
          </w:tcPr>
          <w:p>
            <w:pPr>
              <w:spacing w:after="0"/>
              <w:rPr>
                <w:sz w:val="15"/>
                <w:szCs w:val="15"/>
                <w:color w:val="auto"/>
              </w:rPr>
            </w:pPr>
          </w:p>
        </w:tc>
      </w:tr>
      <w:tr>
        <w:trPr>
          <w:trHeight w:val="175"/>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Virtex Enterprises, LP</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60" w:type="dxa"/>
            <w:vAlign w:val="bottom"/>
          </w:tcPr>
          <w:p>
            <w:pPr>
              <w:spacing w:after="0"/>
              <w:rPr>
                <w:sz w:val="15"/>
                <w:szCs w:val="15"/>
                <w:color w:val="auto"/>
              </w:rPr>
            </w:pPr>
          </w:p>
        </w:tc>
      </w:tr>
      <w:tr>
        <w:trPr>
          <w:trHeight w:val="209"/>
        </w:trPr>
        <w:tc>
          <w:tcPr>
            <w:tcW w:w="580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32.0</w:t>
            </w:r>
          </w:p>
        </w:tc>
        <w:tc>
          <w:tcPr>
            <w:tcW w:w="26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2024 and 2023</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73" w:lineRule="exact"/>
        <w:rPr>
          <w:sz w:val="20"/>
          <w:szCs w:val="20"/>
          <w:color w:val="auto"/>
        </w:rPr>
      </w:pPr>
    </w:p>
    <w:p>
      <w:pPr>
        <w:jc w:val="both"/>
        <w:ind w:right="80" w:firstLine="479"/>
        <w:spacing w:after="0" w:line="282" w:lineRule="auto"/>
        <w:rPr>
          <w:sz w:val="20"/>
          <w:szCs w:val="20"/>
          <w:color w:val="auto"/>
        </w:rPr>
      </w:pPr>
      <w:r>
        <w:rPr>
          <w:rFonts w:ascii="Times New Roman" w:cs="Times New Roman" w:eastAsia="Times New Roman" w:hAnsi="Times New Roman"/>
          <w:sz w:val="18"/>
          <w:szCs w:val="18"/>
          <w:color w:val="auto"/>
        </w:rPr>
        <w:t>Below is a summary of the changes in total investment income for the three months ended June 30, 2024 as compared to the same period in 2023 (dollars in millions, percent change calculated based on underlying dollar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40" w:type="dxa"/>
            <w:vAlign w:val="bottom"/>
            <w:vMerge w:val="restart"/>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6"/>
                <w:szCs w:val="16"/>
                <w:color w:val="auto"/>
              </w:rPr>
            </w:pPr>
          </w:p>
        </w:tc>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18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1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6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idle funds and other income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vMerge w:val="continue"/>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6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4"/>
                <w:szCs w:val="14"/>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200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3" w:lineRule="exact"/>
        <w:rPr>
          <w:sz w:val="20"/>
          <w:szCs w:val="20"/>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38"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total investment income was $35.7 million, an increase of $5.1 million or 16.7%, from the $30.6 million of total investment income for the three months ended June 30, 2023. As reflected in the table above, the increase is primarily attributable to the following:</w:t>
      </w:r>
    </w:p>
    <w:p>
      <w:pPr>
        <w:spacing w:after="0" w:line="108" w:lineRule="exact"/>
        <w:rPr>
          <w:sz w:val="20"/>
          <w:szCs w:val="20"/>
          <w:color w:val="auto"/>
        </w:rPr>
      </w:pPr>
    </w:p>
    <w:p>
      <w:pPr>
        <w:jc w:val="both"/>
        <w:ind w:left="1140" w:right="80" w:hanging="383"/>
        <w:spacing w:after="0" w:line="257"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increase in total interest income (which includes payment-in-kind ("PIK") interest income) resulting from an increase in average debt investment balances, partially offset by a decrease in weighted average yield on debt investment balances outstanding during 2024 as compared to 2023.</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47" w:right="259" w:bottom="1440" w:gutter="0" w:footer="0" w:header="0"/>
        </w:sectPr>
      </w:pPr>
    </w:p>
    <w:bookmarkStart w:id="48" w:name="page49"/>
    <w:bookmarkEnd w:id="48"/>
    <w:p>
      <w:pPr>
        <w:ind w:left="1140" w:right="4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dividend income due to an increase in distributions received from equity investments, during 2024 as compared to 2023.</w:t>
      </w:r>
    </w:p>
    <w:p>
      <w:pPr>
        <w:spacing w:after="0" w:line="10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fee income resulting from a decrease in prepayment and origination fees, partially offset by an increase in amendment fees during 2024 as compared to 2023.</w:t>
      </w:r>
    </w:p>
    <w:p>
      <w:pPr>
        <w:spacing w:after="0" w:line="10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interest on idle funds due to a decrease in average cash balances outstanding during 2024 as compared to 2023.</w:t>
      </w:r>
    </w:p>
    <w:p>
      <w:pPr>
        <w:spacing w:after="0" w:line="171" w:lineRule="exact"/>
        <w:rPr>
          <w:sz w:val="20"/>
          <w:szCs w:val="20"/>
          <w:color w:val="auto"/>
        </w:rPr>
      </w:pPr>
    </w:p>
    <w:p>
      <w:pPr>
        <w:ind w:right="40" w:firstLine="478"/>
        <w:spacing w:after="0" w:line="257" w:lineRule="auto"/>
        <w:rPr>
          <w:sz w:val="20"/>
          <w:szCs w:val="20"/>
          <w:color w:val="auto"/>
        </w:rPr>
      </w:pPr>
      <w:r>
        <w:rPr>
          <w:rFonts w:ascii="Times New Roman" w:cs="Times New Roman" w:eastAsia="Times New Roman" w:hAnsi="Times New Roman"/>
          <w:sz w:val="18"/>
          <w:szCs w:val="18"/>
          <w:color w:val="auto"/>
        </w:rPr>
        <w:t>Below is a summary of the changes in total investment income for the six months ended June 30, 2024 as compared to the same period in 2023 (dollars in millions):</w:t>
      </w: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(1) NM = Not meaningful</w:t>
            </w:r>
          </w:p>
        </w:tc>
        <w:tc>
          <w:tcPr>
            <w:tcW w:w="232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6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income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on idle funds and other income</w:t>
            </w: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60" w:type="dxa"/>
            <w:vAlign w:val="bottom"/>
          </w:tcPr>
          <w:p>
            <w:pPr>
              <w:spacing w:after="0"/>
              <w:rPr>
                <w:sz w:val="14"/>
                <w:szCs w:val="14"/>
                <w:color w:val="auto"/>
              </w:rPr>
            </w:pP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-144780</wp:posOffset>
            </wp:positionV>
            <wp:extent cx="768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-144780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-144780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(2) Percent change calculated based on underlying dollar amounts in thousands as presented on the consolidated statements of operations.</w:t>
      </w:r>
    </w:p>
    <w:p>
      <w:pPr>
        <w:spacing w:after="0" w:line="18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total investment income was $70.3 million, an increase of $10.7 million or 18.0%, from the $59.6 million of total investment income for the six months ended June 30, 2023. As reflected in the table above, the increase is primarily attributable to the following:</w:t>
      </w:r>
    </w:p>
    <w:p>
      <w:pPr>
        <w:spacing w:after="0" w:line="108" w:lineRule="exact"/>
        <w:rPr>
          <w:sz w:val="20"/>
          <w:szCs w:val="20"/>
          <w:color w:val="auto"/>
        </w:rPr>
      </w:pPr>
    </w:p>
    <w:p>
      <w:pPr>
        <w:jc w:val="both"/>
        <w:ind w:left="1140" w:right="2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increase in total interest income (which includes a $2.0 million increase in PIK interest income) resulting from an increase in average debt investment balances, partially offset by a decrease in weighted average yield on debt investment balances outstanding during 2024 as compared to 2023.</w:t>
      </w:r>
    </w:p>
    <w:p>
      <w:pPr>
        <w:spacing w:after="0" w:line="121"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dividend income due to an increase in distributions received from equity investments, during 2024 as compared to 2023.</w:t>
      </w:r>
    </w:p>
    <w:p>
      <w:pPr>
        <w:spacing w:after="0" w:line="10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fee income resulting from an increase in amendment and origination fees, partially offset by a decrease in prepayment fees during 2024 as compared to 2023.</w:t>
      </w:r>
    </w:p>
    <w:p>
      <w:pPr>
        <w:spacing w:after="0" w:line="10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increase in interest on idle funds due to an increase in average cash balances outstanding during 2024 as compared to 2023.</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three months ended June 30, 2024 as compared to the same period in 2023 (dollars in millions, percent change calculated based on underlying dollar amounts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6"/>
                <w:szCs w:val="16"/>
                <w:color w:val="auto"/>
              </w:rPr>
            </w:pPr>
          </w:p>
        </w:tc>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12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1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 - income</w:t>
            </w: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(1.2 )</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8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income tax provision</w:t>
            </w: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expenses, including income tax provision</w:t>
            </w:r>
          </w:p>
        </w:tc>
        <w:tc>
          <w:tcPr>
            <w:tcW w:w="860" w:type="dxa"/>
            <w:vAlign w:val="bottom"/>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18.7</w:t>
            </w:r>
          </w:p>
        </w:tc>
        <w:tc>
          <w:tcPr>
            <w:tcW w:w="1120" w:type="dxa"/>
            <w:vAlign w:val="bottom"/>
            <w:gridSpan w:val="2"/>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240" w:type="dxa"/>
            <w:vAlign w:val="bottom"/>
          </w:tcPr>
          <w:p>
            <w:pPr>
              <w:spacing w:after="0"/>
              <w:rPr>
                <w:sz w:val="14"/>
                <w:szCs w:val="14"/>
                <w:color w:val="auto"/>
              </w:rPr>
            </w:pPr>
          </w:p>
        </w:tc>
        <w:tc>
          <w:tcPr>
            <w:tcW w:w="3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4"/>
                <w:szCs w:val="14"/>
                <w:color w:val="auto"/>
              </w:rPr>
            </w:pPr>
          </w:p>
        </w:tc>
        <w:tc>
          <w:tcPr>
            <w:tcW w:w="1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35.9 %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-608330</wp:posOffset>
            </wp:positionV>
            <wp:extent cx="76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-608330</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-608330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-376555</wp:posOffset>
            </wp:positionV>
            <wp:extent cx="768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-376555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-376555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-145415</wp:posOffset>
            </wp:positionV>
            <wp:extent cx="768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-145415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38" w:lineRule="exact"/>
        <w:rPr>
          <w:sz w:val="20"/>
          <w:szCs w:val="20"/>
          <w:color w:val="auto"/>
        </w:rPr>
      </w:pPr>
    </w:p>
    <w:p>
      <w:pPr>
        <w:jc w:val="both"/>
        <w:ind w:right="20" w:firstLine="478"/>
        <w:spacing w:after="0" w:line="257" w:lineRule="auto"/>
        <w:rPr>
          <w:sz w:val="20"/>
          <w:szCs w:val="20"/>
          <w:color w:val="auto"/>
        </w:rPr>
      </w:pPr>
      <w:r>
        <w:rPr>
          <w:rFonts w:ascii="Times New Roman" w:cs="Times New Roman" w:eastAsia="Times New Roman" w:hAnsi="Times New Roman"/>
          <w:sz w:val="18"/>
          <w:szCs w:val="18"/>
          <w:color w:val="auto"/>
        </w:rPr>
        <w:t>For the three months ended June 30, 2024, total expenses, including income tax provision, were $18.7 million, an increase of $4.9 million or 35.9%, from the $13.8 million of total expenses for the three months ended June 30, 2023. As reflected in the table above, changes across the periods were primarily attributable to the following:</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49" w:name="page50"/>
    <w:bookmarkEnd w:id="49"/>
    <w:p>
      <w:pPr>
        <w:ind w:left="1220" w:right="80" w:hanging="381"/>
        <w:spacing w:after="0" w:line="282" w:lineRule="auto"/>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interest and financing expenses due to an increase in the weighted average interest rate of our debt outstanding and an increase in average borrowings outstanding during 2024 as compared to 2023.</w:t>
      </w:r>
    </w:p>
    <w:p>
      <w:pPr>
        <w:spacing w:after="0" w:line="107" w:lineRule="exact"/>
        <w:rPr>
          <w:rFonts w:ascii="Times New Roman" w:cs="Times New Roman" w:eastAsia="Times New Roman" w:hAnsi="Times New Roman"/>
          <w:sz w:val="18"/>
          <w:szCs w:val="18"/>
          <w:color w:val="auto"/>
        </w:rPr>
      </w:pPr>
    </w:p>
    <w:p>
      <w:pPr>
        <w:ind w:left="1220" w:right="80" w:hanging="381"/>
        <w:spacing w:after="0" w:line="282" w:lineRule="auto"/>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net increase in base management fee, including the base management fee waiver, due to higher average total assets during 2024 as compared to 2023.</w:t>
      </w:r>
    </w:p>
    <w:p>
      <w:pPr>
        <w:spacing w:after="0" w:line="107" w:lineRule="exact"/>
        <w:rPr>
          <w:rFonts w:ascii="Times New Roman" w:cs="Times New Roman" w:eastAsia="Times New Roman" w:hAnsi="Times New Roman"/>
          <w:sz w:val="18"/>
          <w:szCs w:val="18"/>
          <w:color w:val="auto"/>
        </w:rPr>
      </w:pPr>
    </w:p>
    <w:p>
      <w:pPr>
        <w:ind w:left="1220" w:right="80" w:hanging="381"/>
        <w:spacing w:after="0" w:line="282" w:lineRule="auto"/>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in the income incentive fee due to an increase in pre-incentive fee net investment income during 2024 as compared to 2023.</w:t>
      </w:r>
    </w:p>
    <w:p>
      <w:pPr>
        <w:spacing w:after="0" w:line="107" w:lineRule="exact"/>
        <w:rPr>
          <w:rFonts w:ascii="Times New Roman" w:cs="Times New Roman" w:eastAsia="Times New Roman" w:hAnsi="Times New Roman"/>
          <w:sz w:val="18"/>
          <w:szCs w:val="18"/>
          <w:color w:val="auto"/>
        </w:rPr>
      </w:pPr>
    </w:p>
    <w:p>
      <w:pPr>
        <w:ind w:left="1220" w:right="100" w:hanging="381"/>
        <w:spacing w:after="0" w:line="282" w:lineRule="auto"/>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increase in the accrued capital gains incentive fee due to a net $13.0 million increase in net gain on investments and realized losses on extinguishment of debt during 2024 as compared to the same period in 2023.</w:t>
      </w:r>
    </w:p>
    <w:p>
      <w:pPr>
        <w:spacing w:after="0" w:line="107" w:lineRule="exact"/>
        <w:rPr>
          <w:rFonts w:ascii="Times New Roman" w:cs="Times New Roman" w:eastAsia="Times New Roman" w:hAnsi="Times New Roman"/>
          <w:sz w:val="18"/>
          <w:szCs w:val="18"/>
          <w:color w:val="auto"/>
        </w:rPr>
      </w:pPr>
    </w:p>
    <w:p>
      <w:pPr>
        <w:ind w:left="1220" w:hanging="381"/>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in professional fees due to increased legal, audit and tax compliance costs during 2024 as compared to 2023.</w:t>
      </w:r>
    </w:p>
    <w:p>
      <w:pPr>
        <w:spacing w:after="0" w:line="171"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six months ended June 30, 2024 as compared to the same period in 2023 (dollars in millions):</w:t>
      </w: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6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9"/>
                <w:szCs w:val="19"/>
                <w:b w:val="1"/>
                <w:bCs w:val="1"/>
                <w:color w:val="auto"/>
                <w:vertAlign w:val="superscript"/>
              </w:rPr>
              <w:t>(1)(2)</w:t>
            </w:r>
          </w:p>
        </w:tc>
        <w:tc>
          <w:tcPr>
            <w:tcW w:w="18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 - income</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 capital gains</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(0.2 )</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before income tax provision</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8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expenses, including income tax provision</w:t>
            </w:r>
          </w:p>
        </w:tc>
        <w:tc>
          <w:tcPr>
            <w:tcW w:w="880" w:type="dxa"/>
            <w:vAlign w:val="bottom"/>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35.7</w:t>
            </w:r>
          </w:p>
        </w:tc>
        <w:tc>
          <w:tcPr>
            <w:tcW w:w="240" w:type="dxa"/>
            <w:vAlign w:val="bottom"/>
          </w:tcPr>
          <w:p>
            <w:pPr>
              <w:spacing w:after="0"/>
              <w:rPr>
                <w:sz w:val="14"/>
                <w:szCs w:val="14"/>
                <w:color w:val="auto"/>
              </w:rPr>
            </w:pPr>
          </w:p>
        </w:tc>
        <w:tc>
          <w:tcPr>
            <w:tcW w:w="840" w:type="dxa"/>
            <w:vAlign w:val="bottom"/>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28.1</w:t>
            </w:r>
          </w:p>
        </w:tc>
        <w:tc>
          <w:tcPr>
            <w:tcW w:w="200" w:type="dxa"/>
            <w:vAlign w:val="bottom"/>
          </w:tcPr>
          <w:p>
            <w:pPr>
              <w:spacing w:after="0"/>
              <w:rPr>
                <w:sz w:val="14"/>
                <w:szCs w:val="14"/>
                <w:color w:val="auto"/>
              </w:rPr>
            </w:pPr>
          </w:p>
        </w:tc>
        <w:tc>
          <w:tcPr>
            <w:tcW w:w="40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4"/>
                <w:szCs w:val="14"/>
                <w:color w:val="auto"/>
              </w:rPr>
            </w:pPr>
          </w:p>
        </w:tc>
        <w:tc>
          <w:tcPr>
            <w:tcW w:w="1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27.1 %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200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-359410</wp:posOffset>
            </wp:positionV>
            <wp:extent cx="768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-359410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-359410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-128270</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-128270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20" w:hanging="212"/>
        <w:spacing w:after="0"/>
        <w:tabs>
          <w:tab w:leader="none" w:pos="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-215900</wp:posOffset>
            </wp:positionV>
            <wp:extent cx="378904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61" w:lineRule="exact"/>
        <w:rPr>
          <w:sz w:val="20"/>
          <w:szCs w:val="20"/>
          <w:color w:val="auto"/>
        </w:rPr>
      </w:pPr>
    </w:p>
    <w:p>
      <w:pPr>
        <w:jc w:val="both"/>
        <w:ind w:right="80" w:firstLine="47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total expenses, including income tax provision, were $35.7 million, an increase of $7.6 million or 27.1%, from the $28.1 million of total expenses for the six months ended June 30, 2023. As reflected in the table above, changes across periods were primarily attributable to the following:</w:t>
      </w:r>
    </w:p>
    <w:p>
      <w:pPr>
        <w:spacing w:after="0" w:line="122" w:lineRule="exact"/>
        <w:rPr>
          <w:sz w:val="20"/>
          <w:szCs w:val="20"/>
          <w:color w:val="auto"/>
        </w:rPr>
      </w:pPr>
    </w:p>
    <w:p>
      <w:pPr>
        <w:ind w:left="1220" w:right="80" w:hanging="381"/>
        <w:spacing w:after="0" w:line="282"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in interest and financing expenses due to an increase in the weighted average interest rate of our debt outstanding and an increase in average borrowings outstanding during 2024 as compared to 2023.</w:t>
      </w:r>
    </w:p>
    <w:p>
      <w:pPr>
        <w:spacing w:after="0" w:line="107" w:lineRule="exact"/>
        <w:rPr>
          <w:rFonts w:ascii="Times New Roman" w:cs="Times New Roman" w:eastAsia="Times New Roman" w:hAnsi="Times New Roman"/>
          <w:sz w:val="18"/>
          <w:szCs w:val="18"/>
          <w:color w:val="auto"/>
        </w:rPr>
      </w:pPr>
    </w:p>
    <w:p>
      <w:pPr>
        <w:ind w:left="1220" w:right="80" w:hanging="381"/>
        <w:spacing w:after="0" w:line="282"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net increase in base management fee, including the base management fee waiver, due to higher average total assets during 2024 as compared to 2023.</w:t>
      </w:r>
    </w:p>
    <w:p>
      <w:pPr>
        <w:spacing w:after="0" w:line="107" w:lineRule="exact"/>
        <w:rPr>
          <w:rFonts w:ascii="Times New Roman" w:cs="Times New Roman" w:eastAsia="Times New Roman" w:hAnsi="Times New Roman"/>
          <w:sz w:val="18"/>
          <w:szCs w:val="18"/>
          <w:color w:val="auto"/>
        </w:rPr>
      </w:pPr>
    </w:p>
    <w:p>
      <w:pPr>
        <w:ind w:left="1200" w:right="80" w:hanging="369"/>
        <w:spacing w:after="0" w:line="282"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net increase in the income incentive fee due to an increase in pre-incentive fee net investment income during 2024 as compared to the same period in 2023.</w:t>
      </w:r>
    </w:p>
    <w:p>
      <w:pPr>
        <w:spacing w:after="0" w:line="107" w:lineRule="exact"/>
        <w:rPr>
          <w:rFonts w:ascii="Times New Roman" w:cs="Times New Roman" w:eastAsia="Times New Roman" w:hAnsi="Times New Roman"/>
          <w:sz w:val="18"/>
          <w:szCs w:val="18"/>
          <w:color w:val="auto"/>
        </w:rPr>
      </w:pPr>
    </w:p>
    <w:p>
      <w:pPr>
        <w:ind w:left="1220" w:right="100" w:hanging="381"/>
        <w:spacing w:after="0" w:line="282"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in the accrued capital gains incentive fee due to a net $14.7 million increase in net gain on investments and realized losses on extinguishment of debt during 2024 as compared to the same period in 2023.</w:t>
      </w:r>
    </w:p>
    <w:p>
      <w:pPr>
        <w:spacing w:after="0" w:line="107" w:lineRule="exact"/>
        <w:rPr>
          <w:rFonts w:ascii="Times New Roman" w:cs="Times New Roman" w:eastAsia="Times New Roman" w:hAnsi="Times New Roman"/>
          <w:sz w:val="18"/>
          <w:szCs w:val="18"/>
          <w:color w:val="auto"/>
        </w:rPr>
      </w:pPr>
    </w:p>
    <w:p>
      <w:pPr>
        <w:ind w:left="1220" w:hanging="381"/>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professional fees due to increased legal, audit and tax compliance costs during 2024 as compared to 2023.</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73" w:lineRule="exact"/>
        <w:rPr>
          <w:sz w:val="20"/>
          <w:szCs w:val="20"/>
          <w:color w:val="auto"/>
        </w:rPr>
      </w:pPr>
    </w:p>
    <w:p>
      <w:pPr>
        <w:jc w:val="both"/>
        <w:ind w:right="80" w:firstLine="47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by $0.2 million, or 1.0%, to $17.0 million during the three months ended June 30, 2024 as compared to the same period in 2023, as a result of the $5.1 million increase in total investment income, partially offset by the $4.9 million increase in total expenses, including base management fee waiver and income tax provision.</w:t>
      </w:r>
    </w:p>
    <w:p>
      <w:pPr>
        <w:spacing w:after="0" w:line="122" w:lineRule="exact"/>
        <w:rPr>
          <w:sz w:val="20"/>
          <w:szCs w:val="20"/>
          <w:color w:val="auto"/>
        </w:rPr>
      </w:pPr>
    </w:p>
    <w:p>
      <w:pPr>
        <w:jc w:val="both"/>
        <w:ind w:right="80" w:firstLine="478"/>
        <w:spacing w:after="0" w:line="257" w:lineRule="auto"/>
        <w:rPr>
          <w:sz w:val="20"/>
          <w:szCs w:val="20"/>
          <w:color w:val="auto"/>
        </w:rPr>
      </w:pPr>
      <w:r>
        <w:rPr>
          <w:rFonts w:ascii="Times New Roman" w:cs="Times New Roman" w:eastAsia="Times New Roman" w:hAnsi="Times New Roman"/>
          <w:sz w:val="18"/>
          <w:szCs w:val="18"/>
          <w:color w:val="auto"/>
        </w:rPr>
        <w:t>Net investment income increased by $3.1 million, or 9.7%, to $34.6 million during the six months ended June 30, 2024 as compared to the same period in 2023, as a result of the $10.7 million increase in total investment income, partially offset by the $7.6 million increase in total expenses, including base management fee waiver and income tax provision.</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47" w:right="259" w:bottom="1440" w:gutter="0" w:footer="0" w:header="0"/>
        </w:sectPr>
      </w:pPr>
    </w:p>
    <w:bookmarkStart w:id="50" w:name="page51"/>
    <w:bookmarkEnd w:id="50"/>
    <w:p>
      <w:pPr>
        <w:ind w:left="380"/>
        <w:spacing w:after="0"/>
        <w:rPr>
          <w:sz w:val="20"/>
          <w:szCs w:val="20"/>
          <w:color w:val="auto"/>
        </w:rPr>
      </w:pPr>
      <w:r>
        <w:rPr>
          <w:rFonts w:ascii="Times New Roman" w:cs="Times New Roman" w:eastAsia="Times New Roman" w:hAnsi="Times New Roman"/>
          <w:sz w:val="18"/>
          <w:szCs w:val="18"/>
          <w:i w:val="1"/>
          <w:iCs w:val="1"/>
          <w:color w:val="auto"/>
        </w:rPr>
        <w:t>Net Gain (Loss) on Investments</w:t>
      </w:r>
    </w:p>
    <w:p>
      <w:pPr>
        <w:spacing w:after="0" w:line="17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the total net realized gain/(loss) on investments, before income tax (provision)/benefit, was $10.8 million and $12.5 million, respectively. Income tax (provision) benefit from realized gains on investments was $(1.6) million and $(1.5) million for the three and six months ended June 30, 2024, respectively. We realize a gain/(loss) on our equity investments primarily when we either sell our equity investment or the underlying portfolio company is sold. Significant realized gains (losses) for the three and six months ended June 30, 2024 are summarized below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Period Ended June 30, 2024</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 xml:space="preserve">Realization Event </w:t>
            </w:r>
            <w:r>
              <w:rPr>
                <w:rFonts w:ascii="Times New Roman" w:cs="Times New Roman" w:eastAsia="Times New Roman" w:hAnsi="Times New Roman"/>
                <w:sz w:val="19"/>
                <w:szCs w:val="19"/>
                <w:b w:val="1"/>
                <w:bCs w:val="1"/>
                <w:color w:val="auto"/>
                <w:vertAlign w:val="superscript"/>
              </w:rPr>
              <w:t>(1)</w:t>
            </w:r>
          </w:p>
        </w:tc>
        <w:tc>
          <w:tcPr>
            <w:tcW w:w="180" w:type="dxa"/>
            <w:vAlign w:val="bottom"/>
            <w:vMerge w:val="restart"/>
          </w:tcPr>
          <w:p>
            <w:pPr>
              <w:spacing w:after="0"/>
              <w:rPr>
                <w:sz w:val="13"/>
                <w:szCs w:val="13"/>
                <w:color w:val="auto"/>
              </w:rPr>
            </w:pPr>
          </w:p>
        </w:tc>
        <w:tc>
          <w:tcPr>
            <w:tcW w:w="104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Six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Applied Data Corporation</w:t>
            </w:r>
          </w:p>
        </w:tc>
        <w:tc>
          <w:tcPr>
            <w:tcW w:w="200" w:type="dxa"/>
            <w:vAlign w:val="bottom"/>
            <w:shd w:val="clear" w:color="auto" w:fill="CFF0FC"/>
          </w:tcPr>
          <w:p>
            <w:pPr>
              <w:spacing w:after="0"/>
              <w:rPr>
                <w:sz w:val="14"/>
                <w:szCs w:val="14"/>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Road Safety Services, Inc.</w:t>
            </w:r>
          </w:p>
        </w:tc>
        <w:tc>
          <w:tcPr>
            <w:tcW w:w="2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04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Power Grid Components, Inc.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0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Comply365, LLC</w:t>
            </w:r>
          </w:p>
        </w:tc>
        <w:tc>
          <w:tcPr>
            <w:tcW w:w="2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0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Frontline Food Services, LLC</w:t>
            </w:r>
          </w:p>
        </w:tc>
        <w:tc>
          <w:tcPr>
            <w:tcW w:w="200" w:type="dxa"/>
            <w:vAlign w:val="bottom"/>
            <w:shd w:val="clear" w:color="auto" w:fill="CFF0FC"/>
          </w:tcPr>
          <w:p>
            <w:pPr>
              <w:spacing w:after="0"/>
              <w:rPr>
                <w:sz w:val="12"/>
                <w:szCs w:val="12"/>
                <w:color w:val="auto"/>
              </w:rPr>
            </w:pPr>
          </w:p>
        </w:tc>
        <w:tc>
          <w:tcPr>
            <w:tcW w:w="30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Escrow distribution</w:t>
            </w:r>
          </w:p>
        </w:tc>
        <w:tc>
          <w:tcPr>
            <w:tcW w:w="104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200" w:type="dxa"/>
            <w:vAlign w:val="bottom"/>
            <w:shd w:val="clear" w:color="auto" w:fill="CFF0FC"/>
          </w:tcPr>
          <w:p>
            <w:pPr>
              <w:spacing w:after="0"/>
              <w:rPr>
                <w:sz w:val="16"/>
                <w:szCs w:val="16"/>
                <w:color w:val="auto"/>
              </w:rPr>
            </w:pPr>
          </w:p>
        </w:tc>
        <w:tc>
          <w:tcPr>
            <w:tcW w:w="3080" w:type="dxa"/>
            <w:vAlign w:val="bottom"/>
            <w:gridSpan w:val="2"/>
            <w:vMerge w:val="continue"/>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LifeSpan Biosciences, Inc.</w:t>
            </w:r>
          </w:p>
        </w:tc>
        <w:tc>
          <w:tcPr>
            <w:tcW w:w="2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04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(0.4 )</w:t>
            </w:r>
          </w:p>
        </w:tc>
        <w:tc>
          <w:tcPr>
            <w:tcW w:w="10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Virginia Tile Company, LLC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0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Pool &amp; Electrical Products, LLC</w:t>
            </w:r>
          </w:p>
        </w:tc>
        <w:tc>
          <w:tcPr>
            <w:tcW w:w="2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0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Rhino Assembly Company, LLC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of portfolio company</w:t>
            </w:r>
          </w:p>
        </w:tc>
        <w:tc>
          <w:tcPr>
            <w:tcW w:w="10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(0.3 )</w:t>
            </w:r>
          </w:p>
        </w:tc>
        <w:tc>
          <w:tcPr>
            <w:tcW w:w="10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20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(1.6 )</w:t>
            </w:r>
          </w:p>
        </w:tc>
        <w:tc>
          <w:tcPr>
            <w:tcW w:w="10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69"/>
        </w:trPr>
        <w:tc>
          <w:tcPr>
            <w:tcW w:w="458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200" w:type="dxa"/>
            <w:vAlign w:val="bottom"/>
            <w:tcBorders>
              <w:top w:val="single" w:sz="8" w:color="CFF0FC"/>
            </w:tcBorders>
          </w:tcPr>
          <w:p>
            <w:pPr>
              <w:spacing w:after="0"/>
              <w:rPr>
                <w:sz w:val="14"/>
                <w:szCs w:val="14"/>
                <w:color w:val="auto"/>
              </w:rPr>
            </w:pPr>
          </w:p>
        </w:tc>
        <w:tc>
          <w:tcPr>
            <w:tcW w:w="29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w:t>
            </w:r>
          </w:p>
        </w:tc>
        <w:tc>
          <w:tcPr>
            <w:tcW w:w="420" w:type="dxa"/>
            <w:vAlign w:val="bottom"/>
            <w:tcBorders>
              <w:top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-145415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60" w:right="120" w:hanging="339"/>
        <w:spacing w:after="0" w:line="232" w:lineRule="auto"/>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42"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2023, the total net realized gain/(loss) on investments, before income tax (provision)/benefit, was $(5.6) and $(5.5) million, respectively. Income tax (provision) benefit from realized gains on investments was $(1.5) million and $(1.5) million for the three and six months ended June 30, 2023, respectively. We realize a gain/(loss) on our equity investments primarily when we either sell our equity investment or the underlying portfolio company is sold. Significant realized gains (losses) for the three and six months ended June 30, 2023 are summarized below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Period Ended June 30, 2023</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Six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300" w:type="dxa"/>
            <w:vAlign w:val="bottom"/>
          </w:tcPr>
          <w:p>
            <w:pPr>
              <w:spacing w:after="0"/>
              <w:rPr>
                <w:sz w:val="16"/>
                <w:szCs w:val="16"/>
                <w:color w:val="auto"/>
              </w:rPr>
            </w:pPr>
          </w:p>
        </w:tc>
        <w:tc>
          <w:tcPr>
            <w:tcW w:w="22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Realization Event</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Tranzonic Companies</w:t>
            </w:r>
          </w:p>
        </w:tc>
        <w:tc>
          <w:tcPr>
            <w:tcW w:w="30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124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Rhino Assembly Company, LLC</w:t>
            </w:r>
          </w:p>
        </w:tc>
        <w:tc>
          <w:tcPr>
            <w:tcW w:w="30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ECM Industries, LLC</w:t>
            </w:r>
          </w:p>
        </w:tc>
        <w:tc>
          <w:tcPr>
            <w:tcW w:w="3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Frontline Food Services, LLC</w:t>
            </w:r>
          </w:p>
        </w:tc>
        <w:tc>
          <w:tcPr>
            <w:tcW w:w="300" w:type="dxa"/>
            <w:vAlign w:val="bottom"/>
          </w:tcPr>
          <w:p>
            <w:pPr>
              <w:spacing w:after="0"/>
              <w:rPr>
                <w:sz w:val="12"/>
                <w:szCs w:val="1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12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(f/k/a Accent Food Services, LLC)</w:t>
            </w:r>
          </w:p>
        </w:tc>
        <w:tc>
          <w:tcPr>
            <w:tcW w:w="30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EBL, LLC (EbLens)</w:t>
            </w:r>
          </w:p>
        </w:tc>
        <w:tc>
          <w:tcPr>
            <w:tcW w:w="3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of portfolio company</w:t>
            </w:r>
          </w:p>
        </w:tc>
        <w:tc>
          <w:tcPr>
            <w:tcW w:w="1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(11.5 )</w:t>
            </w:r>
          </w:p>
        </w:tc>
        <w:tc>
          <w:tcPr>
            <w:tcW w:w="1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7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 Research Inc.</w:t>
            </w:r>
          </w:p>
        </w:tc>
        <w:tc>
          <w:tcPr>
            <w:tcW w:w="30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distribution</w:t>
            </w: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3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(5.6 )</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76"/>
        </w:trPr>
        <w:tc>
          <w:tcPr>
            <w:tcW w:w="4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(1.5 )</w:t>
            </w:r>
          </w:p>
        </w:tc>
        <w:tc>
          <w:tcPr>
            <w:tcW w:w="112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realized gain (loss), net of income tax provision, on investments</w:t>
            </w:r>
          </w:p>
        </w:tc>
        <w:tc>
          <w:tcPr>
            <w:tcW w:w="3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(7.1 )</w:t>
            </w:r>
          </w:p>
        </w:tc>
        <w:tc>
          <w:tcPr>
            <w:tcW w:w="1120" w:type="dxa"/>
            <w:vAlign w:val="bottom"/>
            <w:shd w:val="clear" w:color="auto" w:fill="CCEEFF"/>
          </w:tcPr>
          <w:p>
            <w:pPr>
              <w:jc w:val="right"/>
              <w:ind w:right="9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60" w:right="120" w:hanging="339"/>
        <w:spacing w:after="0" w:line="232" w:lineRule="auto"/>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4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we recorded a net change in unrealized appreciation (depreciation) on investments attributable to the following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Appreciation (Depreciation)</w:t>
            </w:r>
          </w:p>
        </w:tc>
        <w:tc>
          <w:tcPr>
            <w:tcW w:w="120" w:type="dxa"/>
            <w:vAlign w:val="bottom"/>
            <w:vMerge w:val="restart"/>
          </w:tcPr>
          <w:p>
            <w:pPr>
              <w:spacing w:after="0"/>
              <w:rPr>
                <w:sz w:val="16"/>
                <w:szCs w:val="16"/>
                <w:color w:val="auto"/>
              </w:rPr>
            </w:pPr>
          </w:p>
        </w:tc>
        <w:tc>
          <w:tcPr>
            <w:tcW w:w="29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2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Exit, sale or restructuring of investments</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(5.7 )</w:t>
            </w: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(7.3 )</w:t>
            </w:r>
          </w:p>
        </w:tc>
        <w:tc>
          <w:tcPr>
            <w:tcW w:w="360" w:type="dxa"/>
            <w:vAlign w:val="bottom"/>
            <w:shd w:val="clear" w:color="auto" w:fill="CFF0FC"/>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adjustments to debt investments</w:t>
            </w:r>
          </w:p>
        </w:tc>
        <w:tc>
          <w:tcPr>
            <w:tcW w:w="10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(0.6 )</w:t>
            </w:r>
          </w:p>
        </w:tc>
        <w:tc>
          <w:tcPr>
            <w:tcW w:w="10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adjustments to equity investments</w:t>
            </w:r>
          </w:p>
        </w:tc>
        <w:tc>
          <w:tcPr>
            <w:tcW w:w="10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(1.1 )</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(2.1 )</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(0.8 )</w:t>
            </w:r>
          </w:p>
        </w:tc>
        <w:tc>
          <w:tcPr>
            <w:tcW w:w="36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-144780</wp:posOffset>
            </wp:positionV>
            <wp:extent cx="774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-144780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Increase in Net Assets Resulting From Operations</w:t>
      </w:r>
    </w:p>
    <w:p>
      <w:pPr>
        <w:spacing w:after="0" w:line="17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during the three months ended June 30, 2024 and 2023 was $24.1 million and $10.9 million, respectively, as a result of the events described above.</w:t>
      </w: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1" w:name="page52"/>
    <w:bookmarkEnd w:id="51"/>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during the six months ended June 30, 2024 and 2023 was $44.2 million and $26.4 million, respectively, as a result of the events described above.</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As of June 30, 2024, we had $48.3 million in cash and cash equivalents and our net assets totaled $646.8 million. We believe that our current cash and cash equivalents on hand, our Credit Facility, our anticipated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six months ended June 30, 2024, we repaid $35.0 million of SBA debentures relating to Fund II that would have matured during the period March 1, 2026 through September 1, 2027. Our remaining outstanding SBA debentures begin to mature in 2029 and subsequent years through 2034,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we experienced a net decrease in cash and cash equivalents in the amount of $70.8 million. During that period, we made payments of $80.5 million of cash for operating activities, which included the funding of $208.3 million of investments that was partially offset by proceeds received from sales and repayments of investments of $103.3 million. During the same period, we repaid SBA debentures of $35.0 million relating to Fund II, borrowed $32.5 million under our Credit Facility, received net proceeds from the ATM Program of approximately $52.2 million, received repayments of $0.6 million on our secured borrowings, paid cash dividends to stockholders of $39.1 million, and made payment of deferred financing costs related to our debt financings of $0.3 million.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73"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fund our investment activities on a long-term basis through a combination of additional debt and equity capital.</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SBA Debentures</w:t>
      </w:r>
    </w:p>
    <w:p>
      <w:pPr>
        <w:spacing w:after="0" w:line="173" w:lineRule="exact"/>
        <w:rPr>
          <w:sz w:val="20"/>
          <w:szCs w:val="20"/>
          <w:color w:val="auto"/>
        </w:rPr>
      </w:pPr>
    </w:p>
    <w:p>
      <w:pPr>
        <w:jc w:val="both"/>
        <w:ind w:firstLine="469"/>
        <w:spacing w:after="0" w:line="252" w:lineRule="auto"/>
        <w:rPr>
          <w:sz w:val="20"/>
          <w:szCs w:val="20"/>
          <w:color w:val="auto"/>
        </w:rPr>
      </w:pPr>
      <w:r>
        <w:rPr>
          <w:rFonts w:ascii="Times New Roman" w:cs="Times New Roman" w:eastAsia="Times New Roman" w:hAnsi="Times New Roman"/>
          <w:sz w:val="18"/>
          <w:szCs w:val="18"/>
          <w:color w:val="auto"/>
        </w:rPr>
        <w:t>Fund III is licensed to operate as a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SBIC's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2024, Fund III had $175.0 million of outstanding SBA debentures. Fund II has completed a wind-down plan, relinquished its SBIC license and can no longer issue additional SBA debentures, effective as of March 7, 2024. Subject to SBA regulatory requirements and approval of an additional SBIC licensed fund and SBA debenture commitments, we may access up to $175.0 million of additional SBA debentures under the SBIC debenture program. For more information on the SBA debentures, please refer to Note 6 to our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Fund II and Fund III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133"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26"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us, excluding investments held by Fund II and Fund III.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6"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2024, we were in compliance in all material respects with the terms of the Credit Agreement and we had $32.5 million in borrowings outstanding under the Credit Facility.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June 30, 2024, the outstanding principal balance of the January 2026 Notes was $125.0 million.</w:t>
      </w:r>
    </w:p>
    <w:p>
      <w:pPr>
        <w:spacing w:after="0" w:line="13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On October 8, 2021, we closed the offering of $125.0 million in aggregate principal amount of our 3.50% notes due 2026, or the “November 2026 Notes” (collectively with the January 2026 Notes, the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June 30, 2024, the outstanding principal balance of the November 2026 Notes was $125.0 million.</w:t>
      </w:r>
    </w:p>
    <w:p>
      <w:pPr>
        <w:spacing w:after="0" w:line="138"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73" w:lineRule="exact"/>
        <w:rPr>
          <w:sz w:val="20"/>
          <w:szCs w:val="20"/>
          <w:color w:val="auto"/>
        </w:rPr>
      </w:pPr>
    </w:p>
    <w:p>
      <w:pPr>
        <w:jc w:val="both"/>
        <w:ind w:left="20" w:firstLine="461"/>
        <w:spacing w:after="0" w:line="274" w:lineRule="auto"/>
        <w:rPr>
          <w:sz w:val="20"/>
          <w:szCs w:val="20"/>
          <w:color w:val="auto"/>
        </w:rPr>
      </w:pPr>
      <w:r>
        <w:rPr>
          <w:rFonts w:ascii="Times New Roman" w:cs="Times New Roman" w:eastAsia="Times New Roman" w:hAnsi="Times New Roman"/>
          <w:sz w:val="17"/>
          <w:szCs w:val="17"/>
          <w:color w:val="auto"/>
        </w:rPr>
        <w:t>As of June 30, 2024, the carrying value of secured borrowings totaled $15.3 million and the fair value of the associated loans included in investments was $15.3 million. As of December 31, 2023, carrying value of secured borrowings totaled $15.9 million and the fair value of the associated loans included in investments was $15.8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9.375% and 9.407% as of June 30, 2024 and December 31, 2023, respectively.</w:t>
      </w:r>
    </w:p>
    <w:p>
      <w:pPr>
        <w:spacing w:after="0" w:line="119"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As of June 30, 2024, the weighted average stated interest rates for our SBA debentures and the Notes were 4.316% and 4.125%, respectively. As of June 30, 2024, we had $67.5 million of unutilized commitment under our Credit Facility, and we were subject to a 0.581% fee on such amount. As of June 30, 2024, the weighted average stated interest rate on total debt outstanding was 4.641%.</w:t>
      </w:r>
    </w:p>
    <w:p>
      <w:pPr>
        <w:spacing w:after="0" w:line="12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Fund III and any future SBIC subsidiary from the definition of senior securities in the 150% asset coverage requirement applicable to the Company under the 1940 Act, which, in turn, will enable us to fund more investments with debt capital.</w:t>
      </w:r>
    </w:p>
    <w:p>
      <w:pPr>
        <w:spacing w:after="0" w:line="13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12, 2024, our stockholders approved a proposal to authorize us to sell or otherwise issue common stock at a price below net asset value per share for a period of one year ending on the earlier of June 12, 2025 or the date of our 2025 Annual Meeting of Stockholders. Our stockholders specified that the cumulative number of shares sold pursuant to such authority during such period may not exceed 25.0% of our then outstanding common stock immediately prior to each such sale.</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Equity ATM Program</w:t>
      </w:r>
    </w:p>
    <w:p>
      <w:pPr>
        <w:spacing w:after="0" w:line="17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8,649,249 shares of common stock under the ATM Program at a weighted-average price of $19.73, raising $170.7 million of gross proceeds. Net proceeds were $168.4 million after commissions to the sales agents on sales sold. As of June 30, 2024, the Company has $129.3 million available under the ATM Program.</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2024 and 2023. Refer to Note 8 to our consolidated financial statements for additional information concerning stock repurchases.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175"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08" w:lineRule="exact"/>
        <w:rPr>
          <w:sz w:val="20"/>
          <w:szCs w:val="20"/>
          <w:color w:val="auto"/>
        </w:rPr>
      </w:pPr>
    </w:p>
    <w:p>
      <w:pPr>
        <w:ind w:left="1020" w:right="50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2"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the Investment Advisor and of the independent valuation firm(s) and responds and supplements the valuation recommendations to reflect any comments; and</w:t>
      </w:r>
    </w:p>
    <w:p>
      <w:pPr>
        <w:ind w:left="1020" w:right="260" w:hanging="503"/>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27"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Our Board consulted with the independent third-party valuation firm(s) in arriving at our determination of fair value for 16 and 18 of our portfolio company investments representing 22.8% and 29.9% of the total portfolio investments at fair value (exclusive of new portfolio company investments made during the three months ended June 30, 2024 and December 31, 2023, respectively) as of June 30, 2024 and December 31, 2023, respectively.</w:t>
      </w:r>
    </w:p>
    <w:p>
      <w:pPr>
        <w:spacing w:after="0" w:line="122"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5" w:name="page56"/>
    <w:bookmarkEnd w:id="55"/>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22"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4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3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73"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We follow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w:t>
      </w:r>
    </w:p>
    <w:p>
      <w:pPr>
        <w:spacing w:after="0" w:line="17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ind w:left="1020" w:hanging="503"/>
        <w:spacing w:after="0" w:line="253"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$0.1 million and $0.1 million of the base management fees on any assets accounted for as secured borrowings as defined under GAAP for the three and six months ended June 30, 2024, respectively, and $0.1 million and $0.1 million for the three and six months ended June 30, 2023, respectively.</w:t>
      </w:r>
    </w:p>
    <w:p>
      <w:pPr>
        <w:spacing w:after="0" w:line="2"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1"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Administration Agreement with Fidus Investment Advisors to provide us with the office facilities and administrative services necessary to conduct day-to-day operations. See Note 5 to our consolidated financial statements.</w:t>
      </w:r>
    </w:p>
    <w:p>
      <w:pPr>
        <w:ind w:left="1020" w:right="56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license agreement with Fidus Partners, LLC, pursuant to which Fidus Partners, LLC has granted us a non-exclusive, royalty-free license to use the name “Fidus.”</w:t>
      </w:r>
    </w:p>
    <w:p>
      <w:pPr>
        <w:spacing w:after="0" w:line="12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III and any future SBIC subsidiary from the definition of senior securities in the asset coverage requirement applicable to the Company under the 1940 Act.</w:t>
      </w:r>
    </w:p>
    <w:p>
      <w:pPr>
        <w:spacing w:after="0" w:line="12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40"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On July 2, 2024, we exited our debt investment in Aldinger Company. We received payment in full of $23.1 million on our first lien debt, which included a prepayment fee.</w:t>
      </w:r>
    </w:p>
    <w:p>
      <w:pPr>
        <w:spacing w:after="0" w:line="108"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On July 25, 2024, we entered into an incremental commitment agreement relating to the Credit Facility that increased the total commitments available under the Credit Facility from $100.0 million to $140.0 million, subject to the borrowing base requirement. The $40.0 million increase was provided by three existing lenders.</w:t>
      </w:r>
    </w:p>
    <w:p>
      <w:pPr>
        <w:spacing w:after="0" w:line="122"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On July 29, 2024, our Board declared a regular quarterly dividend of $0.43 per share and a supplemental dividend of $0.14 per share payable on September 26, 2024, to stockholders of record as of September 19,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affect both our cost of funding and the valuation of our investment portfolio. Uncertainty with respect to elevated interest rates, inflationary pressures, the Russia-Ukraine war and the conflict in the Middle East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w:t>
      </w:r>
    </w:p>
    <w:p>
      <w:pPr>
        <w:spacing w:after="0" w:line="138"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the future, our investment income may also be affected by changes in various interest rates, including SOFR and prime rates, to the extent of any debt investments that include floating interest rates. Since March 2022, the Federal Reserve has been rapidly raising interest rates bringing it up to 5.25% to 5.50% range. The Federal Reserve left its benchmark rates steady in the first and second quarters of 2024, and it has indicated that any cuts to benchmark rates in the future will depend on better inflation reports. In a high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2023,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spacing w:after="0" w:line="13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June 30, 2024 and December 31, 2023, the debt investments in 48 and 46 portfolio companies, respectively, bore interest at a variable rate, which represented $688.4 million, or 72.8%, and $629.3 million, or 75.6%,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As of June 30, 2024, the Credit Facility is secured by a first priority security interest in all of our assets, excluding the assets of Fund II and Fund III.</w:t>
      </w:r>
    </w:p>
    <w:p>
      <w:pPr>
        <w:spacing w:after="0" w:line="19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w:t>
      </w:r>
    </w:p>
    <w:p>
      <w:pPr>
        <w:spacing w:after="0" w:line="176"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approximate annualized increase or decrease in the components of net investment income due to hypothetical base rate changes in interest rates, assuming no changes in our investments and borrowings as of June 30, 2024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8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3"/>
                <w:szCs w:val="13"/>
                <w:color w:val="auto"/>
              </w:rPr>
            </w:pPr>
          </w:p>
        </w:tc>
        <w:tc>
          <w:tcPr>
            <w:tcW w:w="1660" w:type="dxa"/>
            <w:vAlign w:val="bottom"/>
            <w:gridSpan w:val="2"/>
          </w:tcPr>
          <w:p>
            <w:pPr>
              <w:jc w:val="center"/>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40" w:type="dxa"/>
            <w:vAlign w:val="bottom"/>
          </w:tcPr>
          <w:p>
            <w:pPr>
              <w:spacing w:after="0"/>
              <w:rPr>
                <w:sz w:val="13"/>
                <w:szCs w:val="13"/>
                <w:color w:val="auto"/>
              </w:rPr>
            </w:pPr>
          </w:p>
        </w:tc>
        <w:tc>
          <w:tcPr>
            <w:tcW w:w="1600" w:type="dxa"/>
            <w:vAlign w:val="bottom"/>
            <w:gridSpan w:val="2"/>
          </w:tcPr>
          <w:p>
            <w:pPr>
              <w:jc w:val="right"/>
              <w:ind w:right="680"/>
              <w:spacing w:after="0" w:line="157" w:lineRule="exact"/>
              <w:rPr>
                <w:sz w:val="20"/>
                <w:szCs w:val="20"/>
                <w:color w:val="auto"/>
              </w:rPr>
            </w:pPr>
            <w:r>
              <w:rPr>
                <w:rFonts w:ascii="Times New Roman" w:cs="Times New Roman" w:eastAsia="Times New Roman" w:hAnsi="Times New Roman"/>
                <w:sz w:val="14"/>
                <w:szCs w:val="14"/>
                <w:b w:val="1"/>
                <w:bCs w:val="1"/>
                <w:color w:val="auto"/>
              </w:rPr>
              <w:t>Net Increase</w:t>
            </w:r>
          </w:p>
        </w:tc>
        <w:tc>
          <w:tcPr>
            <w:tcW w:w="200" w:type="dxa"/>
            <w:vAlign w:val="bottom"/>
          </w:tcPr>
          <w:p>
            <w:pPr>
              <w:spacing w:after="0"/>
              <w:rPr>
                <w:sz w:val="13"/>
                <w:szCs w:val="13"/>
                <w:color w:val="auto"/>
              </w:rPr>
            </w:pPr>
          </w:p>
        </w:tc>
        <w:tc>
          <w:tcPr>
            <w:tcW w:w="14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r>
      <w:tr>
        <w:trPr>
          <w:trHeight w:val="206"/>
        </w:trPr>
        <w:tc>
          <w:tcPr>
            <w:tcW w:w="3740" w:type="dxa"/>
            <w:vAlign w:val="bottom"/>
            <w:tcBorders>
              <w:bottom w:val="single" w:sz="8" w:color="auto"/>
            </w:tcBorders>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Basis Point Increase (Decrease)</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8"/>
              <w:spacing w:after="0" w:line="206" w:lineRule="exact"/>
              <w:rPr>
                <w:sz w:val="20"/>
                <w:szCs w:val="20"/>
                <w:color w:val="auto"/>
              </w:rPr>
            </w:pPr>
            <w:r>
              <w:rPr>
                <w:rFonts w:ascii="Times New Roman" w:cs="Times New Roman" w:eastAsia="Times New Roman" w:hAnsi="Times New Roman"/>
                <w:sz w:val="14"/>
                <w:szCs w:val="14"/>
                <w:b w:val="1"/>
                <w:bCs w:val="1"/>
                <w:color w:val="auto"/>
                <w:w w:val="92"/>
              </w:rPr>
              <w:t xml:space="preserve">(Decrease) </w:t>
            </w:r>
            <w:r>
              <w:rPr>
                <w:rFonts w:ascii="Times New Roman" w:cs="Times New Roman" w:eastAsia="Times New Roman" w:hAnsi="Times New Roman"/>
                <w:sz w:val="19"/>
                <w:szCs w:val="19"/>
                <w:b w:val="1"/>
                <w:bCs w:val="1"/>
                <w:color w:val="auto"/>
                <w:w w:val="92"/>
                <w:vertAlign w:val="superscript"/>
              </w:rPr>
              <w:t>(1) (2)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8"/>
              <w:spacing w:after="0" w:line="206" w:lineRule="exact"/>
              <w:rPr>
                <w:sz w:val="20"/>
                <w:szCs w:val="20"/>
                <w:color w:val="auto"/>
              </w:rPr>
            </w:pPr>
            <w:r>
              <w:rPr>
                <w:rFonts w:ascii="Times New Roman" w:cs="Times New Roman" w:eastAsia="Times New Roman" w:hAnsi="Times New Roman"/>
                <w:sz w:val="14"/>
                <w:szCs w:val="14"/>
                <w:b w:val="1"/>
                <w:bCs w:val="1"/>
                <w:color w:val="auto"/>
                <w:w w:val="98"/>
              </w:rPr>
              <w:t xml:space="preserve">(Decrease) </w:t>
            </w:r>
            <w:r>
              <w:rPr>
                <w:rFonts w:ascii="Times New Roman" w:cs="Times New Roman" w:eastAsia="Times New Roman" w:hAnsi="Times New Roman"/>
                <w:sz w:val="19"/>
                <w:szCs w:val="19"/>
                <w:b w:val="1"/>
                <w:bCs w:val="1"/>
                <w:color w:val="auto"/>
                <w:w w:val="98"/>
                <w:vertAlign w:val="superscript"/>
              </w:rPr>
              <w:t>(4)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08"/>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19"/>
                <w:szCs w:val="19"/>
                <w:b w:val="1"/>
                <w:bCs w:val="1"/>
                <w:color w:val="auto"/>
                <w:vertAlign w:val="superscript"/>
              </w:rPr>
              <w:t>(3)</w:t>
            </w:r>
          </w:p>
        </w:tc>
        <w:tc>
          <w:tcPr>
            <w:tcW w:w="100" w:type="dxa"/>
            <w:vAlign w:val="bottom"/>
          </w:tcPr>
          <w:p>
            <w:pPr>
              <w:spacing w:after="0"/>
              <w:rPr>
                <w:sz w:val="17"/>
                <w:szCs w:val="17"/>
                <w:color w:val="auto"/>
              </w:rPr>
            </w:pPr>
          </w:p>
        </w:tc>
      </w:tr>
      <w:tr>
        <w:trPr>
          <w:trHeight w:val="169"/>
        </w:trPr>
        <w:tc>
          <w:tcPr>
            <w:tcW w:w="4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(200 )</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(14.0 )</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(0.9 )</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(13.1 )</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(10.5 )</w:t>
            </w:r>
          </w:p>
        </w:tc>
      </w:tr>
      <w:tr>
        <w:trPr>
          <w:trHeight w:val="176"/>
        </w:trPr>
        <w:tc>
          <w:tcPr>
            <w:tcW w:w="4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(150 )</w:t>
            </w:r>
          </w:p>
        </w:tc>
        <w:tc>
          <w:tcPr>
            <w:tcW w:w="20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(10.5 )</w:t>
            </w:r>
          </w:p>
        </w:tc>
        <w:tc>
          <w:tcPr>
            <w:tcW w:w="18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(0.7 )</w:t>
            </w:r>
          </w:p>
        </w:tc>
        <w:tc>
          <w:tcPr>
            <w:tcW w:w="2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(9.8 )</w:t>
            </w:r>
          </w:p>
        </w:tc>
        <w:tc>
          <w:tcPr>
            <w:tcW w:w="20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(7.8 )</w:t>
            </w:r>
          </w:p>
        </w:tc>
      </w:tr>
      <w:tr>
        <w:trPr>
          <w:trHeight w:val="175"/>
        </w:trPr>
        <w:tc>
          <w:tcPr>
            <w:tcW w:w="4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(100 )</w:t>
            </w: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(7.0 )</w:t>
            </w:r>
          </w:p>
        </w:tc>
        <w:tc>
          <w:tcPr>
            <w:tcW w:w="1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(0.4 )</w:t>
            </w:r>
          </w:p>
        </w:tc>
        <w:tc>
          <w:tcPr>
            <w:tcW w:w="2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(6.6 )</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(5.3 )</w:t>
            </w:r>
          </w:p>
        </w:tc>
      </w:tr>
      <w:tr>
        <w:trPr>
          <w:trHeight w:val="175"/>
        </w:trPr>
        <w:tc>
          <w:tcPr>
            <w:tcW w:w="4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(50 )</w:t>
            </w:r>
          </w:p>
        </w:tc>
        <w:tc>
          <w:tcPr>
            <w:tcW w:w="20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(3.5 )</w:t>
            </w:r>
          </w:p>
        </w:tc>
        <w:tc>
          <w:tcPr>
            <w:tcW w:w="18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(0.2 )</w:t>
            </w:r>
          </w:p>
        </w:tc>
        <w:tc>
          <w:tcPr>
            <w:tcW w:w="2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(3.3 )</w:t>
            </w:r>
          </w:p>
        </w:tc>
        <w:tc>
          <w:tcPr>
            <w:tcW w:w="20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(2.6 )</w:t>
            </w:r>
          </w:p>
        </w:tc>
      </w:tr>
      <w:tr>
        <w:trPr>
          <w:trHeight w:val="175"/>
        </w:trPr>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r>
      <w:tr>
        <w:trPr>
          <w:trHeight w:val="175"/>
        </w:trPr>
        <w:tc>
          <w:tcPr>
            <w:tcW w:w="3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r>
      <w:tr>
        <w:trPr>
          <w:trHeight w:val="175"/>
        </w:trPr>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r>
      <w:tr>
        <w:trPr>
          <w:trHeight w:val="176"/>
        </w:trPr>
        <w:tc>
          <w:tcPr>
            <w:tcW w:w="3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r>
      <w:tr>
        <w:trPr>
          <w:trHeight w:val="175"/>
        </w:trPr>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r>
      <w:tr>
        <w:trPr>
          <w:trHeight w:val="188"/>
        </w:trPr>
        <w:tc>
          <w:tcPr>
            <w:tcW w:w="3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variable rate debt investments have a PRIME or SOFR interest rate floor, which lessens the impact of decreases in interest rates.</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calculated assuming three-month PRIME, and SOFR rate as of June 30, 2024.</w:t>
      </w:r>
    </w:p>
    <w:p>
      <w:pPr>
        <w:ind w:left="220" w:hanging="212"/>
        <w:spacing w:after="0" w:line="221"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income incentive fee at 20.0% on net increase (decrease) in net interest.</w:t>
      </w: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we had $32.5 million of borrowings outstanding under our Credit Facility.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not, and the Investment Advisor is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Risk Factors” previously disclosed in our Annual Report on Form 10-K for the year ended December 31, 2023 filed with the SEC on February 29, 2024,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30, 2023, the Board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80" w:hanging="459"/>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480" w:hanging="459"/>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 w:lineRule="exact"/>
        <w:rPr>
          <w:rFonts w:ascii="Times New Roman" w:cs="Times New Roman" w:eastAsia="Times New Roman" w:hAnsi="Times New Roman"/>
          <w:sz w:val="18"/>
          <w:szCs w:val="18"/>
          <w:color w:val="auto"/>
        </w:rPr>
      </w:pPr>
    </w:p>
    <w:p>
      <w:pPr>
        <w:jc w:val="both"/>
        <w:ind w:left="480" w:right="20" w:hanging="459"/>
        <w:spacing w:after="0" w:line="263"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89"/>
        </w:trPr>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60" w:type="dxa"/>
            <w:vAlign w:val="bottom"/>
            <w:gridSpan w:val="22"/>
          </w:tcPr>
          <w:p>
            <w:pPr>
              <w:spacing w:after="0" w:line="189"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Articles of Amendment and Restatement of the Registrant (Filed as Exhibit (a)(1) to Pre-Effective Amendment No. 2 to the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Registrant’s Registration Statement on Form N-2 (File No. 333-172550) filed with the U.S. Securities and Exchange Commission</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on April 29, 2011 and 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Bylaws of the Registrant (Filed as Exhibit (b)(1) to Pre-Effective Amendment No. 2 to the Registrant’s Registration Statement on</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Form N-2 (File No. 333-172550) filed with the U.S. Securities and Exchange Commission on April 29, 2011 and incorporated</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w w:val="99"/>
              </w:rPr>
            </w:pPr>
            <w:hyperlink r:id="rId643">
              <w:r>
                <w:rPr>
                  <w:rFonts w:ascii="Times New Roman" w:cs="Times New Roman" w:eastAsia="Times New Roman" w:hAnsi="Times New Roman"/>
                  <w:sz w:val="18"/>
                  <w:szCs w:val="18"/>
                  <w:color w:val="0000FF"/>
                  <w:w w:val="99"/>
                </w:rPr>
                <w:t>Form of Stock Certificate of the Registrant (Filed as Exhibit (d) to Pre-Effective Amendment No. 2 to the Registrant’s Registration</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Statement on Form N-2 (File No. 333-172550) filed with the U.S. Securities and Exchange Commission on April 29, 2011 and</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Agreement to Furnish Certain Instruments (Filed as Exhibit (f)(2) to Pre-Effective Amendment No. 3 to the Registrant’s</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Registration Statement on Form N-2 (File No. 333-172550) filed with the U.S. Securities and Exchange Commission on May 26,</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2011 and incorporated herein by reference)</w:t>
              </w:r>
              <w:r>
                <w:rPr>
                  <w:rFonts w:ascii="Times New Roman" w:cs="Times New Roman" w:eastAsia="Times New Roman" w:hAnsi="Times New Roman"/>
                  <w:sz w:val="18"/>
                  <w:szCs w:val="18"/>
                  <w:color w:val="000000"/>
                </w:rPr>
                <w:t>.</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Form of Indenture (Filed as Exhibit (d)(5) to Post-Effective Amendment No. 2 to the Registrant’s Registration Statement on Form</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N-2 (File No. 333-202531) filed with the U.S. Securities and Exchange Commission on April 29, 2016 and incorporated herein by</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Fourth Supplemental Indenture dated as of December 23, 2020 between Fidus Investment Corporation and U.S. Bank National</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Exchange Commission on December 23, 2020 and 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Form of Global Note with respect to the 4.75% Notes due 2026 (Filed as Exhibit 4.1 to the Registrant’s Current Report on Form 8-</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K filed with the U.S. Securities and Exchange Commission on December 23, 2020 and 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Fifth Supplemental Indenture dated as of October 8, 2021 between Fidus Investment Corporation and U.S. Bank National</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Association, as trustee (Filed as Exhibit 4.1 to the Registrant’s Current Report on Form 8-K filed with the U.S. Securities and</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Exchange Commission on October 8, 2021 and 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Form of Global Note with respect to the 3.50% Notes due 2026 (Filed as Exhibit 4.1 to the Registrant’s Current Report on Form 8-</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9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K filed with the U.S. Securities and Exchange Commission on October 8, 2021 and incorporated herein by reference).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9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Incremental Commitment Agreement, dated as of July 25, 2024, by and among Fidus Investment Corporation, as borrower, the</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504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subsidiary guarantors party thereto, the increasing lenders party thereto, and ING Capital LLC, as administrative agent.</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5040" w:type="dxa"/>
            <w:vAlign w:val="bottom"/>
            <w:tcBorders>
              <w:right w:val="single" w:sz="8" w:color="0000EE"/>
            </w:tcBorders>
            <w:gridSpan w:val="5"/>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 13a-14 of the Securities Exchange Act of 1934, as adopted pursuant to</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544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 of the Securities Exchange Act of 1934, as adopted pursuant to</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6800" w:type="dxa"/>
            <w:vAlign w:val="bottom"/>
            <w:gridSpan w:val="13"/>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46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pursuant to Section 1350, Chapter 63 of Title 18, United States Code, as adopted pursuant to Section 906 of the</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6800" w:type="dxa"/>
            <w:vAlign w:val="bottom"/>
            <w:gridSpan w:val="13"/>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7280" w:type="dxa"/>
            <w:vAlign w:val="bottom"/>
            <w:gridSpan w:val="19"/>
          </w:tcPr>
          <w:p>
            <w:pPr>
              <w:spacing w:after="0" w:line="20" w:lineRule="exact"/>
              <w:rPr>
                <w:sz w:val="1"/>
                <w:szCs w:val="1"/>
                <w:color w:val="auto"/>
              </w:rPr>
            </w:pPr>
          </w:p>
        </w:tc>
      </w:tr>
      <w:tr>
        <w:trPr>
          <w:trHeight w:val="488"/>
        </w:trPr>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86"/>
        </w:trPr>
        <w:tc>
          <w:tcPr>
            <w:tcW w:w="1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1"/>
        </w:trPr>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580" w:type="dxa"/>
            <w:vAlign w:val="bottom"/>
          </w:tcPr>
          <w:p>
            <w:pPr>
              <w:spacing w:after="0"/>
              <w:rPr>
                <w:sz w:val="20"/>
                <w:szCs w:val="20"/>
                <w:color w:val="auto"/>
              </w:rPr>
            </w:pPr>
          </w:p>
        </w:tc>
        <w:tc>
          <w:tcPr>
            <w:tcW w:w="4260" w:type="dxa"/>
            <w:vAlign w:val="bottom"/>
            <w:gridSpan w:val="9"/>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027" w:gutter="0" w:footer="0" w:header="0"/>
        </w:sectPr>
      </w:pPr>
    </w:p>
    <w:bookmarkStart w:id="61" w:name="page62"/>
    <w:bookmarkEnd w:id="61"/>
    <w:tbl>
      <w:tblPr>
        <w:tblLayout w:type="fixed"/>
        <w:tblInd w:w="4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bl>
    <w:p>
      <w:pPr>
        <w:spacing w:after="0" w:line="252" w:lineRule="exact"/>
        <w:rPr>
          <w:sz w:val="20"/>
          <w:szCs w:val="20"/>
          <w:color w:val="auto"/>
        </w:rPr>
      </w:pPr>
    </w:p>
    <w:p>
      <w:pPr>
        <w:ind w:left="1760" w:hanging="1097"/>
        <w:spacing w:after="0"/>
        <w:tabs>
          <w:tab w:leader="none" w:pos="1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5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42"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tc>
      </w:tr>
      <w:tr>
        <w:trPr>
          <w:trHeight w:val="445"/>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August 1, 2024</w:t>
            </w:r>
          </w:p>
        </w:tc>
        <w:tc>
          <w:tcPr>
            <w:tcW w:w="20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EDWARD H. ROSS</w:t>
            </w:r>
          </w:p>
        </w:tc>
      </w:tr>
      <w:tr>
        <w:trPr>
          <w:trHeight w:val="264"/>
        </w:trPr>
        <w:tc>
          <w:tcPr>
            <w:tcW w:w="3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3920" w:type="dxa"/>
            <w:vAlign w:val="bottom"/>
            <w:gridSpan w:val="2"/>
          </w:tcPr>
          <w:p>
            <w:pPr>
              <w:spacing w:after="0"/>
              <w:rPr>
                <w:sz w:val="22"/>
                <w:szCs w:val="22"/>
                <w:color w:val="auto"/>
              </w:rPr>
            </w:pPr>
          </w:p>
        </w:tc>
      </w:tr>
      <w:tr>
        <w:trPr>
          <w:trHeight w:val="243"/>
        </w:trPr>
        <w:tc>
          <w:tcPr>
            <w:tcW w:w="35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35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August 1, 2024</w:t>
            </w:r>
          </w:p>
        </w:tc>
        <w:tc>
          <w:tcPr>
            <w:tcW w:w="20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SHELBY E. SHERARD</w:t>
            </w:r>
          </w:p>
        </w:tc>
      </w:tr>
      <w:tr>
        <w:trPr>
          <w:trHeight w:val="264"/>
        </w:trPr>
        <w:tc>
          <w:tcPr>
            <w:tcW w:w="3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Shelby E. Sherard</w:t>
            </w:r>
          </w:p>
        </w:tc>
        <w:tc>
          <w:tcPr>
            <w:tcW w:w="3620" w:type="dxa"/>
            <w:vAlign w:val="bottom"/>
          </w:tcPr>
          <w:p>
            <w:pPr>
              <w:spacing w:after="0"/>
              <w:rPr>
                <w:sz w:val="22"/>
                <w:szCs w:val="22"/>
                <w:color w:val="auto"/>
              </w:rPr>
            </w:pPr>
          </w:p>
        </w:tc>
      </w:tr>
      <w:tr>
        <w:trPr>
          <w:trHeight w:val="225"/>
        </w:trPr>
        <w:tc>
          <w:tcPr>
            <w:tcW w:w="35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46"/>
        </w:trPr>
        <w:tc>
          <w:tcPr>
            <w:tcW w:w="3560" w:type="dxa"/>
            <w:vAlign w:val="bottom"/>
          </w:tcPr>
          <w:p>
            <w:pPr>
              <w:spacing w:after="0"/>
              <w:rPr>
                <w:sz w:val="24"/>
                <w:szCs w:val="24"/>
                <w:color w:val="auto"/>
              </w:rPr>
            </w:pPr>
          </w:p>
        </w:tc>
        <w:tc>
          <w:tcPr>
            <w:tcW w:w="37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H. Ross, as Chief Executive Officer of Fidus Investment Corporation, certify that:</w:t>
      </w:r>
    </w:p>
    <w:p>
      <w:pPr>
        <w:spacing w:after="0" w:line="225"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225" w:lineRule="exact"/>
        <w:rPr>
          <w:rFonts w:ascii="Times New Roman" w:cs="Times New Roman" w:eastAsia="Times New Roman" w:hAnsi="Times New Roman"/>
          <w:sz w:val="18"/>
          <w:szCs w:val="18"/>
          <w:color w:val="auto"/>
        </w:rPr>
      </w:pPr>
    </w:p>
    <w:p>
      <w:pPr>
        <w:ind w:left="300" w:right="400" w:hanging="292"/>
        <w:spacing w:after="0" w:line="266" w:lineRule="auto"/>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00" w:right="360" w:hanging="292"/>
        <w:spacing w:after="0" w:line="282" w:lineRule="auto"/>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00" w:right="40" w:hanging="292"/>
        <w:spacing w:after="0" w:line="266" w:lineRule="auto"/>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0" w:right="360" w:hanging="284"/>
        <w:spacing w:after="0" w:line="266"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00" w:right="120" w:hanging="284"/>
        <w:spacing w:after="0" w:line="266"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00" w:right="140" w:hanging="284"/>
        <w:spacing w:after="0" w:line="266"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right="260" w:hanging="284"/>
        <w:spacing w:after="0" w:line="282"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81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4">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H. 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Financial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Shelby E. Sherard, as Chief Financial Officer of Fidus Investment Corporation, certify that:</w:t>
      </w:r>
    </w:p>
    <w:p>
      <w:pPr>
        <w:spacing w:after="0" w:line="225"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Fidus Investment Corporation;</w:t>
      </w:r>
    </w:p>
    <w:p>
      <w:pPr>
        <w:spacing w:after="0" w:line="225" w:lineRule="exact"/>
        <w:rPr>
          <w:rFonts w:ascii="Times New Roman" w:cs="Times New Roman" w:eastAsia="Times New Roman" w:hAnsi="Times New Roman"/>
          <w:sz w:val="18"/>
          <w:szCs w:val="18"/>
          <w:color w:val="auto"/>
        </w:rPr>
      </w:pPr>
    </w:p>
    <w:p>
      <w:pPr>
        <w:ind w:left="300" w:right="400" w:hanging="292"/>
        <w:spacing w:after="0" w:line="266"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00" w:right="360" w:hanging="292"/>
        <w:spacing w:after="0" w:line="282"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00" w:right="40" w:hanging="292"/>
        <w:spacing w:after="0" w:line="266"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0" w:right="360" w:hanging="284"/>
        <w:spacing w:after="0" w:line="266" w:lineRule="auto"/>
        <w:tabs>
          <w:tab w:leader="none" w:pos="6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00" w:right="120" w:hanging="284"/>
        <w:spacing w:after="0" w:line="266" w:lineRule="auto"/>
        <w:tabs>
          <w:tab w:leader="none" w:pos="6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00" w:right="860" w:hanging="284"/>
        <w:spacing w:after="0" w:line="312" w:lineRule="auto"/>
        <w:tabs>
          <w:tab w:leader="none" w:pos="66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00" w:right="140" w:hanging="284"/>
        <w:spacing w:after="0" w:line="266" w:lineRule="auto"/>
        <w:tabs>
          <w:tab w:leader="none" w:pos="6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right="260" w:hanging="284"/>
        <w:spacing w:after="0" w:line="282" w:lineRule="auto"/>
        <w:tabs>
          <w:tab w:leader="none" w:pos="6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right="220" w:hanging="284"/>
        <w:spacing w:after="0" w:line="282" w:lineRule="auto"/>
        <w:tabs>
          <w:tab w:leader="none" w:pos="66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5676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6">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Shelby E. Sherard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Fidus Investment Corporation (the “Company”) for the quarterly period ended June 30, 2024,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80" w:lineRule="exact"/>
        <w:rPr>
          <w:sz w:val="20"/>
          <w:szCs w:val="20"/>
          <w:color w:val="auto"/>
        </w:rPr>
      </w:pPr>
    </w:p>
    <w:p>
      <w:pPr>
        <w:ind w:left="680" w:hanging="36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6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400" w:right="4140" w:hanging="5345"/>
        <w:spacing w:after="0" w:line="281" w:lineRule="auto"/>
        <w:tabs>
          <w:tab w:leader="none" w:pos="538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u w:val="single" w:color="auto"/>
          <w:color w:val="auto"/>
        </w:rPr>
        <w:t xml:space="preserve">/s/ EDWARD H. ROSS </w:t>
      </w:r>
      <w:r>
        <w:rPr>
          <w:rFonts w:ascii="Times New Roman" w:cs="Times New Roman" w:eastAsia="Times New Roman" w:hAnsi="Times New Roman"/>
          <w:sz w:val="18"/>
          <w:szCs w:val="18"/>
          <w:color w:val="auto"/>
        </w:rPr>
        <w:t>Edward H. Ross</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/s/ SHELBY E. SHERARD</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847"/>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26"/>
    </w:lvl>
  </w:abstractNum>
  <w:abstractNum w:abstractNumId="5">
    <w:nsid w:val="54E49EB4"/>
    <w:multiLevelType w:val="hybridMultilevel"/>
    <w:lvl w:ilvl="0">
      <w:lvlJc w:val="left"/>
      <w:lvlText w:val="(%1)"/>
      <w:numFmt w:val="lowerLetter"/>
      <w:start w:val="4"/>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4"/>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04"/>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9" Type="http://schemas.openxmlformats.org/officeDocument/2006/relationships/image" Target="media/image634.png"/><Relationship Id="rId650" Type="http://schemas.openxmlformats.org/officeDocument/2006/relationships/image" Target="media/image635.png"/><Relationship Id="rId651" Type="http://schemas.openxmlformats.org/officeDocument/2006/relationships/image" Target="media/image636.png"/><Relationship Id="rId652" Type="http://schemas.openxmlformats.org/officeDocument/2006/relationships/image" Target="media/image637.png"/><Relationship Id="rId653" Type="http://schemas.openxmlformats.org/officeDocument/2006/relationships/image" Target="media/image638.png"/><Relationship Id="rId654" Type="http://schemas.openxmlformats.org/officeDocument/2006/relationships/image" Target="media/image639.png"/><Relationship Id="rId655" Type="http://schemas.openxmlformats.org/officeDocument/2006/relationships/image" Target="media/image640.png"/><Relationship Id="rId656" Type="http://schemas.openxmlformats.org/officeDocument/2006/relationships/image" Target="media/image641.png"/><Relationship Id="rId657" Type="http://schemas.openxmlformats.org/officeDocument/2006/relationships/image" Target="media/image642.png"/><Relationship Id="rId658" Type="http://schemas.openxmlformats.org/officeDocument/2006/relationships/image" Target="media/image643.png"/><Relationship Id="rId641" Type="http://schemas.openxmlformats.org/officeDocument/2006/relationships/hyperlink" Target="https://www.sec.gov/Archives/edgar/data/1513363/000095012311041885/w81466a2exv99wxayx1y.htm" TargetMode="External"/><Relationship Id="rId642" Type="http://schemas.openxmlformats.org/officeDocument/2006/relationships/hyperlink" Target="https://www.sec.gov/Archives/edgar/data/1513363/000095012311041885/w81466a2exv99wxbyx1y.htm" TargetMode="External"/><Relationship Id="rId643" Type="http://schemas.openxmlformats.org/officeDocument/2006/relationships/hyperlink" Target="https://www.sec.gov/Archives/edgar/data/1513363/000095012311041885/w81466a2exv99wxdy.htm" TargetMode="External"/><Relationship Id="rId644" Type="http://schemas.openxmlformats.org/officeDocument/2006/relationships/hyperlink" Target="https://www.sec.gov/Archives/edgar/data/1513363/000095012311054001/w81466a3exv99wxfyx2y.htm" TargetMode="External"/><Relationship Id="rId645" Type="http://schemas.openxmlformats.org/officeDocument/2006/relationships/hyperlink" Target="https://www.sec.gov/Archives/edgar/data/1513363/000119312516569246/d141023dex99d5.htm" TargetMode="External"/><Relationship Id="rId646" Type="http://schemas.openxmlformats.org/officeDocument/2006/relationships/hyperlink" Target="https://www.sec.gov/Archives/edgar/data/1513363/000119312520325989/d97521dex41.htm" TargetMode="External"/><Relationship Id="rId647" Type="http://schemas.openxmlformats.org/officeDocument/2006/relationships/hyperlink" Target="https://www.sec.gov/Archives/edgar/data/0001513363/000119312521295460/d193806dex41.htm" TargetMode="External"/><Relationship Id="rId648" Type="http://schemas.openxmlformats.org/officeDocument/2006/relationships/hyperlink" Target="https://www.sec.gov/Archives/edgar/data/1513363/000119312524186196/d8683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2024-08-01T15:34:22Z</dcterms:created>
  <dcterms:modified xsi:type="dcterms:W3CDTF">2024-08-01T15:34:22Z</dcterms:modified>
</cp:coreProperties>
</file>